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8A98" w14:textId="77777777" w:rsidR="00C9378F" w:rsidRPr="00411D9E" w:rsidRDefault="00C9378F" w:rsidP="002118E4">
      <w:r w:rsidRPr="00411D9E">
        <w:rPr>
          <w:rFonts w:cs="Arial"/>
          <w:b/>
          <w:noProof/>
          <w:color w:val="534672"/>
          <w:sz w:val="40"/>
          <w:szCs w:val="40"/>
          <w:lang w:bidi="ar-SA"/>
        </w:rPr>
        <w:drawing>
          <wp:anchor distT="0" distB="0" distL="114300" distR="114300" simplePos="0" relativeHeight="251656192" behindDoc="1" locked="0" layoutInCell="1" allowOverlap="1" wp14:anchorId="25B5604B" wp14:editId="01E5E504">
            <wp:simplePos x="0" y="0"/>
            <wp:positionH relativeFrom="margin">
              <wp:align>left</wp:align>
            </wp:positionH>
            <wp:positionV relativeFrom="margin">
              <wp:align>top</wp:align>
            </wp:positionV>
            <wp:extent cx="6858000" cy="3690236"/>
            <wp:effectExtent l="0" t="0" r="0" b="5715"/>
            <wp:wrapNone/>
            <wp:docPr id="2" name="Picture 2" descr="IPRO_blocks2017-1710x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RO_blocks2017-1710x890"/>
                    <pic:cNvPicPr>
                      <a:picLocks noChangeAspect="1" noChangeArrowheads="1"/>
                    </pic:cNvPicPr>
                  </pic:nvPicPr>
                  <pic:blipFill>
                    <a:blip r:embed="rId8" cstate="print">
                      <a:extLst>
                        <a:ext uri="{28A0092B-C50C-407E-A947-70E740481C1C}">
                          <a14:useLocalDpi xmlns:a14="http://schemas.microsoft.com/office/drawing/2010/main" val="0"/>
                        </a:ext>
                      </a:extLst>
                    </a:blip>
                    <a:srcRect l="1515" r="1895"/>
                    <a:stretch>
                      <a:fillRect/>
                    </a:stretch>
                  </pic:blipFill>
                  <pic:spPr bwMode="auto">
                    <a:xfrm>
                      <a:off x="0" y="0"/>
                      <a:ext cx="6858000" cy="3690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79F79" w14:textId="77777777" w:rsidR="00C9378F" w:rsidRPr="00411D9E" w:rsidRDefault="00C9378F" w:rsidP="00C9378F"/>
    <w:p w14:paraId="451D858D" w14:textId="77777777" w:rsidR="00C9378F" w:rsidRPr="00411D9E" w:rsidRDefault="00C9378F" w:rsidP="00C9378F"/>
    <w:p w14:paraId="18994C97" w14:textId="77777777" w:rsidR="00C9378F" w:rsidRPr="00411D9E" w:rsidRDefault="00C9378F" w:rsidP="00C9378F"/>
    <w:p w14:paraId="4C1C0995" w14:textId="77777777" w:rsidR="00C9378F" w:rsidRPr="00411D9E" w:rsidRDefault="00C9378F" w:rsidP="00C9378F"/>
    <w:p w14:paraId="6AA872F7" w14:textId="77777777" w:rsidR="00C9378F" w:rsidRPr="00411D9E" w:rsidRDefault="00C9378F" w:rsidP="00C9378F"/>
    <w:p w14:paraId="5B4F65C4" w14:textId="77777777" w:rsidR="00C9378F" w:rsidRPr="00411D9E" w:rsidRDefault="00C9378F" w:rsidP="00C9378F"/>
    <w:p w14:paraId="0FFFE999" w14:textId="77777777" w:rsidR="00C9378F" w:rsidRPr="00411D9E" w:rsidRDefault="00C9378F" w:rsidP="00C9378F"/>
    <w:p w14:paraId="67B13A71" w14:textId="77777777" w:rsidR="00C9378F" w:rsidRPr="00411D9E" w:rsidRDefault="00C9378F" w:rsidP="00C9378F"/>
    <w:p w14:paraId="151BF32B" w14:textId="77777777" w:rsidR="00C9378F" w:rsidRPr="00411D9E" w:rsidRDefault="00C9378F" w:rsidP="00C9378F"/>
    <w:p w14:paraId="6C4C8499" w14:textId="77777777" w:rsidR="00C9378F" w:rsidRPr="00411D9E" w:rsidRDefault="00C9378F" w:rsidP="00C9378F"/>
    <w:p w14:paraId="4E87C277" w14:textId="77777777" w:rsidR="00C9378F" w:rsidRPr="00411D9E" w:rsidRDefault="00C9378F" w:rsidP="00C9378F"/>
    <w:p w14:paraId="493C23D3" w14:textId="77777777" w:rsidR="00C9378F" w:rsidRPr="00411D9E" w:rsidRDefault="00C9378F" w:rsidP="00C9378F"/>
    <w:p w14:paraId="23373244" w14:textId="77777777" w:rsidR="00C9378F" w:rsidRPr="00411D9E" w:rsidRDefault="00C9378F" w:rsidP="00C9378F"/>
    <w:p w14:paraId="179021AA" w14:textId="77777777" w:rsidR="00C9378F" w:rsidRPr="00411D9E" w:rsidRDefault="00C9378F" w:rsidP="00C9378F"/>
    <w:p w14:paraId="0F682AC3" w14:textId="77777777" w:rsidR="00C9378F" w:rsidRPr="00411D9E" w:rsidRDefault="00C9378F" w:rsidP="00C9378F"/>
    <w:p w14:paraId="2A3D3091" w14:textId="77777777" w:rsidR="00C9378F" w:rsidRPr="00411D9E" w:rsidRDefault="00C9378F" w:rsidP="00C9378F"/>
    <w:p w14:paraId="087CE739" w14:textId="77777777" w:rsidR="00C9378F" w:rsidRPr="00411D9E" w:rsidRDefault="00C9378F" w:rsidP="00C9378F"/>
    <w:p w14:paraId="3ABF2031" w14:textId="77777777" w:rsidR="00C9378F" w:rsidRPr="00411D9E" w:rsidRDefault="00C9378F" w:rsidP="00C9378F"/>
    <w:p w14:paraId="5142D144" w14:textId="77777777" w:rsidR="00C9378F" w:rsidRPr="00411D9E" w:rsidRDefault="00C9378F" w:rsidP="00C9378F"/>
    <w:p w14:paraId="0B62F2E6" w14:textId="77777777" w:rsidR="00C9378F" w:rsidRPr="00411D9E" w:rsidRDefault="00C9378F" w:rsidP="00C9378F"/>
    <w:p w14:paraId="6E0D292F" w14:textId="77777777" w:rsidR="00C9378F" w:rsidRPr="00411D9E" w:rsidRDefault="00C9378F" w:rsidP="00C9378F"/>
    <w:p w14:paraId="09F1E2CB" w14:textId="77777777" w:rsidR="00C9378F" w:rsidRPr="00411D9E" w:rsidRDefault="00C9378F" w:rsidP="00C9378F"/>
    <w:p w14:paraId="1F963CD2" w14:textId="77777777" w:rsidR="00C9378F" w:rsidRPr="00411D9E" w:rsidRDefault="00C9378F" w:rsidP="00C9378F"/>
    <w:p w14:paraId="61A80B2B" w14:textId="77777777" w:rsidR="00C9378F" w:rsidRPr="00411D9E" w:rsidRDefault="00C9378F" w:rsidP="00C9378F"/>
    <w:p w14:paraId="06C16A62" w14:textId="77777777" w:rsidR="000B4631" w:rsidRPr="00411D9E" w:rsidRDefault="000B4631" w:rsidP="00C9378F"/>
    <w:p w14:paraId="451AEB72" w14:textId="499F5DCE" w:rsidR="00C9378F" w:rsidRPr="00411D9E" w:rsidRDefault="00C9378F" w:rsidP="00C9378F">
      <w:pPr>
        <w:rPr>
          <w:b/>
          <w:color w:val="5F497A" w:themeColor="accent4" w:themeShade="BF"/>
          <w:sz w:val="40"/>
          <w:szCs w:val="40"/>
        </w:rPr>
      </w:pPr>
      <w:r w:rsidRPr="00411D9E">
        <w:rPr>
          <w:b/>
          <w:color w:val="5F497A" w:themeColor="accent4" w:themeShade="BF"/>
          <w:sz w:val="40"/>
          <w:szCs w:val="40"/>
        </w:rPr>
        <w:t xml:space="preserve">Commonwealth </w:t>
      </w:r>
      <w:r w:rsidR="00573F63" w:rsidRPr="00411D9E">
        <w:rPr>
          <w:b/>
          <w:color w:val="5F497A" w:themeColor="accent4" w:themeShade="BF"/>
          <w:sz w:val="40"/>
          <w:szCs w:val="40"/>
        </w:rPr>
        <w:t xml:space="preserve">of </w:t>
      </w:r>
      <w:r w:rsidRPr="00411D9E">
        <w:rPr>
          <w:b/>
          <w:color w:val="5F497A" w:themeColor="accent4" w:themeShade="BF"/>
          <w:sz w:val="40"/>
          <w:szCs w:val="40"/>
        </w:rPr>
        <w:t>Pennsylvania</w:t>
      </w:r>
    </w:p>
    <w:p w14:paraId="34C756F2" w14:textId="77777777" w:rsidR="00C9378F" w:rsidRPr="00411D9E" w:rsidRDefault="00C9378F" w:rsidP="00C9378F">
      <w:pPr>
        <w:rPr>
          <w:b/>
          <w:color w:val="5F497A" w:themeColor="accent4" w:themeShade="BF"/>
          <w:sz w:val="40"/>
          <w:szCs w:val="40"/>
        </w:rPr>
      </w:pPr>
      <w:r w:rsidRPr="00411D9E">
        <w:rPr>
          <w:b/>
          <w:color w:val="5F497A" w:themeColor="accent4" w:themeShade="BF"/>
          <w:sz w:val="40"/>
          <w:szCs w:val="40"/>
        </w:rPr>
        <w:t>Department of Human Services</w:t>
      </w:r>
    </w:p>
    <w:p w14:paraId="5E5F5648" w14:textId="77777777" w:rsidR="00C9378F" w:rsidRPr="00411D9E" w:rsidRDefault="00C9378F" w:rsidP="00C9378F">
      <w:pPr>
        <w:rPr>
          <w:b/>
          <w:color w:val="5F497A" w:themeColor="accent4" w:themeShade="BF"/>
          <w:sz w:val="40"/>
          <w:szCs w:val="40"/>
        </w:rPr>
      </w:pPr>
      <w:r w:rsidRPr="00411D9E">
        <w:rPr>
          <w:b/>
          <w:color w:val="5F497A" w:themeColor="accent4" w:themeShade="BF"/>
          <w:sz w:val="40"/>
          <w:szCs w:val="40"/>
        </w:rPr>
        <w:t>Children’s Health Insurance Program</w:t>
      </w:r>
    </w:p>
    <w:p w14:paraId="0A7DF63B" w14:textId="77777777" w:rsidR="00C9378F" w:rsidRPr="00411D9E" w:rsidRDefault="00C9378F" w:rsidP="00C9378F">
      <w:pPr>
        <w:rPr>
          <w:b/>
          <w:sz w:val="32"/>
          <w:szCs w:val="32"/>
        </w:rPr>
      </w:pPr>
    </w:p>
    <w:p w14:paraId="1D5BE265" w14:textId="4133826A" w:rsidR="00C9378F" w:rsidRPr="00411D9E" w:rsidRDefault="00C9378F" w:rsidP="00C9378F">
      <w:pPr>
        <w:rPr>
          <w:b/>
          <w:sz w:val="32"/>
          <w:szCs w:val="32"/>
        </w:rPr>
      </w:pPr>
      <w:r w:rsidRPr="00411D9E">
        <w:rPr>
          <w:b/>
          <w:sz w:val="32"/>
          <w:szCs w:val="32"/>
        </w:rPr>
        <w:t>20</w:t>
      </w:r>
      <w:r w:rsidR="00AD3F7D" w:rsidRPr="00411D9E">
        <w:rPr>
          <w:b/>
          <w:sz w:val="32"/>
          <w:szCs w:val="32"/>
        </w:rPr>
        <w:t>2</w:t>
      </w:r>
      <w:r w:rsidR="005362FA" w:rsidRPr="00411D9E">
        <w:rPr>
          <w:b/>
          <w:sz w:val="32"/>
          <w:szCs w:val="32"/>
        </w:rPr>
        <w:t>1</w:t>
      </w:r>
      <w:r w:rsidRPr="00411D9E">
        <w:rPr>
          <w:b/>
          <w:sz w:val="32"/>
          <w:szCs w:val="32"/>
        </w:rPr>
        <w:t xml:space="preserve"> External Quality Review Report</w:t>
      </w:r>
    </w:p>
    <w:p w14:paraId="6908EF91" w14:textId="7E1F1515" w:rsidR="00C9378F" w:rsidRPr="00411D9E" w:rsidRDefault="007F43FA" w:rsidP="006348B2">
      <w:pPr>
        <w:tabs>
          <w:tab w:val="left" w:pos="9393"/>
        </w:tabs>
        <w:rPr>
          <w:b/>
          <w:sz w:val="32"/>
          <w:szCs w:val="32"/>
        </w:rPr>
      </w:pPr>
      <w:r w:rsidRPr="00411D9E">
        <w:rPr>
          <w:b/>
          <w:sz w:val="32"/>
          <w:szCs w:val="32"/>
        </w:rPr>
        <w:t xml:space="preserve">Highmark </w:t>
      </w:r>
      <w:r w:rsidR="00F4480B" w:rsidRPr="00411D9E">
        <w:rPr>
          <w:b/>
          <w:sz w:val="32"/>
          <w:szCs w:val="32"/>
        </w:rPr>
        <w:t>PPO</w:t>
      </w:r>
    </w:p>
    <w:p w14:paraId="16DB7455" w14:textId="77777777" w:rsidR="00C9378F" w:rsidRPr="00411D9E" w:rsidRDefault="00C9378F" w:rsidP="00C9378F"/>
    <w:p w14:paraId="7C0A8E82" w14:textId="19615AD9" w:rsidR="00C9378F" w:rsidRPr="00411D9E" w:rsidRDefault="003110EC" w:rsidP="00C9378F">
      <w:pPr>
        <w:rPr>
          <w:rFonts w:ascii="Arial Black" w:hAnsi="Arial Black"/>
          <w:sz w:val="28"/>
          <w:szCs w:val="28"/>
        </w:rPr>
      </w:pPr>
      <w:r>
        <w:rPr>
          <w:sz w:val="28"/>
          <w:szCs w:val="28"/>
        </w:rPr>
        <w:t>Final</w:t>
      </w:r>
      <w:r w:rsidR="005362FA" w:rsidRPr="00411D9E">
        <w:rPr>
          <w:sz w:val="28"/>
          <w:szCs w:val="28"/>
        </w:rPr>
        <w:t xml:space="preserve"> </w:t>
      </w:r>
      <w:r w:rsidR="00C9378F" w:rsidRPr="00411D9E">
        <w:rPr>
          <w:sz w:val="28"/>
          <w:szCs w:val="28"/>
        </w:rPr>
        <w:t>Report</w:t>
      </w:r>
      <w:r w:rsidR="00FA30AD" w:rsidRPr="00411D9E">
        <w:rPr>
          <w:sz w:val="28"/>
          <w:szCs w:val="28"/>
        </w:rPr>
        <w:t xml:space="preserve"> </w:t>
      </w:r>
    </w:p>
    <w:p w14:paraId="3C0A02D2" w14:textId="704F3B73" w:rsidR="00C9378F" w:rsidRPr="00411D9E" w:rsidRDefault="003110EC" w:rsidP="00C9378F">
      <w:pPr>
        <w:rPr>
          <w:sz w:val="24"/>
          <w:szCs w:val="24"/>
        </w:rPr>
      </w:pPr>
      <w:r>
        <w:rPr>
          <w:sz w:val="24"/>
          <w:szCs w:val="24"/>
        </w:rPr>
        <w:t>April</w:t>
      </w:r>
      <w:r w:rsidR="00C9378F" w:rsidRPr="00411D9E">
        <w:rPr>
          <w:sz w:val="24"/>
          <w:szCs w:val="24"/>
        </w:rPr>
        <w:t xml:space="preserve"> 20</w:t>
      </w:r>
      <w:r w:rsidR="00626262" w:rsidRPr="00411D9E">
        <w:rPr>
          <w:sz w:val="24"/>
          <w:szCs w:val="24"/>
        </w:rPr>
        <w:t>2</w:t>
      </w:r>
      <w:r w:rsidR="005362FA" w:rsidRPr="00411D9E">
        <w:rPr>
          <w:sz w:val="24"/>
          <w:szCs w:val="24"/>
        </w:rPr>
        <w:t>2</w:t>
      </w:r>
    </w:p>
    <w:p w14:paraId="671AF3D9" w14:textId="6C304167" w:rsidR="00C9378F" w:rsidRPr="00411D9E" w:rsidRDefault="000950BF" w:rsidP="00C9378F">
      <w:r w:rsidRPr="00411D9E">
        <w:rPr>
          <w:noProof/>
          <w:lang w:bidi="ar-SA"/>
        </w:rPr>
        <w:drawing>
          <wp:anchor distT="0" distB="0" distL="114300" distR="114300" simplePos="0" relativeHeight="251661312" behindDoc="0" locked="0" layoutInCell="1" allowOverlap="1" wp14:anchorId="1249F219" wp14:editId="454834D1">
            <wp:simplePos x="0" y="0"/>
            <wp:positionH relativeFrom="margin">
              <wp:align>left</wp:align>
            </wp:positionH>
            <wp:positionV relativeFrom="margin">
              <wp:align>bottom</wp:align>
            </wp:positionV>
            <wp:extent cx="6858000" cy="12435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orp-2019-NoISO-rgb.bmp"/>
                    <pic:cNvPicPr/>
                  </pic:nvPicPr>
                  <pic:blipFill rotWithShape="1">
                    <a:blip r:embed="rId9" cstate="print">
                      <a:extLst>
                        <a:ext uri="{28A0092B-C50C-407E-A947-70E740481C1C}">
                          <a14:useLocalDpi xmlns:a14="http://schemas.microsoft.com/office/drawing/2010/main" val="0"/>
                        </a:ext>
                      </a:extLst>
                    </a:blip>
                    <a:srcRect l="8455" t="28782" r="8088" b="15018"/>
                    <a:stretch/>
                  </pic:blipFill>
                  <pic:spPr bwMode="auto">
                    <a:xfrm>
                      <a:off x="0" y="0"/>
                      <a:ext cx="6858000" cy="1243584"/>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6925E5A" w14:textId="23C6CCDA" w:rsidR="000950BF" w:rsidRPr="00411D9E" w:rsidRDefault="000950BF">
      <w:r w:rsidRPr="00411D9E">
        <w:br w:type="page"/>
      </w:r>
    </w:p>
    <w:sdt>
      <w:sdtPr>
        <w:rPr>
          <w:rFonts w:asciiTheme="minorHAnsi" w:eastAsiaTheme="minorEastAsia" w:hAnsiTheme="minorHAnsi" w:cstheme="minorBidi"/>
          <w:b w:val="0"/>
          <w:bCs w:val="0"/>
          <w:color w:val="auto"/>
          <w:sz w:val="22"/>
          <w:szCs w:val="22"/>
          <w:lang w:eastAsia="en-US" w:bidi="en-US"/>
        </w:rPr>
        <w:id w:val="-1029486827"/>
        <w:docPartObj>
          <w:docPartGallery w:val="Table of Contents"/>
          <w:docPartUnique/>
        </w:docPartObj>
      </w:sdtPr>
      <w:sdtEndPr/>
      <w:sdtContent>
        <w:p w14:paraId="483A79C3" w14:textId="77777777" w:rsidR="00C9378F" w:rsidRPr="00411D9E" w:rsidRDefault="00C9378F" w:rsidP="00C9378F">
          <w:pPr>
            <w:pStyle w:val="TOCHeading"/>
          </w:pPr>
          <w:r w:rsidRPr="00411D9E">
            <w:t>Table of Contents</w:t>
          </w:r>
        </w:p>
        <w:p w14:paraId="48E80CBD" w14:textId="7B21E3FD" w:rsidR="00411D9E" w:rsidRPr="00411D9E" w:rsidRDefault="00C9378F">
          <w:pPr>
            <w:pStyle w:val="TOC1"/>
            <w:rPr>
              <w:b w:val="0"/>
              <w:bCs w:val="0"/>
              <w:caps w:val="0"/>
              <w:noProof/>
              <w:sz w:val="22"/>
              <w:szCs w:val="22"/>
              <w:lang w:bidi="ar-SA"/>
            </w:rPr>
          </w:pPr>
          <w:r w:rsidRPr="00411D9E">
            <w:fldChar w:fldCharType="begin"/>
          </w:r>
          <w:r w:rsidRPr="00411D9E">
            <w:instrText xml:space="preserve"> TOC \o "1-3" \h \z \u </w:instrText>
          </w:r>
          <w:r w:rsidRPr="00411D9E">
            <w:fldChar w:fldCharType="separate"/>
          </w:r>
          <w:hyperlink w:anchor="_Toc99026938" w:history="1">
            <w:r w:rsidR="00411D9E" w:rsidRPr="00411D9E">
              <w:rPr>
                <w:rStyle w:val="Hyperlink"/>
                <w:noProof/>
              </w:rPr>
              <w:t>Introduction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_Toc99026938 \h </w:instrText>
            </w:r>
            <w:r w:rsidR="00411D9E" w:rsidRPr="00411D9E">
              <w:rPr>
                <w:noProof/>
                <w:webHidden/>
              </w:rPr>
            </w:r>
            <w:r w:rsidR="00411D9E" w:rsidRPr="00411D9E">
              <w:rPr>
                <w:noProof/>
                <w:webHidden/>
              </w:rPr>
              <w:fldChar w:fldCharType="separate"/>
            </w:r>
            <w:r w:rsidR="00D32450">
              <w:rPr>
                <w:noProof/>
                <w:webHidden/>
              </w:rPr>
              <w:t>4</w:t>
            </w:r>
            <w:r w:rsidR="00411D9E" w:rsidRPr="00411D9E">
              <w:rPr>
                <w:noProof/>
                <w:webHidden/>
              </w:rPr>
              <w:fldChar w:fldCharType="end"/>
            </w:r>
          </w:hyperlink>
        </w:p>
        <w:p w14:paraId="093D8FFF" w14:textId="5D597F06" w:rsidR="00411D9E" w:rsidRPr="00411D9E" w:rsidRDefault="00D32450">
          <w:pPr>
            <w:pStyle w:val="TOC2"/>
            <w:rPr>
              <w:smallCaps w:val="0"/>
              <w:noProof/>
              <w:sz w:val="22"/>
              <w:szCs w:val="22"/>
              <w:lang w:bidi="ar-SA"/>
            </w:rPr>
          </w:pPr>
          <w:hyperlink w:anchor="_Toc99026939" w:history="1">
            <w:r w:rsidR="00411D9E" w:rsidRPr="00411D9E">
              <w:rPr>
                <w:rStyle w:val="Hyperlink"/>
                <w:noProof/>
              </w:rPr>
              <w:t>Purpose and Background</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_Toc99026939 \h </w:instrText>
            </w:r>
            <w:r w:rsidR="00411D9E" w:rsidRPr="00411D9E">
              <w:rPr>
                <w:noProof/>
                <w:webHidden/>
              </w:rPr>
            </w:r>
            <w:r w:rsidR="00411D9E" w:rsidRPr="00411D9E">
              <w:rPr>
                <w:noProof/>
                <w:webHidden/>
              </w:rPr>
              <w:fldChar w:fldCharType="separate"/>
            </w:r>
            <w:r>
              <w:rPr>
                <w:noProof/>
                <w:webHidden/>
              </w:rPr>
              <w:t>4</w:t>
            </w:r>
            <w:r w:rsidR="00411D9E" w:rsidRPr="00411D9E">
              <w:rPr>
                <w:noProof/>
                <w:webHidden/>
              </w:rPr>
              <w:fldChar w:fldCharType="end"/>
            </w:r>
          </w:hyperlink>
        </w:p>
        <w:p w14:paraId="19C9DB3E" w14:textId="3F3C26B4" w:rsidR="00411D9E" w:rsidRPr="00411D9E" w:rsidRDefault="00D32450">
          <w:pPr>
            <w:pStyle w:val="TOC1"/>
            <w:rPr>
              <w:b w:val="0"/>
              <w:bCs w:val="0"/>
              <w:caps w:val="0"/>
              <w:noProof/>
              <w:sz w:val="22"/>
              <w:szCs w:val="22"/>
              <w:lang w:bidi="ar-SA"/>
            </w:rPr>
          </w:pPr>
          <w:hyperlink w:anchor="_Toc99026940" w:history="1">
            <w:r w:rsidR="00411D9E" w:rsidRPr="00411D9E">
              <w:rPr>
                <w:rStyle w:val="Hyperlink"/>
                <w:noProof/>
              </w:rPr>
              <w:t>I. Validation of Performance Improvement Projects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_Toc99026940 \h </w:instrText>
            </w:r>
            <w:r w:rsidR="00411D9E" w:rsidRPr="00411D9E">
              <w:rPr>
                <w:noProof/>
                <w:webHidden/>
              </w:rPr>
            </w:r>
            <w:r w:rsidR="00411D9E" w:rsidRPr="00411D9E">
              <w:rPr>
                <w:noProof/>
                <w:webHidden/>
              </w:rPr>
              <w:fldChar w:fldCharType="separate"/>
            </w:r>
            <w:r>
              <w:rPr>
                <w:noProof/>
                <w:webHidden/>
              </w:rPr>
              <w:t>6</w:t>
            </w:r>
            <w:r w:rsidR="00411D9E" w:rsidRPr="00411D9E">
              <w:rPr>
                <w:noProof/>
                <w:webHidden/>
              </w:rPr>
              <w:fldChar w:fldCharType="end"/>
            </w:r>
          </w:hyperlink>
        </w:p>
        <w:p w14:paraId="6FEC9670" w14:textId="54DBAFB0" w:rsidR="00411D9E" w:rsidRPr="00411D9E" w:rsidRDefault="00D32450">
          <w:pPr>
            <w:pStyle w:val="TOC2"/>
            <w:rPr>
              <w:smallCaps w:val="0"/>
              <w:noProof/>
              <w:sz w:val="22"/>
              <w:szCs w:val="22"/>
              <w:lang w:bidi="ar-SA"/>
            </w:rPr>
          </w:pPr>
          <w:hyperlink w:anchor="_Toc99026941" w:history="1">
            <w:r w:rsidR="00411D9E" w:rsidRPr="00411D9E">
              <w:rPr>
                <w:rStyle w:val="Hyperlink"/>
                <w:noProof/>
              </w:rPr>
              <w:t>Objectives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_Toc99026941 \h </w:instrText>
            </w:r>
            <w:r w:rsidR="00411D9E" w:rsidRPr="00411D9E">
              <w:rPr>
                <w:noProof/>
                <w:webHidden/>
              </w:rPr>
            </w:r>
            <w:r w:rsidR="00411D9E" w:rsidRPr="00411D9E">
              <w:rPr>
                <w:noProof/>
                <w:webHidden/>
              </w:rPr>
              <w:fldChar w:fldCharType="separate"/>
            </w:r>
            <w:r>
              <w:rPr>
                <w:noProof/>
                <w:webHidden/>
              </w:rPr>
              <w:t>6</w:t>
            </w:r>
            <w:r w:rsidR="00411D9E" w:rsidRPr="00411D9E">
              <w:rPr>
                <w:noProof/>
                <w:webHidden/>
              </w:rPr>
              <w:fldChar w:fldCharType="end"/>
            </w:r>
          </w:hyperlink>
        </w:p>
        <w:p w14:paraId="62543A60" w14:textId="1A0992C3" w:rsidR="00411D9E" w:rsidRPr="00411D9E" w:rsidRDefault="00D32450">
          <w:pPr>
            <w:pStyle w:val="TOC2"/>
            <w:rPr>
              <w:smallCaps w:val="0"/>
              <w:noProof/>
              <w:sz w:val="22"/>
              <w:szCs w:val="22"/>
              <w:lang w:bidi="ar-SA"/>
            </w:rPr>
          </w:pPr>
          <w:hyperlink w:anchor="_Toc99026942" w:history="1">
            <w:r w:rsidR="00411D9E" w:rsidRPr="00411D9E">
              <w:rPr>
                <w:rStyle w:val="Hyperlink"/>
                <w:noProof/>
              </w:rPr>
              <w:t>Technical Methods of Data Collection and Analysis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_Toc99026942 \h </w:instrText>
            </w:r>
            <w:r w:rsidR="00411D9E" w:rsidRPr="00411D9E">
              <w:rPr>
                <w:noProof/>
                <w:webHidden/>
              </w:rPr>
            </w:r>
            <w:r w:rsidR="00411D9E" w:rsidRPr="00411D9E">
              <w:rPr>
                <w:noProof/>
                <w:webHidden/>
              </w:rPr>
              <w:fldChar w:fldCharType="separate"/>
            </w:r>
            <w:r>
              <w:rPr>
                <w:noProof/>
                <w:webHidden/>
              </w:rPr>
              <w:t>7</w:t>
            </w:r>
            <w:r w:rsidR="00411D9E" w:rsidRPr="00411D9E">
              <w:rPr>
                <w:noProof/>
                <w:webHidden/>
              </w:rPr>
              <w:fldChar w:fldCharType="end"/>
            </w:r>
          </w:hyperlink>
        </w:p>
        <w:p w14:paraId="54506019" w14:textId="767207A0" w:rsidR="00411D9E" w:rsidRPr="00411D9E" w:rsidRDefault="00D32450">
          <w:pPr>
            <w:pStyle w:val="TOC2"/>
            <w:rPr>
              <w:smallCaps w:val="0"/>
              <w:noProof/>
              <w:sz w:val="22"/>
              <w:szCs w:val="22"/>
              <w:lang w:bidi="ar-SA"/>
            </w:rPr>
          </w:pPr>
          <w:hyperlink w:anchor="_Toc99026943" w:history="1">
            <w:r w:rsidR="00411D9E" w:rsidRPr="00411D9E">
              <w:rPr>
                <w:rStyle w:val="Hyperlink"/>
                <w:noProof/>
              </w:rPr>
              <w:t>Findings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_Toc99026943 \h </w:instrText>
            </w:r>
            <w:r w:rsidR="00411D9E" w:rsidRPr="00411D9E">
              <w:rPr>
                <w:noProof/>
                <w:webHidden/>
              </w:rPr>
            </w:r>
            <w:r w:rsidR="00411D9E" w:rsidRPr="00411D9E">
              <w:rPr>
                <w:noProof/>
                <w:webHidden/>
              </w:rPr>
              <w:fldChar w:fldCharType="separate"/>
            </w:r>
            <w:r>
              <w:rPr>
                <w:noProof/>
                <w:webHidden/>
              </w:rPr>
              <w:t>8</w:t>
            </w:r>
            <w:r w:rsidR="00411D9E" w:rsidRPr="00411D9E">
              <w:rPr>
                <w:noProof/>
                <w:webHidden/>
              </w:rPr>
              <w:fldChar w:fldCharType="end"/>
            </w:r>
          </w:hyperlink>
        </w:p>
        <w:p w14:paraId="2A837626" w14:textId="692C4B4A" w:rsidR="00411D9E" w:rsidRPr="00411D9E" w:rsidRDefault="00D32450">
          <w:pPr>
            <w:pStyle w:val="TOC1"/>
            <w:rPr>
              <w:b w:val="0"/>
              <w:bCs w:val="0"/>
              <w:caps w:val="0"/>
              <w:noProof/>
              <w:sz w:val="22"/>
              <w:szCs w:val="22"/>
              <w:lang w:bidi="ar-SA"/>
            </w:rPr>
          </w:pPr>
          <w:hyperlink w:anchor="_Toc99026944" w:history="1">
            <w:r w:rsidR="00411D9E" w:rsidRPr="00411D9E">
              <w:rPr>
                <w:rStyle w:val="Hyperlink"/>
                <w:noProof/>
              </w:rPr>
              <w:t>II: Performance Measures and CAHPS Survey</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_Toc99026944 \h </w:instrText>
            </w:r>
            <w:r w:rsidR="00411D9E" w:rsidRPr="00411D9E">
              <w:rPr>
                <w:noProof/>
                <w:webHidden/>
              </w:rPr>
            </w:r>
            <w:r w:rsidR="00411D9E" w:rsidRPr="00411D9E">
              <w:rPr>
                <w:noProof/>
                <w:webHidden/>
              </w:rPr>
              <w:fldChar w:fldCharType="separate"/>
            </w:r>
            <w:r>
              <w:rPr>
                <w:noProof/>
                <w:webHidden/>
              </w:rPr>
              <w:t>13</w:t>
            </w:r>
            <w:r w:rsidR="00411D9E" w:rsidRPr="00411D9E">
              <w:rPr>
                <w:noProof/>
                <w:webHidden/>
              </w:rPr>
              <w:fldChar w:fldCharType="end"/>
            </w:r>
          </w:hyperlink>
        </w:p>
        <w:p w14:paraId="10586C32" w14:textId="74C997C9" w:rsidR="00411D9E" w:rsidRPr="00411D9E" w:rsidRDefault="00D32450">
          <w:pPr>
            <w:pStyle w:val="TOC2"/>
            <w:rPr>
              <w:smallCaps w:val="0"/>
              <w:noProof/>
              <w:sz w:val="22"/>
              <w:szCs w:val="22"/>
              <w:lang w:bidi="ar-SA"/>
            </w:rPr>
          </w:pPr>
          <w:hyperlink w:anchor="_Toc99026945" w:history="1">
            <w:r w:rsidR="00411D9E" w:rsidRPr="00411D9E">
              <w:rPr>
                <w:rStyle w:val="Hyperlink"/>
                <w:noProof/>
              </w:rPr>
              <w:t>Objectives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_Toc99026945 \h </w:instrText>
            </w:r>
            <w:r w:rsidR="00411D9E" w:rsidRPr="00411D9E">
              <w:rPr>
                <w:noProof/>
                <w:webHidden/>
              </w:rPr>
            </w:r>
            <w:r w:rsidR="00411D9E" w:rsidRPr="00411D9E">
              <w:rPr>
                <w:noProof/>
                <w:webHidden/>
              </w:rPr>
              <w:fldChar w:fldCharType="separate"/>
            </w:r>
            <w:r>
              <w:rPr>
                <w:noProof/>
                <w:webHidden/>
              </w:rPr>
              <w:t>13</w:t>
            </w:r>
            <w:r w:rsidR="00411D9E" w:rsidRPr="00411D9E">
              <w:rPr>
                <w:noProof/>
                <w:webHidden/>
              </w:rPr>
              <w:fldChar w:fldCharType="end"/>
            </w:r>
          </w:hyperlink>
        </w:p>
        <w:p w14:paraId="2B3B6C38" w14:textId="3E7FE7AA" w:rsidR="00411D9E" w:rsidRPr="00411D9E" w:rsidRDefault="00D32450">
          <w:pPr>
            <w:pStyle w:val="TOC2"/>
            <w:rPr>
              <w:smallCaps w:val="0"/>
              <w:noProof/>
              <w:sz w:val="22"/>
              <w:szCs w:val="22"/>
              <w:lang w:bidi="ar-SA"/>
            </w:rPr>
          </w:pPr>
          <w:hyperlink w:anchor="_Toc99026946" w:history="1">
            <w:r w:rsidR="00411D9E" w:rsidRPr="00411D9E">
              <w:rPr>
                <w:rStyle w:val="Hyperlink"/>
                <w:noProof/>
              </w:rPr>
              <w:t>PA-Specific and CMS Core Set Performance Measure Selection and Descriptions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_Toc99026946 \h </w:instrText>
            </w:r>
            <w:r w:rsidR="00411D9E" w:rsidRPr="00411D9E">
              <w:rPr>
                <w:noProof/>
                <w:webHidden/>
              </w:rPr>
            </w:r>
            <w:r w:rsidR="00411D9E" w:rsidRPr="00411D9E">
              <w:rPr>
                <w:noProof/>
                <w:webHidden/>
              </w:rPr>
              <w:fldChar w:fldCharType="separate"/>
            </w:r>
            <w:r>
              <w:rPr>
                <w:noProof/>
                <w:webHidden/>
              </w:rPr>
              <w:t>18</w:t>
            </w:r>
            <w:r w:rsidR="00411D9E" w:rsidRPr="00411D9E">
              <w:rPr>
                <w:noProof/>
                <w:webHidden/>
              </w:rPr>
              <w:fldChar w:fldCharType="end"/>
            </w:r>
          </w:hyperlink>
        </w:p>
        <w:p w14:paraId="21B360B6" w14:textId="7848EEFC" w:rsidR="00411D9E" w:rsidRPr="00411D9E" w:rsidRDefault="00D32450">
          <w:pPr>
            <w:pStyle w:val="TOC2"/>
            <w:rPr>
              <w:smallCaps w:val="0"/>
              <w:noProof/>
              <w:sz w:val="22"/>
              <w:szCs w:val="22"/>
              <w:lang w:bidi="ar-SA"/>
            </w:rPr>
          </w:pPr>
          <w:hyperlink w:anchor="_Toc99026947" w:history="1">
            <w:r w:rsidR="00411D9E" w:rsidRPr="00411D9E">
              <w:rPr>
                <w:rStyle w:val="Hyperlink"/>
                <w:noProof/>
              </w:rPr>
              <w:t>PA-Specific and CMS Core Set Administrative Measures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_Toc99026947 \h </w:instrText>
            </w:r>
            <w:r w:rsidR="00411D9E" w:rsidRPr="00411D9E">
              <w:rPr>
                <w:noProof/>
                <w:webHidden/>
              </w:rPr>
            </w:r>
            <w:r w:rsidR="00411D9E" w:rsidRPr="00411D9E">
              <w:rPr>
                <w:noProof/>
                <w:webHidden/>
              </w:rPr>
              <w:fldChar w:fldCharType="separate"/>
            </w:r>
            <w:r>
              <w:rPr>
                <w:noProof/>
                <w:webHidden/>
              </w:rPr>
              <w:t>19</w:t>
            </w:r>
            <w:r w:rsidR="00411D9E" w:rsidRPr="00411D9E">
              <w:rPr>
                <w:noProof/>
                <w:webHidden/>
              </w:rPr>
              <w:fldChar w:fldCharType="end"/>
            </w:r>
          </w:hyperlink>
        </w:p>
        <w:p w14:paraId="7991DAB7" w14:textId="4F8C7672" w:rsidR="00411D9E" w:rsidRPr="00411D9E" w:rsidRDefault="00D32450">
          <w:pPr>
            <w:pStyle w:val="TOC2"/>
            <w:rPr>
              <w:smallCaps w:val="0"/>
              <w:noProof/>
              <w:sz w:val="22"/>
              <w:szCs w:val="22"/>
              <w:lang w:bidi="ar-SA"/>
            </w:rPr>
          </w:pPr>
          <w:hyperlink w:anchor="_Toc99026948" w:history="1">
            <w:r w:rsidR="00411D9E" w:rsidRPr="00411D9E">
              <w:rPr>
                <w:rStyle w:val="Hyperlink"/>
                <w:noProof/>
              </w:rPr>
              <w:t>HEDIS Performance Measure Selection and Descriptions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_Toc99026948 \h </w:instrText>
            </w:r>
            <w:r w:rsidR="00411D9E" w:rsidRPr="00411D9E">
              <w:rPr>
                <w:noProof/>
                <w:webHidden/>
              </w:rPr>
            </w:r>
            <w:r w:rsidR="00411D9E" w:rsidRPr="00411D9E">
              <w:rPr>
                <w:noProof/>
                <w:webHidden/>
              </w:rPr>
              <w:fldChar w:fldCharType="separate"/>
            </w:r>
            <w:r>
              <w:rPr>
                <w:noProof/>
                <w:webHidden/>
              </w:rPr>
              <w:t>19</w:t>
            </w:r>
            <w:r w:rsidR="00411D9E" w:rsidRPr="00411D9E">
              <w:rPr>
                <w:noProof/>
                <w:webHidden/>
              </w:rPr>
              <w:fldChar w:fldCharType="end"/>
            </w:r>
          </w:hyperlink>
        </w:p>
        <w:p w14:paraId="6B808BF3" w14:textId="39998CA9" w:rsidR="00411D9E" w:rsidRPr="00411D9E" w:rsidRDefault="00D32450">
          <w:pPr>
            <w:pStyle w:val="TOC2"/>
            <w:rPr>
              <w:smallCaps w:val="0"/>
              <w:noProof/>
              <w:sz w:val="22"/>
              <w:szCs w:val="22"/>
              <w:lang w:bidi="ar-SA"/>
            </w:rPr>
          </w:pPr>
          <w:hyperlink w:anchor="_Toc99026949" w:history="1">
            <w:r w:rsidR="00411D9E" w:rsidRPr="00411D9E">
              <w:rPr>
                <w:rStyle w:val="Hyperlink"/>
                <w:noProof/>
              </w:rPr>
              <w:t>Implementation of PA-Specific Performance Measures and HEDIS Audit</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_Toc99026949 \h </w:instrText>
            </w:r>
            <w:r w:rsidR="00411D9E" w:rsidRPr="00411D9E">
              <w:rPr>
                <w:noProof/>
                <w:webHidden/>
              </w:rPr>
            </w:r>
            <w:r w:rsidR="00411D9E" w:rsidRPr="00411D9E">
              <w:rPr>
                <w:noProof/>
                <w:webHidden/>
              </w:rPr>
              <w:fldChar w:fldCharType="separate"/>
            </w:r>
            <w:r>
              <w:rPr>
                <w:noProof/>
                <w:webHidden/>
              </w:rPr>
              <w:t>22</w:t>
            </w:r>
            <w:r w:rsidR="00411D9E" w:rsidRPr="00411D9E">
              <w:rPr>
                <w:noProof/>
                <w:webHidden/>
              </w:rPr>
              <w:fldChar w:fldCharType="end"/>
            </w:r>
          </w:hyperlink>
        </w:p>
        <w:p w14:paraId="3D85D1A7" w14:textId="58B841B0" w:rsidR="00411D9E" w:rsidRPr="00411D9E" w:rsidRDefault="00D32450">
          <w:pPr>
            <w:pStyle w:val="TOC2"/>
            <w:rPr>
              <w:smallCaps w:val="0"/>
              <w:noProof/>
              <w:sz w:val="22"/>
              <w:szCs w:val="22"/>
              <w:lang w:bidi="ar-SA"/>
            </w:rPr>
          </w:pPr>
          <w:hyperlink w:anchor="_Toc99026950" w:history="1">
            <w:r w:rsidR="00411D9E" w:rsidRPr="00411D9E">
              <w:rPr>
                <w:rStyle w:val="Hyperlink"/>
                <w:noProof/>
              </w:rPr>
              <w:t>Conclusions and Comparative Findings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_Toc99026950 \h </w:instrText>
            </w:r>
            <w:r w:rsidR="00411D9E" w:rsidRPr="00411D9E">
              <w:rPr>
                <w:noProof/>
                <w:webHidden/>
              </w:rPr>
            </w:r>
            <w:r w:rsidR="00411D9E" w:rsidRPr="00411D9E">
              <w:rPr>
                <w:noProof/>
                <w:webHidden/>
              </w:rPr>
              <w:fldChar w:fldCharType="separate"/>
            </w:r>
            <w:r>
              <w:rPr>
                <w:noProof/>
                <w:webHidden/>
              </w:rPr>
              <w:t>23</w:t>
            </w:r>
            <w:r w:rsidR="00411D9E" w:rsidRPr="00411D9E">
              <w:rPr>
                <w:noProof/>
                <w:webHidden/>
              </w:rPr>
              <w:fldChar w:fldCharType="end"/>
            </w:r>
          </w:hyperlink>
        </w:p>
        <w:p w14:paraId="51C8CE8E" w14:textId="2B66C89A" w:rsidR="00411D9E" w:rsidRPr="00411D9E" w:rsidRDefault="00D32450">
          <w:pPr>
            <w:pStyle w:val="TOC3"/>
            <w:tabs>
              <w:tab w:val="right" w:leader="dot" w:pos="10790"/>
            </w:tabs>
            <w:rPr>
              <w:i w:val="0"/>
              <w:iCs w:val="0"/>
              <w:noProof/>
              <w:sz w:val="22"/>
              <w:szCs w:val="22"/>
              <w:lang w:bidi="ar-SA"/>
            </w:rPr>
          </w:pPr>
          <w:hyperlink w:anchor="_Toc99026951" w:history="1">
            <w:r w:rsidR="00411D9E" w:rsidRPr="00411D9E">
              <w:rPr>
                <w:rStyle w:val="Hyperlink"/>
                <w:noProof/>
              </w:rPr>
              <w:t>Access to/Availability of Care</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_Toc99026951 \h </w:instrText>
            </w:r>
            <w:r w:rsidR="00411D9E" w:rsidRPr="00411D9E">
              <w:rPr>
                <w:noProof/>
                <w:webHidden/>
              </w:rPr>
            </w:r>
            <w:r w:rsidR="00411D9E" w:rsidRPr="00411D9E">
              <w:rPr>
                <w:noProof/>
                <w:webHidden/>
              </w:rPr>
              <w:fldChar w:fldCharType="separate"/>
            </w:r>
            <w:r>
              <w:rPr>
                <w:noProof/>
                <w:webHidden/>
              </w:rPr>
              <w:t>25</w:t>
            </w:r>
            <w:r w:rsidR="00411D9E" w:rsidRPr="00411D9E">
              <w:rPr>
                <w:noProof/>
                <w:webHidden/>
              </w:rPr>
              <w:fldChar w:fldCharType="end"/>
            </w:r>
          </w:hyperlink>
        </w:p>
        <w:p w14:paraId="1FA90417" w14:textId="094BE9DE" w:rsidR="00411D9E" w:rsidRPr="00411D9E" w:rsidRDefault="00D32450">
          <w:pPr>
            <w:pStyle w:val="TOC3"/>
            <w:tabs>
              <w:tab w:val="right" w:leader="dot" w:pos="10790"/>
            </w:tabs>
            <w:rPr>
              <w:i w:val="0"/>
              <w:iCs w:val="0"/>
              <w:noProof/>
              <w:sz w:val="22"/>
              <w:szCs w:val="22"/>
              <w:lang w:bidi="ar-SA"/>
            </w:rPr>
          </w:pPr>
          <w:hyperlink w:anchor="_Toc99026952" w:history="1">
            <w:r w:rsidR="00411D9E" w:rsidRPr="00411D9E">
              <w:rPr>
                <w:rStyle w:val="Hyperlink"/>
                <w:noProof/>
              </w:rPr>
              <w:t>Well-Care Visits and Immunizations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_Toc99026952 \h </w:instrText>
            </w:r>
            <w:r w:rsidR="00411D9E" w:rsidRPr="00411D9E">
              <w:rPr>
                <w:noProof/>
                <w:webHidden/>
              </w:rPr>
            </w:r>
            <w:r w:rsidR="00411D9E" w:rsidRPr="00411D9E">
              <w:rPr>
                <w:noProof/>
                <w:webHidden/>
              </w:rPr>
              <w:fldChar w:fldCharType="separate"/>
            </w:r>
            <w:r>
              <w:rPr>
                <w:noProof/>
                <w:webHidden/>
              </w:rPr>
              <w:t>26</w:t>
            </w:r>
            <w:r w:rsidR="00411D9E" w:rsidRPr="00411D9E">
              <w:rPr>
                <w:noProof/>
                <w:webHidden/>
              </w:rPr>
              <w:fldChar w:fldCharType="end"/>
            </w:r>
          </w:hyperlink>
        </w:p>
        <w:p w14:paraId="320EAC6A" w14:textId="75DBC9C9" w:rsidR="00411D9E" w:rsidRPr="00411D9E" w:rsidRDefault="00D32450">
          <w:pPr>
            <w:pStyle w:val="TOC3"/>
            <w:tabs>
              <w:tab w:val="right" w:leader="dot" w:pos="10790"/>
            </w:tabs>
            <w:rPr>
              <w:i w:val="0"/>
              <w:iCs w:val="0"/>
              <w:noProof/>
              <w:sz w:val="22"/>
              <w:szCs w:val="22"/>
              <w:lang w:bidi="ar-SA"/>
            </w:rPr>
          </w:pPr>
          <w:hyperlink w:anchor="_Toc99026953" w:history="1">
            <w:r w:rsidR="00411D9E" w:rsidRPr="00411D9E">
              <w:rPr>
                <w:rStyle w:val="Hyperlink"/>
                <w:noProof/>
              </w:rPr>
              <w:t>EPSDT: Screenings and Follow-up</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_Toc99026953 \h </w:instrText>
            </w:r>
            <w:r w:rsidR="00411D9E" w:rsidRPr="00411D9E">
              <w:rPr>
                <w:noProof/>
                <w:webHidden/>
              </w:rPr>
            </w:r>
            <w:r w:rsidR="00411D9E" w:rsidRPr="00411D9E">
              <w:rPr>
                <w:noProof/>
                <w:webHidden/>
              </w:rPr>
              <w:fldChar w:fldCharType="separate"/>
            </w:r>
            <w:r>
              <w:rPr>
                <w:noProof/>
                <w:webHidden/>
              </w:rPr>
              <w:t>29</w:t>
            </w:r>
            <w:r w:rsidR="00411D9E" w:rsidRPr="00411D9E">
              <w:rPr>
                <w:noProof/>
                <w:webHidden/>
              </w:rPr>
              <w:fldChar w:fldCharType="end"/>
            </w:r>
          </w:hyperlink>
        </w:p>
        <w:p w14:paraId="77F931FA" w14:textId="7D63E93D" w:rsidR="00411D9E" w:rsidRPr="00411D9E" w:rsidRDefault="00D32450">
          <w:pPr>
            <w:pStyle w:val="TOC3"/>
            <w:tabs>
              <w:tab w:val="right" w:leader="dot" w:pos="10790"/>
            </w:tabs>
            <w:rPr>
              <w:i w:val="0"/>
              <w:iCs w:val="0"/>
              <w:noProof/>
              <w:sz w:val="22"/>
              <w:szCs w:val="22"/>
              <w:lang w:bidi="ar-SA"/>
            </w:rPr>
          </w:pPr>
          <w:hyperlink w:anchor="_Toc99026954" w:history="1">
            <w:r w:rsidR="00411D9E" w:rsidRPr="00411D9E">
              <w:rPr>
                <w:rStyle w:val="Hyperlink"/>
                <w:noProof/>
              </w:rPr>
              <w:t>Dental Care for Children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_Toc99026954 \h </w:instrText>
            </w:r>
            <w:r w:rsidR="00411D9E" w:rsidRPr="00411D9E">
              <w:rPr>
                <w:noProof/>
                <w:webHidden/>
              </w:rPr>
            </w:r>
            <w:r w:rsidR="00411D9E" w:rsidRPr="00411D9E">
              <w:rPr>
                <w:noProof/>
                <w:webHidden/>
              </w:rPr>
              <w:fldChar w:fldCharType="separate"/>
            </w:r>
            <w:r>
              <w:rPr>
                <w:noProof/>
                <w:webHidden/>
              </w:rPr>
              <w:t>31</w:t>
            </w:r>
            <w:r w:rsidR="00411D9E" w:rsidRPr="00411D9E">
              <w:rPr>
                <w:noProof/>
                <w:webHidden/>
              </w:rPr>
              <w:fldChar w:fldCharType="end"/>
            </w:r>
          </w:hyperlink>
        </w:p>
        <w:p w14:paraId="2DFF2AFF" w14:textId="1747B48D" w:rsidR="00411D9E" w:rsidRPr="00411D9E" w:rsidRDefault="00D32450">
          <w:pPr>
            <w:pStyle w:val="TOC3"/>
            <w:tabs>
              <w:tab w:val="right" w:leader="dot" w:pos="10790"/>
            </w:tabs>
            <w:rPr>
              <w:i w:val="0"/>
              <w:iCs w:val="0"/>
              <w:noProof/>
              <w:sz w:val="22"/>
              <w:szCs w:val="22"/>
              <w:lang w:bidi="ar-SA"/>
            </w:rPr>
          </w:pPr>
          <w:hyperlink w:anchor="_Toc99026955" w:history="1">
            <w:r w:rsidR="00411D9E" w:rsidRPr="00411D9E">
              <w:rPr>
                <w:rStyle w:val="Hyperlink"/>
                <w:noProof/>
              </w:rPr>
              <w:t>Respiratory Conditions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_Toc99026955 \h </w:instrText>
            </w:r>
            <w:r w:rsidR="00411D9E" w:rsidRPr="00411D9E">
              <w:rPr>
                <w:noProof/>
                <w:webHidden/>
              </w:rPr>
            </w:r>
            <w:r w:rsidR="00411D9E" w:rsidRPr="00411D9E">
              <w:rPr>
                <w:noProof/>
                <w:webHidden/>
              </w:rPr>
              <w:fldChar w:fldCharType="separate"/>
            </w:r>
            <w:r>
              <w:rPr>
                <w:noProof/>
                <w:webHidden/>
              </w:rPr>
              <w:t>32</w:t>
            </w:r>
            <w:r w:rsidR="00411D9E" w:rsidRPr="00411D9E">
              <w:rPr>
                <w:noProof/>
                <w:webHidden/>
              </w:rPr>
              <w:fldChar w:fldCharType="end"/>
            </w:r>
          </w:hyperlink>
        </w:p>
        <w:p w14:paraId="3121571F" w14:textId="207DC2D2" w:rsidR="00411D9E" w:rsidRPr="00411D9E" w:rsidRDefault="00D32450">
          <w:pPr>
            <w:pStyle w:val="TOC3"/>
            <w:tabs>
              <w:tab w:val="right" w:leader="dot" w:pos="10790"/>
            </w:tabs>
            <w:rPr>
              <w:i w:val="0"/>
              <w:iCs w:val="0"/>
              <w:noProof/>
              <w:sz w:val="22"/>
              <w:szCs w:val="22"/>
              <w:lang w:bidi="ar-SA"/>
            </w:rPr>
          </w:pPr>
          <w:hyperlink w:anchor="_Toc99026956" w:history="1">
            <w:r w:rsidR="00411D9E" w:rsidRPr="00411D9E">
              <w:rPr>
                <w:rStyle w:val="Hyperlink"/>
                <w:noProof/>
              </w:rPr>
              <w:t>Behavioral Health</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_Toc99026956 \h </w:instrText>
            </w:r>
            <w:r w:rsidR="00411D9E" w:rsidRPr="00411D9E">
              <w:rPr>
                <w:noProof/>
                <w:webHidden/>
              </w:rPr>
            </w:r>
            <w:r w:rsidR="00411D9E" w:rsidRPr="00411D9E">
              <w:rPr>
                <w:noProof/>
                <w:webHidden/>
              </w:rPr>
              <w:fldChar w:fldCharType="separate"/>
            </w:r>
            <w:r>
              <w:rPr>
                <w:noProof/>
                <w:webHidden/>
              </w:rPr>
              <w:t>33</w:t>
            </w:r>
            <w:r w:rsidR="00411D9E" w:rsidRPr="00411D9E">
              <w:rPr>
                <w:noProof/>
                <w:webHidden/>
              </w:rPr>
              <w:fldChar w:fldCharType="end"/>
            </w:r>
          </w:hyperlink>
        </w:p>
        <w:p w14:paraId="67181BF9" w14:textId="23AFE6FB" w:rsidR="00411D9E" w:rsidRPr="00411D9E" w:rsidRDefault="00D32450">
          <w:pPr>
            <w:pStyle w:val="TOC3"/>
            <w:tabs>
              <w:tab w:val="right" w:leader="dot" w:pos="10790"/>
            </w:tabs>
            <w:rPr>
              <w:i w:val="0"/>
              <w:iCs w:val="0"/>
              <w:noProof/>
              <w:sz w:val="22"/>
              <w:szCs w:val="22"/>
              <w:lang w:bidi="ar-SA"/>
            </w:rPr>
          </w:pPr>
          <w:hyperlink w:anchor="_Toc99026957" w:history="1">
            <w:r w:rsidR="00411D9E" w:rsidRPr="00411D9E">
              <w:rPr>
                <w:rStyle w:val="Hyperlink"/>
                <w:noProof/>
              </w:rPr>
              <w:t>Utilization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_Toc99026957 \h </w:instrText>
            </w:r>
            <w:r w:rsidR="00411D9E" w:rsidRPr="00411D9E">
              <w:rPr>
                <w:noProof/>
                <w:webHidden/>
              </w:rPr>
            </w:r>
            <w:r w:rsidR="00411D9E" w:rsidRPr="00411D9E">
              <w:rPr>
                <w:noProof/>
                <w:webHidden/>
              </w:rPr>
              <w:fldChar w:fldCharType="separate"/>
            </w:r>
            <w:r>
              <w:rPr>
                <w:noProof/>
                <w:webHidden/>
              </w:rPr>
              <w:t>35</w:t>
            </w:r>
            <w:r w:rsidR="00411D9E" w:rsidRPr="00411D9E">
              <w:rPr>
                <w:noProof/>
                <w:webHidden/>
              </w:rPr>
              <w:fldChar w:fldCharType="end"/>
            </w:r>
          </w:hyperlink>
        </w:p>
        <w:p w14:paraId="22F605E3" w14:textId="49A826DA" w:rsidR="00411D9E" w:rsidRPr="00411D9E" w:rsidRDefault="00D32450">
          <w:pPr>
            <w:pStyle w:val="TOC2"/>
            <w:rPr>
              <w:smallCaps w:val="0"/>
              <w:noProof/>
              <w:sz w:val="22"/>
              <w:szCs w:val="22"/>
              <w:lang w:bidi="ar-SA"/>
            </w:rPr>
          </w:pPr>
          <w:hyperlink w:anchor="_Toc99026958" w:history="1">
            <w:r w:rsidR="00411D9E" w:rsidRPr="00411D9E">
              <w:rPr>
                <w:rStyle w:val="Hyperlink"/>
                <w:noProof/>
              </w:rPr>
              <w:t>Consumer Assessment of Healthcare Providers and Systems (CAHPS) Survey</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_Toc99026958 \h </w:instrText>
            </w:r>
            <w:r w:rsidR="00411D9E" w:rsidRPr="00411D9E">
              <w:rPr>
                <w:noProof/>
                <w:webHidden/>
              </w:rPr>
            </w:r>
            <w:r w:rsidR="00411D9E" w:rsidRPr="00411D9E">
              <w:rPr>
                <w:noProof/>
                <w:webHidden/>
              </w:rPr>
              <w:fldChar w:fldCharType="separate"/>
            </w:r>
            <w:r>
              <w:rPr>
                <w:noProof/>
                <w:webHidden/>
              </w:rPr>
              <w:t>42</w:t>
            </w:r>
            <w:r w:rsidR="00411D9E" w:rsidRPr="00411D9E">
              <w:rPr>
                <w:noProof/>
                <w:webHidden/>
              </w:rPr>
              <w:fldChar w:fldCharType="end"/>
            </w:r>
          </w:hyperlink>
        </w:p>
        <w:p w14:paraId="534C948E" w14:textId="5E14F432" w:rsidR="00411D9E" w:rsidRPr="00411D9E" w:rsidRDefault="00D32450">
          <w:pPr>
            <w:pStyle w:val="TOC3"/>
            <w:tabs>
              <w:tab w:val="right" w:leader="dot" w:pos="10790"/>
            </w:tabs>
            <w:rPr>
              <w:i w:val="0"/>
              <w:iCs w:val="0"/>
              <w:noProof/>
              <w:sz w:val="22"/>
              <w:szCs w:val="22"/>
              <w:lang w:bidi="ar-SA"/>
            </w:rPr>
          </w:pPr>
          <w:hyperlink w:anchor="_Toc99026959" w:history="1">
            <w:r w:rsidR="00411D9E" w:rsidRPr="00411D9E">
              <w:rPr>
                <w:rStyle w:val="Hyperlink"/>
                <w:noProof/>
              </w:rPr>
              <w:t>Satisfaction with the Experience of Care</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_Toc99026959 \h </w:instrText>
            </w:r>
            <w:r w:rsidR="00411D9E" w:rsidRPr="00411D9E">
              <w:rPr>
                <w:noProof/>
                <w:webHidden/>
              </w:rPr>
            </w:r>
            <w:r w:rsidR="00411D9E" w:rsidRPr="00411D9E">
              <w:rPr>
                <w:noProof/>
                <w:webHidden/>
              </w:rPr>
              <w:fldChar w:fldCharType="separate"/>
            </w:r>
            <w:r>
              <w:rPr>
                <w:noProof/>
                <w:webHidden/>
              </w:rPr>
              <w:t>42</w:t>
            </w:r>
            <w:r w:rsidR="00411D9E" w:rsidRPr="00411D9E">
              <w:rPr>
                <w:noProof/>
                <w:webHidden/>
              </w:rPr>
              <w:fldChar w:fldCharType="end"/>
            </w:r>
          </w:hyperlink>
        </w:p>
        <w:p w14:paraId="3BEBE32D" w14:textId="712212DD" w:rsidR="00411D9E" w:rsidRPr="00411D9E" w:rsidRDefault="00D32450">
          <w:pPr>
            <w:pStyle w:val="TOC3"/>
            <w:tabs>
              <w:tab w:val="right" w:leader="dot" w:pos="10790"/>
            </w:tabs>
            <w:rPr>
              <w:i w:val="0"/>
              <w:iCs w:val="0"/>
              <w:noProof/>
              <w:sz w:val="22"/>
              <w:szCs w:val="22"/>
              <w:lang w:bidi="ar-SA"/>
            </w:rPr>
          </w:pPr>
          <w:hyperlink w:anchor="_Toc99026960" w:history="1">
            <w:r w:rsidR="00411D9E" w:rsidRPr="00411D9E">
              <w:rPr>
                <w:rStyle w:val="Hyperlink"/>
                <w:noProof/>
              </w:rPr>
              <w:t>MY 2020 Child CAHPS 5.1H Survey Results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_Toc99026960 \h </w:instrText>
            </w:r>
            <w:r w:rsidR="00411D9E" w:rsidRPr="00411D9E">
              <w:rPr>
                <w:noProof/>
                <w:webHidden/>
              </w:rPr>
            </w:r>
            <w:r w:rsidR="00411D9E" w:rsidRPr="00411D9E">
              <w:rPr>
                <w:noProof/>
                <w:webHidden/>
              </w:rPr>
              <w:fldChar w:fldCharType="separate"/>
            </w:r>
            <w:r>
              <w:rPr>
                <w:noProof/>
                <w:webHidden/>
              </w:rPr>
              <w:t>42</w:t>
            </w:r>
            <w:r w:rsidR="00411D9E" w:rsidRPr="00411D9E">
              <w:rPr>
                <w:noProof/>
                <w:webHidden/>
              </w:rPr>
              <w:fldChar w:fldCharType="end"/>
            </w:r>
          </w:hyperlink>
        </w:p>
        <w:p w14:paraId="63771C26" w14:textId="68FAB7D7" w:rsidR="00411D9E" w:rsidRPr="00411D9E" w:rsidRDefault="00D32450">
          <w:pPr>
            <w:pStyle w:val="TOC1"/>
            <w:rPr>
              <w:b w:val="0"/>
              <w:bCs w:val="0"/>
              <w:caps w:val="0"/>
              <w:noProof/>
              <w:sz w:val="22"/>
              <w:szCs w:val="22"/>
              <w:lang w:bidi="ar-SA"/>
            </w:rPr>
          </w:pPr>
          <w:hyperlink w:anchor="_Toc99026961" w:history="1">
            <w:r w:rsidR="00411D9E" w:rsidRPr="00411D9E">
              <w:rPr>
                <w:rStyle w:val="Hyperlink"/>
                <w:noProof/>
              </w:rPr>
              <w:t>III: Review of Compliance with Medicaid and CHIP Managed Care Regulations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_Toc99026961 \h </w:instrText>
            </w:r>
            <w:r w:rsidR="00411D9E" w:rsidRPr="00411D9E">
              <w:rPr>
                <w:noProof/>
                <w:webHidden/>
              </w:rPr>
            </w:r>
            <w:r w:rsidR="00411D9E" w:rsidRPr="00411D9E">
              <w:rPr>
                <w:noProof/>
                <w:webHidden/>
              </w:rPr>
              <w:fldChar w:fldCharType="separate"/>
            </w:r>
            <w:r>
              <w:rPr>
                <w:noProof/>
                <w:webHidden/>
              </w:rPr>
              <w:t>43</w:t>
            </w:r>
            <w:r w:rsidR="00411D9E" w:rsidRPr="00411D9E">
              <w:rPr>
                <w:noProof/>
                <w:webHidden/>
              </w:rPr>
              <w:fldChar w:fldCharType="end"/>
            </w:r>
          </w:hyperlink>
        </w:p>
        <w:p w14:paraId="6B7FBFBC" w14:textId="466783DB" w:rsidR="00411D9E" w:rsidRPr="00411D9E" w:rsidRDefault="00D32450">
          <w:pPr>
            <w:pStyle w:val="TOC2"/>
            <w:rPr>
              <w:smallCaps w:val="0"/>
              <w:noProof/>
              <w:sz w:val="22"/>
              <w:szCs w:val="22"/>
              <w:lang w:bidi="ar-SA"/>
            </w:rPr>
          </w:pPr>
          <w:hyperlink w:anchor="_Toc99026962" w:history="1">
            <w:r w:rsidR="00411D9E" w:rsidRPr="00411D9E">
              <w:rPr>
                <w:rStyle w:val="Hyperlink"/>
                <w:noProof/>
              </w:rPr>
              <w:t>Objectives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_Toc99026962 \h </w:instrText>
            </w:r>
            <w:r w:rsidR="00411D9E" w:rsidRPr="00411D9E">
              <w:rPr>
                <w:noProof/>
                <w:webHidden/>
              </w:rPr>
            </w:r>
            <w:r w:rsidR="00411D9E" w:rsidRPr="00411D9E">
              <w:rPr>
                <w:noProof/>
                <w:webHidden/>
              </w:rPr>
              <w:fldChar w:fldCharType="separate"/>
            </w:r>
            <w:r>
              <w:rPr>
                <w:noProof/>
                <w:webHidden/>
              </w:rPr>
              <w:t>43</w:t>
            </w:r>
            <w:r w:rsidR="00411D9E" w:rsidRPr="00411D9E">
              <w:rPr>
                <w:noProof/>
                <w:webHidden/>
              </w:rPr>
              <w:fldChar w:fldCharType="end"/>
            </w:r>
          </w:hyperlink>
        </w:p>
        <w:p w14:paraId="1EEB78A6" w14:textId="7A54A5A3" w:rsidR="00411D9E" w:rsidRPr="00411D9E" w:rsidRDefault="00D32450">
          <w:pPr>
            <w:pStyle w:val="TOC2"/>
            <w:rPr>
              <w:smallCaps w:val="0"/>
              <w:noProof/>
              <w:sz w:val="22"/>
              <w:szCs w:val="22"/>
              <w:lang w:bidi="ar-SA"/>
            </w:rPr>
          </w:pPr>
          <w:hyperlink w:anchor="_Toc99026963" w:history="1">
            <w:r w:rsidR="00411D9E" w:rsidRPr="00411D9E">
              <w:rPr>
                <w:rStyle w:val="Hyperlink"/>
                <w:noProof/>
              </w:rPr>
              <w:t>Description of Data Obtained</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_Toc99026963 \h </w:instrText>
            </w:r>
            <w:r w:rsidR="00411D9E" w:rsidRPr="00411D9E">
              <w:rPr>
                <w:noProof/>
                <w:webHidden/>
              </w:rPr>
            </w:r>
            <w:r w:rsidR="00411D9E" w:rsidRPr="00411D9E">
              <w:rPr>
                <w:noProof/>
                <w:webHidden/>
              </w:rPr>
              <w:fldChar w:fldCharType="separate"/>
            </w:r>
            <w:r>
              <w:rPr>
                <w:noProof/>
                <w:webHidden/>
              </w:rPr>
              <w:t>43</w:t>
            </w:r>
            <w:r w:rsidR="00411D9E" w:rsidRPr="00411D9E">
              <w:rPr>
                <w:noProof/>
                <w:webHidden/>
              </w:rPr>
              <w:fldChar w:fldCharType="end"/>
            </w:r>
          </w:hyperlink>
        </w:p>
        <w:p w14:paraId="4A803A9E" w14:textId="254A2C10" w:rsidR="00411D9E" w:rsidRPr="00411D9E" w:rsidRDefault="00D32450">
          <w:pPr>
            <w:pStyle w:val="TOC2"/>
            <w:rPr>
              <w:smallCaps w:val="0"/>
              <w:noProof/>
              <w:sz w:val="22"/>
              <w:szCs w:val="22"/>
              <w:lang w:bidi="ar-SA"/>
            </w:rPr>
          </w:pPr>
          <w:hyperlink w:anchor="_Toc99026964" w:history="1">
            <w:r w:rsidR="00411D9E" w:rsidRPr="00411D9E">
              <w:rPr>
                <w:rStyle w:val="Hyperlink"/>
                <w:noProof/>
              </w:rPr>
              <w:t>Determination of Compliance</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_Toc99026964 \h </w:instrText>
            </w:r>
            <w:r w:rsidR="00411D9E" w:rsidRPr="00411D9E">
              <w:rPr>
                <w:noProof/>
                <w:webHidden/>
              </w:rPr>
            </w:r>
            <w:r w:rsidR="00411D9E" w:rsidRPr="00411D9E">
              <w:rPr>
                <w:noProof/>
                <w:webHidden/>
              </w:rPr>
              <w:fldChar w:fldCharType="separate"/>
            </w:r>
            <w:r>
              <w:rPr>
                <w:noProof/>
                <w:webHidden/>
              </w:rPr>
              <w:t>44</w:t>
            </w:r>
            <w:r w:rsidR="00411D9E" w:rsidRPr="00411D9E">
              <w:rPr>
                <w:noProof/>
                <w:webHidden/>
              </w:rPr>
              <w:fldChar w:fldCharType="end"/>
            </w:r>
          </w:hyperlink>
        </w:p>
        <w:p w14:paraId="34558FB9" w14:textId="4B8E7885" w:rsidR="00411D9E" w:rsidRPr="00411D9E" w:rsidRDefault="00D32450">
          <w:pPr>
            <w:pStyle w:val="TOC2"/>
            <w:rPr>
              <w:smallCaps w:val="0"/>
              <w:noProof/>
              <w:sz w:val="22"/>
              <w:szCs w:val="22"/>
              <w:lang w:bidi="ar-SA"/>
            </w:rPr>
          </w:pPr>
          <w:hyperlink w:anchor="_Toc99026965" w:history="1">
            <w:r w:rsidR="00411D9E" w:rsidRPr="00411D9E">
              <w:rPr>
                <w:rStyle w:val="Hyperlink"/>
                <w:noProof/>
              </w:rPr>
              <w:t>Findings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_Toc99026965 \h </w:instrText>
            </w:r>
            <w:r w:rsidR="00411D9E" w:rsidRPr="00411D9E">
              <w:rPr>
                <w:noProof/>
                <w:webHidden/>
              </w:rPr>
            </w:r>
            <w:r w:rsidR="00411D9E" w:rsidRPr="00411D9E">
              <w:rPr>
                <w:noProof/>
                <w:webHidden/>
              </w:rPr>
              <w:fldChar w:fldCharType="separate"/>
            </w:r>
            <w:r>
              <w:rPr>
                <w:noProof/>
                <w:webHidden/>
              </w:rPr>
              <w:t>45</w:t>
            </w:r>
            <w:r w:rsidR="00411D9E" w:rsidRPr="00411D9E">
              <w:rPr>
                <w:noProof/>
                <w:webHidden/>
              </w:rPr>
              <w:fldChar w:fldCharType="end"/>
            </w:r>
          </w:hyperlink>
        </w:p>
        <w:p w14:paraId="51777B41" w14:textId="496EFBE2" w:rsidR="00411D9E" w:rsidRPr="00411D9E" w:rsidRDefault="00D32450">
          <w:pPr>
            <w:pStyle w:val="TOC3"/>
            <w:tabs>
              <w:tab w:val="right" w:leader="dot" w:pos="10790"/>
            </w:tabs>
            <w:rPr>
              <w:i w:val="0"/>
              <w:iCs w:val="0"/>
              <w:noProof/>
              <w:sz w:val="22"/>
              <w:szCs w:val="22"/>
              <w:lang w:bidi="ar-SA"/>
            </w:rPr>
          </w:pPr>
          <w:hyperlink w:anchor="_Toc99026966" w:history="1">
            <w:r w:rsidR="00411D9E" w:rsidRPr="00411D9E">
              <w:rPr>
                <w:rStyle w:val="Hyperlink"/>
                <w:noProof/>
              </w:rPr>
              <w:t>Subpart D: MCO, PIHP and PAHP Standards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_Toc99026966 \h </w:instrText>
            </w:r>
            <w:r w:rsidR="00411D9E" w:rsidRPr="00411D9E">
              <w:rPr>
                <w:noProof/>
                <w:webHidden/>
              </w:rPr>
            </w:r>
            <w:r w:rsidR="00411D9E" w:rsidRPr="00411D9E">
              <w:rPr>
                <w:noProof/>
                <w:webHidden/>
              </w:rPr>
              <w:fldChar w:fldCharType="separate"/>
            </w:r>
            <w:r>
              <w:rPr>
                <w:noProof/>
                <w:webHidden/>
              </w:rPr>
              <w:t>45</w:t>
            </w:r>
            <w:r w:rsidR="00411D9E" w:rsidRPr="00411D9E">
              <w:rPr>
                <w:noProof/>
                <w:webHidden/>
              </w:rPr>
              <w:fldChar w:fldCharType="end"/>
            </w:r>
          </w:hyperlink>
        </w:p>
        <w:p w14:paraId="6FC05EA7" w14:textId="32FC461A" w:rsidR="00411D9E" w:rsidRPr="00411D9E" w:rsidRDefault="00D32450">
          <w:pPr>
            <w:pStyle w:val="TOC3"/>
            <w:tabs>
              <w:tab w:val="right" w:leader="dot" w:pos="10790"/>
            </w:tabs>
            <w:rPr>
              <w:i w:val="0"/>
              <w:iCs w:val="0"/>
              <w:noProof/>
              <w:sz w:val="22"/>
              <w:szCs w:val="22"/>
              <w:lang w:bidi="ar-SA"/>
            </w:rPr>
          </w:pPr>
          <w:hyperlink w:anchor="_Toc99026967" w:history="1">
            <w:r w:rsidR="00411D9E" w:rsidRPr="00411D9E">
              <w:rPr>
                <w:rStyle w:val="Hyperlink"/>
                <w:noProof/>
              </w:rPr>
              <w:t>Subpart E: Quality Measurement and Improvement</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_Toc99026967 \h </w:instrText>
            </w:r>
            <w:r w:rsidR="00411D9E" w:rsidRPr="00411D9E">
              <w:rPr>
                <w:noProof/>
                <w:webHidden/>
              </w:rPr>
            </w:r>
            <w:r w:rsidR="00411D9E" w:rsidRPr="00411D9E">
              <w:rPr>
                <w:noProof/>
                <w:webHidden/>
              </w:rPr>
              <w:fldChar w:fldCharType="separate"/>
            </w:r>
            <w:r>
              <w:rPr>
                <w:noProof/>
                <w:webHidden/>
              </w:rPr>
              <w:t>46</w:t>
            </w:r>
            <w:r w:rsidR="00411D9E" w:rsidRPr="00411D9E">
              <w:rPr>
                <w:noProof/>
                <w:webHidden/>
              </w:rPr>
              <w:fldChar w:fldCharType="end"/>
            </w:r>
          </w:hyperlink>
        </w:p>
        <w:p w14:paraId="41FC180A" w14:textId="65D67821" w:rsidR="00411D9E" w:rsidRPr="00411D9E" w:rsidRDefault="00D32450">
          <w:pPr>
            <w:pStyle w:val="TOC1"/>
            <w:rPr>
              <w:b w:val="0"/>
              <w:bCs w:val="0"/>
              <w:caps w:val="0"/>
              <w:noProof/>
              <w:sz w:val="22"/>
              <w:szCs w:val="22"/>
              <w:lang w:bidi="ar-SA"/>
            </w:rPr>
          </w:pPr>
          <w:hyperlink w:anchor="_Toc99026968" w:history="1">
            <w:r w:rsidR="00411D9E" w:rsidRPr="00411D9E">
              <w:rPr>
                <w:rStyle w:val="Hyperlink"/>
                <w:noProof/>
              </w:rPr>
              <w:t>IV: MCO Responses to the Previous EQR Recommendations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_Toc99026968 \h </w:instrText>
            </w:r>
            <w:r w:rsidR="00411D9E" w:rsidRPr="00411D9E">
              <w:rPr>
                <w:noProof/>
                <w:webHidden/>
              </w:rPr>
            </w:r>
            <w:r w:rsidR="00411D9E" w:rsidRPr="00411D9E">
              <w:rPr>
                <w:noProof/>
                <w:webHidden/>
              </w:rPr>
              <w:fldChar w:fldCharType="separate"/>
            </w:r>
            <w:r>
              <w:rPr>
                <w:noProof/>
                <w:webHidden/>
              </w:rPr>
              <w:t>47</w:t>
            </w:r>
            <w:r w:rsidR="00411D9E" w:rsidRPr="00411D9E">
              <w:rPr>
                <w:noProof/>
                <w:webHidden/>
              </w:rPr>
              <w:fldChar w:fldCharType="end"/>
            </w:r>
          </w:hyperlink>
        </w:p>
        <w:p w14:paraId="7F331CB5" w14:textId="73DACD0D" w:rsidR="00411D9E" w:rsidRPr="00411D9E" w:rsidRDefault="00D32450">
          <w:pPr>
            <w:pStyle w:val="TOC2"/>
            <w:rPr>
              <w:smallCaps w:val="0"/>
              <w:noProof/>
              <w:sz w:val="22"/>
              <w:szCs w:val="22"/>
              <w:lang w:bidi="ar-SA"/>
            </w:rPr>
          </w:pPr>
          <w:hyperlink w:anchor="_Toc99026969" w:history="1">
            <w:r w:rsidR="00411D9E" w:rsidRPr="00411D9E">
              <w:rPr>
                <w:rStyle w:val="Hyperlink"/>
                <w:noProof/>
              </w:rPr>
              <w:t>Current and Proposed Interventions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_Toc99026969 \h </w:instrText>
            </w:r>
            <w:r w:rsidR="00411D9E" w:rsidRPr="00411D9E">
              <w:rPr>
                <w:noProof/>
                <w:webHidden/>
              </w:rPr>
            </w:r>
            <w:r w:rsidR="00411D9E" w:rsidRPr="00411D9E">
              <w:rPr>
                <w:noProof/>
                <w:webHidden/>
              </w:rPr>
              <w:fldChar w:fldCharType="separate"/>
            </w:r>
            <w:r>
              <w:rPr>
                <w:noProof/>
                <w:webHidden/>
              </w:rPr>
              <w:t>47</w:t>
            </w:r>
            <w:r w:rsidR="00411D9E" w:rsidRPr="00411D9E">
              <w:rPr>
                <w:noProof/>
                <w:webHidden/>
              </w:rPr>
              <w:fldChar w:fldCharType="end"/>
            </w:r>
          </w:hyperlink>
        </w:p>
        <w:p w14:paraId="66E14D3A" w14:textId="17321B3B" w:rsidR="00411D9E" w:rsidRPr="00411D9E" w:rsidRDefault="00D32450">
          <w:pPr>
            <w:pStyle w:val="TOC2"/>
            <w:rPr>
              <w:smallCaps w:val="0"/>
              <w:noProof/>
              <w:sz w:val="22"/>
              <w:szCs w:val="22"/>
              <w:lang w:bidi="ar-SA"/>
            </w:rPr>
          </w:pPr>
          <w:hyperlink w:anchor="_Toc99026970" w:history="1">
            <w:r w:rsidR="00411D9E" w:rsidRPr="00411D9E">
              <w:rPr>
                <w:rStyle w:val="Hyperlink"/>
                <w:noProof/>
              </w:rPr>
              <w:t>Highmark PPO Response to Previous EQR Recommendations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_Toc99026970 \h </w:instrText>
            </w:r>
            <w:r w:rsidR="00411D9E" w:rsidRPr="00411D9E">
              <w:rPr>
                <w:noProof/>
                <w:webHidden/>
              </w:rPr>
            </w:r>
            <w:r w:rsidR="00411D9E" w:rsidRPr="00411D9E">
              <w:rPr>
                <w:noProof/>
                <w:webHidden/>
              </w:rPr>
              <w:fldChar w:fldCharType="separate"/>
            </w:r>
            <w:r>
              <w:rPr>
                <w:noProof/>
                <w:webHidden/>
              </w:rPr>
              <w:t>47</w:t>
            </w:r>
            <w:r w:rsidR="00411D9E" w:rsidRPr="00411D9E">
              <w:rPr>
                <w:noProof/>
                <w:webHidden/>
              </w:rPr>
              <w:fldChar w:fldCharType="end"/>
            </w:r>
          </w:hyperlink>
        </w:p>
        <w:p w14:paraId="6C5CA57A" w14:textId="507AEF8C" w:rsidR="00411D9E" w:rsidRPr="00411D9E" w:rsidRDefault="00D32450">
          <w:pPr>
            <w:pStyle w:val="TOC1"/>
            <w:rPr>
              <w:b w:val="0"/>
              <w:bCs w:val="0"/>
              <w:caps w:val="0"/>
              <w:noProof/>
              <w:sz w:val="22"/>
              <w:szCs w:val="22"/>
              <w:lang w:bidi="ar-SA"/>
            </w:rPr>
          </w:pPr>
          <w:hyperlink w:anchor="_Toc99026971" w:history="1">
            <w:r w:rsidR="00411D9E" w:rsidRPr="00411D9E">
              <w:rPr>
                <w:rStyle w:val="Hyperlink"/>
                <w:noProof/>
              </w:rPr>
              <w:t>V: MCO Strengths and Opportunities for Improvement and EQR Recommendations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_Toc99026971 \h </w:instrText>
            </w:r>
            <w:r w:rsidR="00411D9E" w:rsidRPr="00411D9E">
              <w:rPr>
                <w:noProof/>
                <w:webHidden/>
              </w:rPr>
            </w:r>
            <w:r w:rsidR="00411D9E" w:rsidRPr="00411D9E">
              <w:rPr>
                <w:noProof/>
                <w:webHidden/>
              </w:rPr>
              <w:fldChar w:fldCharType="separate"/>
            </w:r>
            <w:r>
              <w:rPr>
                <w:noProof/>
                <w:webHidden/>
              </w:rPr>
              <w:t>49</w:t>
            </w:r>
            <w:r w:rsidR="00411D9E" w:rsidRPr="00411D9E">
              <w:rPr>
                <w:noProof/>
                <w:webHidden/>
              </w:rPr>
              <w:fldChar w:fldCharType="end"/>
            </w:r>
          </w:hyperlink>
        </w:p>
        <w:p w14:paraId="39451961" w14:textId="55C53F43" w:rsidR="00411D9E" w:rsidRPr="00411D9E" w:rsidRDefault="00D32450">
          <w:pPr>
            <w:pStyle w:val="TOC2"/>
            <w:rPr>
              <w:smallCaps w:val="0"/>
              <w:noProof/>
              <w:sz w:val="22"/>
              <w:szCs w:val="22"/>
              <w:lang w:bidi="ar-SA"/>
            </w:rPr>
          </w:pPr>
          <w:hyperlink w:anchor="_Toc99026972" w:history="1">
            <w:r w:rsidR="00411D9E" w:rsidRPr="00411D9E">
              <w:rPr>
                <w:rStyle w:val="Hyperlink"/>
                <w:noProof/>
              </w:rPr>
              <w:t>Strengths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_Toc99026972 \h </w:instrText>
            </w:r>
            <w:r w:rsidR="00411D9E" w:rsidRPr="00411D9E">
              <w:rPr>
                <w:noProof/>
                <w:webHidden/>
              </w:rPr>
            </w:r>
            <w:r w:rsidR="00411D9E" w:rsidRPr="00411D9E">
              <w:rPr>
                <w:noProof/>
                <w:webHidden/>
              </w:rPr>
              <w:fldChar w:fldCharType="separate"/>
            </w:r>
            <w:r>
              <w:rPr>
                <w:noProof/>
                <w:webHidden/>
              </w:rPr>
              <w:t>49</w:t>
            </w:r>
            <w:r w:rsidR="00411D9E" w:rsidRPr="00411D9E">
              <w:rPr>
                <w:noProof/>
                <w:webHidden/>
              </w:rPr>
              <w:fldChar w:fldCharType="end"/>
            </w:r>
          </w:hyperlink>
        </w:p>
        <w:p w14:paraId="2AEB72D5" w14:textId="64305B7B" w:rsidR="00411D9E" w:rsidRPr="00411D9E" w:rsidRDefault="00D32450">
          <w:pPr>
            <w:pStyle w:val="TOC2"/>
            <w:rPr>
              <w:smallCaps w:val="0"/>
              <w:noProof/>
              <w:sz w:val="22"/>
              <w:szCs w:val="22"/>
              <w:lang w:bidi="ar-SA"/>
            </w:rPr>
          </w:pPr>
          <w:hyperlink w:anchor="_Toc99026973" w:history="1">
            <w:r w:rsidR="00411D9E" w:rsidRPr="00411D9E">
              <w:rPr>
                <w:rStyle w:val="Hyperlink"/>
                <w:noProof/>
              </w:rPr>
              <w:t>Opportunities for Improvement</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_Toc99026973 \h </w:instrText>
            </w:r>
            <w:r w:rsidR="00411D9E" w:rsidRPr="00411D9E">
              <w:rPr>
                <w:noProof/>
                <w:webHidden/>
              </w:rPr>
            </w:r>
            <w:r w:rsidR="00411D9E" w:rsidRPr="00411D9E">
              <w:rPr>
                <w:noProof/>
                <w:webHidden/>
              </w:rPr>
              <w:fldChar w:fldCharType="separate"/>
            </w:r>
            <w:r>
              <w:rPr>
                <w:noProof/>
                <w:webHidden/>
              </w:rPr>
              <w:t>49</w:t>
            </w:r>
            <w:r w:rsidR="00411D9E" w:rsidRPr="00411D9E">
              <w:rPr>
                <w:noProof/>
                <w:webHidden/>
              </w:rPr>
              <w:fldChar w:fldCharType="end"/>
            </w:r>
          </w:hyperlink>
        </w:p>
        <w:p w14:paraId="25A131FE" w14:textId="19279977" w:rsidR="00411D9E" w:rsidRPr="00411D9E" w:rsidRDefault="00D32450">
          <w:pPr>
            <w:pStyle w:val="TOC1"/>
            <w:rPr>
              <w:b w:val="0"/>
              <w:bCs w:val="0"/>
              <w:caps w:val="0"/>
              <w:noProof/>
              <w:sz w:val="22"/>
              <w:szCs w:val="22"/>
              <w:lang w:bidi="ar-SA"/>
            </w:rPr>
          </w:pPr>
          <w:hyperlink w:anchor="_Toc99026974" w:history="1">
            <w:r w:rsidR="00411D9E" w:rsidRPr="00411D9E">
              <w:rPr>
                <w:rStyle w:val="Hyperlink"/>
                <w:noProof/>
              </w:rPr>
              <w:t>VI: Summary of Activities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_Toc99026974 \h </w:instrText>
            </w:r>
            <w:r w:rsidR="00411D9E" w:rsidRPr="00411D9E">
              <w:rPr>
                <w:noProof/>
                <w:webHidden/>
              </w:rPr>
            </w:r>
            <w:r w:rsidR="00411D9E" w:rsidRPr="00411D9E">
              <w:rPr>
                <w:noProof/>
                <w:webHidden/>
              </w:rPr>
              <w:fldChar w:fldCharType="separate"/>
            </w:r>
            <w:r>
              <w:rPr>
                <w:noProof/>
                <w:webHidden/>
              </w:rPr>
              <w:t>51</w:t>
            </w:r>
            <w:r w:rsidR="00411D9E" w:rsidRPr="00411D9E">
              <w:rPr>
                <w:noProof/>
                <w:webHidden/>
              </w:rPr>
              <w:fldChar w:fldCharType="end"/>
            </w:r>
          </w:hyperlink>
        </w:p>
        <w:p w14:paraId="3407A43B" w14:textId="007863D5" w:rsidR="00411D9E" w:rsidRPr="00411D9E" w:rsidRDefault="00D32450">
          <w:pPr>
            <w:pStyle w:val="TOC2"/>
            <w:rPr>
              <w:smallCaps w:val="0"/>
              <w:noProof/>
              <w:sz w:val="22"/>
              <w:szCs w:val="22"/>
              <w:lang w:bidi="ar-SA"/>
            </w:rPr>
          </w:pPr>
          <w:hyperlink w:anchor="_Toc99026975" w:history="1">
            <w:r w:rsidR="00411D9E" w:rsidRPr="00411D9E">
              <w:rPr>
                <w:rStyle w:val="Hyperlink"/>
                <w:noProof/>
              </w:rPr>
              <w:t>Performance Improvement Projects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_Toc99026975 \h </w:instrText>
            </w:r>
            <w:r w:rsidR="00411D9E" w:rsidRPr="00411D9E">
              <w:rPr>
                <w:noProof/>
                <w:webHidden/>
              </w:rPr>
            </w:r>
            <w:r w:rsidR="00411D9E" w:rsidRPr="00411D9E">
              <w:rPr>
                <w:noProof/>
                <w:webHidden/>
              </w:rPr>
              <w:fldChar w:fldCharType="separate"/>
            </w:r>
            <w:r>
              <w:rPr>
                <w:noProof/>
                <w:webHidden/>
              </w:rPr>
              <w:t>51</w:t>
            </w:r>
            <w:r w:rsidR="00411D9E" w:rsidRPr="00411D9E">
              <w:rPr>
                <w:noProof/>
                <w:webHidden/>
              </w:rPr>
              <w:fldChar w:fldCharType="end"/>
            </w:r>
          </w:hyperlink>
        </w:p>
        <w:p w14:paraId="243445CD" w14:textId="7D11E968" w:rsidR="00411D9E" w:rsidRPr="00411D9E" w:rsidRDefault="00D32450">
          <w:pPr>
            <w:pStyle w:val="TOC2"/>
            <w:rPr>
              <w:smallCaps w:val="0"/>
              <w:noProof/>
              <w:sz w:val="22"/>
              <w:szCs w:val="22"/>
              <w:lang w:bidi="ar-SA"/>
            </w:rPr>
          </w:pPr>
          <w:hyperlink w:anchor="_Toc99026976" w:history="1">
            <w:r w:rsidR="00411D9E" w:rsidRPr="00411D9E">
              <w:rPr>
                <w:rStyle w:val="Hyperlink"/>
                <w:noProof/>
              </w:rPr>
              <w:t>Performance Measures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_Toc99026976 \h </w:instrText>
            </w:r>
            <w:r w:rsidR="00411D9E" w:rsidRPr="00411D9E">
              <w:rPr>
                <w:noProof/>
                <w:webHidden/>
              </w:rPr>
            </w:r>
            <w:r w:rsidR="00411D9E" w:rsidRPr="00411D9E">
              <w:rPr>
                <w:noProof/>
                <w:webHidden/>
              </w:rPr>
              <w:fldChar w:fldCharType="separate"/>
            </w:r>
            <w:r>
              <w:rPr>
                <w:noProof/>
                <w:webHidden/>
              </w:rPr>
              <w:t>51</w:t>
            </w:r>
            <w:r w:rsidR="00411D9E" w:rsidRPr="00411D9E">
              <w:rPr>
                <w:noProof/>
                <w:webHidden/>
              </w:rPr>
              <w:fldChar w:fldCharType="end"/>
            </w:r>
          </w:hyperlink>
        </w:p>
        <w:p w14:paraId="04667F33" w14:textId="296186B3" w:rsidR="00411D9E" w:rsidRPr="00411D9E" w:rsidRDefault="00D32450">
          <w:pPr>
            <w:pStyle w:val="TOC2"/>
            <w:rPr>
              <w:smallCaps w:val="0"/>
              <w:noProof/>
              <w:sz w:val="22"/>
              <w:szCs w:val="22"/>
              <w:lang w:bidi="ar-SA"/>
            </w:rPr>
          </w:pPr>
          <w:hyperlink w:anchor="_Toc99026977" w:history="1">
            <w:r w:rsidR="00411D9E" w:rsidRPr="00411D9E">
              <w:rPr>
                <w:rStyle w:val="Hyperlink"/>
                <w:noProof/>
              </w:rPr>
              <w:t>Structure and Operations Standards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_Toc99026977 \h </w:instrText>
            </w:r>
            <w:r w:rsidR="00411D9E" w:rsidRPr="00411D9E">
              <w:rPr>
                <w:noProof/>
                <w:webHidden/>
              </w:rPr>
            </w:r>
            <w:r w:rsidR="00411D9E" w:rsidRPr="00411D9E">
              <w:rPr>
                <w:noProof/>
                <w:webHidden/>
              </w:rPr>
              <w:fldChar w:fldCharType="separate"/>
            </w:r>
            <w:r>
              <w:rPr>
                <w:noProof/>
                <w:webHidden/>
              </w:rPr>
              <w:t>51</w:t>
            </w:r>
            <w:r w:rsidR="00411D9E" w:rsidRPr="00411D9E">
              <w:rPr>
                <w:noProof/>
                <w:webHidden/>
              </w:rPr>
              <w:fldChar w:fldCharType="end"/>
            </w:r>
          </w:hyperlink>
        </w:p>
        <w:p w14:paraId="6B2A8411" w14:textId="7D1E7C1B" w:rsidR="00411D9E" w:rsidRPr="00411D9E" w:rsidRDefault="00D32450">
          <w:pPr>
            <w:pStyle w:val="TOC2"/>
            <w:rPr>
              <w:smallCaps w:val="0"/>
              <w:noProof/>
              <w:sz w:val="22"/>
              <w:szCs w:val="22"/>
              <w:lang w:bidi="ar-SA"/>
            </w:rPr>
          </w:pPr>
          <w:hyperlink w:anchor="_Toc99026978" w:history="1">
            <w:r w:rsidR="00411D9E" w:rsidRPr="00411D9E">
              <w:rPr>
                <w:rStyle w:val="Hyperlink"/>
                <w:noProof/>
              </w:rPr>
              <w:t>2020 Opportunities for Improvement MCO Response</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_Toc99026978 \h </w:instrText>
            </w:r>
            <w:r w:rsidR="00411D9E" w:rsidRPr="00411D9E">
              <w:rPr>
                <w:noProof/>
                <w:webHidden/>
              </w:rPr>
            </w:r>
            <w:r w:rsidR="00411D9E" w:rsidRPr="00411D9E">
              <w:rPr>
                <w:noProof/>
                <w:webHidden/>
              </w:rPr>
              <w:fldChar w:fldCharType="separate"/>
            </w:r>
            <w:r>
              <w:rPr>
                <w:noProof/>
                <w:webHidden/>
              </w:rPr>
              <w:t>51</w:t>
            </w:r>
            <w:r w:rsidR="00411D9E" w:rsidRPr="00411D9E">
              <w:rPr>
                <w:noProof/>
                <w:webHidden/>
              </w:rPr>
              <w:fldChar w:fldCharType="end"/>
            </w:r>
          </w:hyperlink>
        </w:p>
        <w:p w14:paraId="59197763" w14:textId="6B4085DB" w:rsidR="00411D9E" w:rsidRPr="00411D9E" w:rsidRDefault="00D32450">
          <w:pPr>
            <w:pStyle w:val="TOC2"/>
            <w:rPr>
              <w:smallCaps w:val="0"/>
              <w:noProof/>
              <w:sz w:val="22"/>
              <w:szCs w:val="22"/>
              <w:lang w:bidi="ar-SA"/>
            </w:rPr>
          </w:pPr>
          <w:hyperlink w:anchor="_Toc99026979" w:history="1">
            <w:r w:rsidR="00411D9E" w:rsidRPr="00411D9E">
              <w:rPr>
                <w:rStyle w:val="Hyperlink"/>
                <w:noProof/>
              </w:rPr>
              <w:t>2021 Strengths and Opportunities for Improvement</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_Toc99026979 \h </w:instrText>
            </w:r>
            <w:r w:rsidR="00411D9E" w:rsidRPr="00411D9E">
              <w:rPr>
                <w:noProof/>
                <w:webHidden/>
              </w:rPr>
            </w:r>
            <w:r w:rsidR="00411D9E" w:rsidRPr="00411D9E">
              <w:rPr>
                <w:noProof/>
                <w:webHidden/>
              </w:rPr>
              <w:fldChar w:fldCharType="separate"/>
            </w:r>
            <w:r>
              <w:rPr>
                <w:noProof/>
                <w:webHidden/>
              </w:rPr>
              <w:t>51</w:t>
            </w:r>
            <w:r w:rsidR="00411D9E" w:rsidRPr="00411D9E">
              <w:rPr>
                <w:noProof/>
                <w:webHidden/>
              </w:rPr>
              <w:fldChar w:fldCharType="end"/>
            </w:r>
          </w:hyperlink>
        </w:p>
        <w:p w14:paraId="4105EA81" w14:textId="227C7002" w:rsidR="00411D9E" w:rsidRPr="00411D9E" w:rsidRDefault="00D32450">
          <w:pPr>
            <w:pStyle w:val="TOC1"/>
            <w:rPr>
              <w:b w:val="0"/>
              <w:bCs w:val="0"/>
              <w:caps w:val="0"/>
              <w:noProof/>
              <w:sz w:val="22"/>
              <w:szCs w:val="22"/>
              <w:lang w:bidi="ar-SA"/>
            </w:rPr>
          </w:pPr>
          <w:hyperlink w:anchor="_Toc99026980" w:history="1">
            <w:r w:rsidR="00411D9E" w:rsidRPr="00411D9E">
              <w:rPr>
                <w:rStyle w:val="Hyperlink"/>
                <w:noProof/>
              </w:rPr>
              <w:t>Appendix</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_Toc99026980 \h </w:instrText>
            </w:r>
            <w:r w:rsidR="00411D9E" w:rsidRPr="00411D9E">
              <w:rPr>
                <w:noProof/>
                <w:webHidden/>
              </w:rPr>
            </w:r>
            <w:r w:rsidR="00411D9E" w:rsidRPr="00411D9E">
              <w:rPr>
                <w:noProof/>
                <w:webHidden/>
              </w:rPr>
              <w:fldChar w:fldCharType="separate"/>
            </w:r>
            <w:r>
              <w:rPr>
                <w:noProof/>
                <w:webHidden/>
              </w:rPr>
              <w:t>52</w:t>
            </w:r>
            <w:r w:rsidR="00411D9E" w:rsidRPr="00411D9E">
              <w:rPr>
                <w:noProof/>
                <w:webHidden/>
              </w:rPr>
              <w:fldChar w:fldCharType="end"/>
            </w:r>
          </w:hyperlink>
        </w:p>
        <w:p w14:paraId="1B023307" w14:textId="21BCFA78" w:rsidR="00411D9E" w:rsidRPr="00411D9E" w:rsidRDefault="00D32450">
          <w:pPr>
            <w:pStyle w:val="TOC2"/>
            <w:rPr>
              <w:smallCaps w:val="0"/>
              <w:noProof/>
              <w:sz w:val="22"/>
              <w:szCs w:val="22"/>
              <w:lang w:bidi="ar-SA"/>
            </w:rPr>
          </w:pPr>
          <w:hyperlink w:anchor="_Toc99026981" w:history="1">
            <w:r w:rsidR="00411D9E" w:rsidRPr="00411D9E">
              <w:rPr>
                <w:rStyle w:val="Hyperlink"/>
                <w:noProof/>
              </w:rPr>
              <w:t>A.1.1. Performance Improvement Project Interventions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_Toc99026981 \h </w:instrText>
            </w:r>
            <w:r w:rsidR="00411D9E" w:rsidRPr="00411D9E">
              <w:rPr>
                <w:noProof/>
                <w:webHidden/>
              </w:rPr>
            </w:r>
            <w:r w:rsidR="00411D9E" w:rsidRPr="00411D9E">
              <w:rPr>
                <w:noProof/>
                <w:webHidden/>
              </w:rPr>
              <w:fldChar w:fldCharType="separate"/>
            </w:r>
            <w:r>
              <w:rPr>
                <w:noProof/>
                <w:webHidden/>
              </w:rPr>
              <w:t>52</w:t>
            </w:r>
            <w:r w:rsidR="00411D9E" w:rsidRPr="00411D9E">
              <w:rPr>
                <w:noProof/>
                <w:webHidden/>
              </w:rPr>
              <w:fldChar w:fldCharType="end"/>
            </w:r>
          </w:hyperlink>
        </w:p>
        <w:p w14:paraId="3E6C570E" w14:textId="219B2CBB" w:rsidR="00411D9E" w:rsidRPr="00411D9E" w:rsidRDefault="00D32450">
          <w:pPr>
            <w:pStyle w:val="TOC2"/>
            <w:rPr>
              <w:smallCaps w:val="0"/>
              <w:noProof/>
              <w:sz w:val="22"/>
              <w:szCs w:val="22"/>
              <w:lang w:bidi="ar-SA"/>
            </w:rPr>
          </w:pPr>
          <w:hyperlink w:anchor="_Toc99026982" w:history="1">
            <w:r w:rsidR="00411D9E" w:rsidRPr="00411D9E">
              <w:rPr>
                <w:rStyle w:val="Hyperlink"/>
                <w:noProof/>
              </w:rPr>
              <w:t>A.2.1. Comprehensive Compliance Standards List</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_Toc99026982 \h </w:instrText>
            </w:r>
            <w:r w:rsidR="00411D9E" w:rsidRPr="00411D9E">
              <w:rPr>
                <w:noProof/>
                <w:webHidden/>
              </w:rPr>
            </w:r>
            <w:r w:rsidR="00411D9E" w:rsidRPr="00411D9E">
              <w:rPr>
                <w:noProof/>
                <w:webHidden/>
              </w:rPr>
              <w:fldChar w:fldCharType="separate"/>
            </w:r>
            <w:r>
              <w:rPr>
                <w:noProof/>
                <w:webHidden/>
              </w:rPr>
              <w:t>52</w:t>
            </w:r>
            <w:r w:rsidR="00411D9E" w:rsidRPr="00411D9E">
              <w:rPr>
                <w:noProof/>
                <w:webHidden/>
              </w:rPr>
              <w:fldChar w:fldCharType="end"/>
            </w:r>
          </w:hyperlink>
        </w:p>
        <w:p w14:paraId="5D5480D0" w14:textId="6D7E3DC9" w:rsidR="00411D9E" w:rsidRPr="00411D9E" w:rsidRDefault="00D32450">
          <w:pPr>
            <w:pStyle w:val="TOC2"/>
            <w:rPr>
              <w:smallCaps w:val="0"/>
              <w:noProof/>
              <w:sz w:val="22"/>
              <w:szCs w:val="22"/>
              <w:lang w:bidi="ar-SA"/>
            </w:rPr>
          </w:pPr>
          <w:hyperlink w:anchor="_Toc99026983" w:history="1">
            <w:r w:rsidR="00411D9E" w:rsidRPr="00411D9E">
              <w:rPr>
                <w:rStyle w:val="Hyperlink"/>
                <w:noProof/>
              </w:rPr>
              <w:t>A.3.1. Performance Measure Graphs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_Toc99026983 \h </w:instrText>
            </w:r>
            <w:r w:rsidR="00411D9E" w:rsidRPr="00411D9E">
              <w:rPr>
                <w:noProof/>
                <w:webHidden/>
              </w:rPr>
            </w:r>
            <w:r w:rsidR="00411D9E" w:rsidRPr="00411D9E">
              <w:rPr>
                <w:noProof/>
                <w:webHidden/>
              </w:rPr>
              <w:fldChar w:fldCharType="separate"/>
            </w:r>
            <w:r>
              <w:rPr>
                <w:noProof/>
                <w:webHidden/>
              </w:rPr>
              <w:t>54</w:t>
            </w:r>
            <w:r w:rsidR="00411D9E" w:rsidRPr="00411D9E">
              <w:rPr>
                <w:noProof/>
                <w:webHidden/>
              </w:rPr>
              <w:fldChar w:fldCharType="end"/>
            </w:r>
          </w:hyperlink>
        </w:p>
        <w:p w14:paraId="246A003D" w14:textId="60967B63" w:rsidR="00C9378F" w:rsidRPr="00411D9E" w:rsidRDefault="00C9378F" w:rsidP="00C9378F">
          <w:r w:rsidRPr="00411D9E">
            <w:rPr>
              <w:b/>
              <w:bCs/>
            </w:rPr>
            <w:fldChar w:fldCharType="end"/>
          </w:r>
        </w:p>
      </w:sdtContent>
    </w:sdt>
    <w:p w14:paraId="39391E33" w14:textId="779F0013" w:rsidR="00FA60E9" w:rsidRPr="00411D9E" w:rsidRDefault="00FA60E9" w:rsidP="00FA60E9">
      <w:pPr>
        <w:rPr>
          <w:rFonts w:asciiTheme="majorHAnsi" w:eastAsiaTheme="majorEastAsia" w:hAnsiTheme="majorHAnsi" w:cstheme="majorBidi"/>
          <w:b/>
          <w:bCs/>
          <w:color w:val="365F91" w:themeColor="accent1" w:themeShade="BF"/>
          <w:sz w:val="28"/>
          <w:szCs w:val="28"/>
          <w:lang w:eastAsia="ja-JP" w:bidi="ar-SA"/>
        </w:rPr>
      </w:pPr>
      <w:r w:rsidRPr="00411D9E">
        <w:rPr>
          <w:rFonts w:asciiTheme="majorHAnsi" w:eastAsiaTheme="majorEastAsia" w:hAnsiTheme="majorHAnsi" w:cstheme="majorBidi"/>
          <w:b/>
          <w:bCs/>
          <w:color w:val="365F91" w:themeColor="accent1" w:themeShade="BF"/>
          <w:sz w:val="28"/>
          <w:szCs w:val="28"/>
          <w:lang w:eastAsia="ja-JP" w:bidi="ar-SA"/>
        </w:rPr>
        <w:br w:type="page"/>
      </w:r>
    </w:p>
    <w:p w14:paraId="6ACED68E" w14:textId="16465FD5" w:rsidR="00D06888" w:rsidRPr="00411D9E" w:rsidRDefault="00D06888" w:rsidP="00C33B8A">
      <w:pPr>
        <w:rPr>
          <w:rFonts w:asciiTheme="majorHAnsi" w:eastAsiaTheme="majorEastAsia" w:hAnsiTheme="majorHAnsi" w:cstheme="majorBidi"/>
          <w:b/>
          <w:bCs/>
          <w:color w:val="365F91" w:themeColor="accent1" w:themeShade="BF"/>
          <w:sz w:val="28"/>
          <w:szCs w:val="28"/>
          <w:lang w:eastAsia="ja-JP" w:bidi="ar-SA"/>
        </w:rPr>
      </w:pPr>
      <w:r w:rsidRPr="00411D9E">
        <w:rPr>
          <w:rFonts w:asciiTheme="majorHAnsi" w:eastAsiaTheme="majorEastAsia" w:hAnsiTheme="majorHAnsi" w:cstheme="majorBidi"/>
          <w:b/>
          <w:bCs/>
          <w:color w:val="365F91" w:themeColor="accent1" w:themeShade="BF"/>
          <w:sz w:val="28"/>
          <w:szCs w:val="28"/>
          <w:lang w:eastAsia="ja-JP" w:bidi="ar-SA"/>
        </w:rPr>
        <w:lastRenderedPageBreak/>
        <w:t>List of Tables and Figures</w:t>
      </w:r>
    </w:p>
    <w:p w14:paraId="24D718CA" w14:textId="77777777" w:rsidR="00FF71FC" w:rsidRPr="00411D9E" w:rsidRDefault="00FF71FC" w:rsidP="00FF71FC">
      <w:pPr>
        <w:rPr>
          <w:lang w:eastAsia="ja-JP" w:bidi="ar-SA"/>
        </w:rPr>
      </w:pPr>
    </w:p>
    <w:p w14:paraId="7C8B5C14" w14:textId="793CDFAA" w:rsidR="00411D9E" w:rsidRPr="00411D9E" w:rsidRDefault="00D06888">
      <w:pPr>
        <w:pStyle w:val="TableofFigures"/>
        <w:tabs>
          <w:tab w:val="right" w:leader="dot" w:pos="10790"/>
        </w:tabs>
        <w:rPr>
          <w:noProof/>
          <w:lang w:bidi="ar-SA"/>
        </w:rPr>
      </w:pPr>
      <w:r w:rsidRPr="00411D9E">
        <w:rPr>
          <w:rFonts w:eastAsiaTheme="majorEastAsia" w:cstheme="majorBidi"/>
          <w:color w:val="365F91" w:themeColor="accent1" w:themeShade="BF"/>
        </w:rPr>
        <w:fldChar w:fldCharType="begin"/>
      </w:r>
      <w:r w:rsidRPr="00411D9E">
        <w:rPr>
          <w:rFonts w:eastAsiaTheme="majorEastAsia" w:cstheme="majorBidi"/>
          <w:color w:val="365F91" w:themeColor="accent1" w:themeShade="BF"/>
        </w:rPr>
        <w:instrText xml:space="preserve"> TOC \h \z \t "table heading,1" \c "Figure" </w:instrText>
      </w:r>
      <w:r w:rsidRPr="00411D9E">
        <w:rPr>
          <w:rFonts w:eastAsiaTheme="majorEastAsia" w:cstheme="majorBidi"/>
          <w:color w:val="365F91" w:themeColor="accent1" w:themeShade="BF"/>
        </w:rPr>
        <w:fldChar w:fldCharType="separate"/>
      </w:r>
      <w:hyperlink w:anchor="_Toc99026984" w:history="1">
        <w:r w:rsidR="00411D9E" w:rsidRPr="00411D9E">
          <w:rPr>
            <w:rStyle w:val="Hyperlink"/>
            <w:noProof/>
          </w:rPr>
          <w:t>Table 1.1: Element Designation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_Toc99026984 \h </w:instrText>
        </w:r>
        <w:r w:rsidR="00411D9E" w:rsidRPr="00411D9E">
          <w:rPr>
            <w:noProof/>
            <w:webHidden/>
          </w:rPr>
        </w:r>
        <w:r w:rsidR="00411D9E" w:rsidRPr="00411D9E">
          <w:rPr>
            <w:noProof/>
            <w:webHidden/>
          </w:rPr>
          <w:fldChar w:fldCharType="separate"/>
        </w:r>
        <w:r w:rsidR="00D32450">
          <w:rPr>
            <w:noProof/>
            <w:webHidden/>
          </w:rPr>
          <w:t>8</w:t>
        </w:r>
        <w:r w:rsidR="00411D9E" w:rsidRPr="00411D9E">
          <w:rPr>
            <w:noProof/>
            <w:webHidden/>
          </w:rPr>
          <w:fldChar w:fldCharType="end"/>
        </w:r>
      </w:hyperlink>
    </w:p>
    <w:p w14:paraId="09586C85" w14:textId="0B49795D" w:rsidR="00411D9E" w:rsidRPr="00411D9E" w:rsidRDefault="00D32450">
      <w:pPr>
        <w:pStyle w:val="TableofFigures"/>
        <w:tabs>
          <w:tab w:val="right" w:leader="dot" w:pos="10790"/>
        </w:tabs>
        <w:rPr>
          <w:noProof/>
          <w:lang w:bidi="ar-SA"/>
        </w:rPr>
      </w:pPr>
      <w:hyperlink w:anchor="_Toc99026985" w:history="1">
        <w:r w:rsidR="00411D9E" w:rsidRPr="00411D9E">
          <w:rPr>
            <w:rStyle w:val="Hyperlink"/>
            <w:noProof/>
          </w:rPr>
          <w:t>Table 1.2: Highmark PPO PIP Compliance Assessments – Final Reports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_Toc99026985 \h </w:instrText>
        </w:r>
        <w:r w:rsidR="00411D9E" w:rsidRPr="00411D9E">
          <w:rPr>
            <w:noProof/>
            <w:webHidden/>
          </w:rPr>
        </w:r>
        <w:r w:rsidR="00411D9E" w:rsidRPr="00411D9E">
          <w:rPr>
            <w:noProof/>
            <w:webHidden/>
          </w:rPr>
          <w:fldChar w:fldCharType="separate"/>
        </w:r>
        <w:r>
          <w:rPr>
            <w:noProof/>
            <w:webHidden/>
          </w:rPr>
          <w:t>11</w:t>
        </w:r>
        <w:r w:rsidR="00411D9E" w:rsidRPr="00411D9E">
          <w:rPr>
            <w:noProof/>
            <w:webHidden/>
          </w:rPr>
          <w:fldChar w:fldCharType="end"/>
        </w:r>
      </w:hyperlink>
    </w:p>
    <w:p w14:paraId="2047EA88" w14:textId="268912CC" w:rsidR="00411D9E" w:rsidRPr="00411D9E" w:rsidRDefault="00D32450">
      <w:pPr>
        <w:pStyle w:val="TableofFigures"/>
        <w:tabs>
          <w:tab w:val="right" w:leader="dot" w:pos="10790"/>
        </w:tabs>
        <w:rPr>
          <w:noProof/>
          <w:lang w:bidi="ar-SA"/>
        </w:rPr>
      </w:pPr>
      <w:hyperlink w:anchor="_Toc99026986" w:history="1">
        <w:r w:rsidR="00411D9E" w:rsidRPr="00411D9E">
          <w:rPr>
            <w:rStyle w:val="Hyperlink"/>
            <w:noProof/>
          </w:rPr>
          <w:t>Table 2.1: Performance Measure Groupings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_Toc99026986 \h </w:instrText>
        </w:r>
        <w:r w:rsidR="00411D9E" w:rsidRPr="00411D9E">
          <w:rPr>
            <w:noProof/>
            <w:webHidden/>
          </w:rPr>
        </w:r>
        <w:r w:rsidR="00411D9E" w:rsidRPr="00411D9E">
          <w:rPr>
            <w:noProof/>
            <w:webHidden/>
          </w:rPr>
          <w:fldChar w:fldCharType="separate"/>
        </w:r>
        <w:r>
          <w:rPr>
            <w:noProof/>
            <w:webHidden/>
          </w:rPr>
          <w:t>13</w:t>
        </w:r>
        <w:r w:rsidR="00411D9E" w:rsidRPr="00411D9E">
          <w:rPr>
            <w:noProof/>
            <w:webHidden/>
          </w:rPr>
          <w:fldChar w:fldCharType="end"/>
        </w:r>
      </w:hyperlink>
    </w:p>
    <w:p w14:paraId="01FD3070" w14:textId="5DB6B63E" w:rsidR="00411D9E" w:rsidRPr="00411D9E" w:rsidRDefault="00D32450">
      <w:pPr>
        <w:pStyle w:val="TableofFigures"/>
        <w:tabs>
          <w:tab w:val="right" w:leader="dot" w:pos="10790"/>
        </w:tabs>
        <w:rPr>
          <w:noProof/>
          <w:lang w:bidi="ar-SA"/>
        </w:rPr>
      </w:pPr>
      <w:hyperlink w:anchor="_Toc99026987" w:history="1">
        <w:r w:rsidR="00411D9E" w:rsidRPr="00411D9E">
          <w:rPr>
            <w:rStyle w:val="Hyperlink"/>
            <w:noProof/>
          </w:rPr>
          <w:t>Table 2.2: Access to/Availability of Care</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_Toc99026987 \h </w:instrText>
        </w:r>
        <w:r w:rsidR="00411D9E" w:rsidRPr="00411D9E">
          <w:rPr>
            <w:noProof/>
            <w:webHidden/>
          </w:rPr>
        </w:r>
        <w:r w:rsidR="00411D9E" w:rsidRPr="00411D9E">
          <w:rPr>
            <w:noProof/>
            <w:webHidden/>
          </w:rPr>
          <w:fldChar w:fldCharType="separate"/>
        </w:r>
        <w:r>
          <w:rPr>
            <w:noProof/>
            <w:webHidden/>
          </w:rPr>
          <w:t>25</w:t>
        </w:r>
        <w:r w:rsidR="00411D9E" w:rsidRPr="00411D9E">
          <w:rPr>
            <w:noProof/>
            <w:webHidden/>
          </w:rPr>
          <w:fldChar w:fldCharType="end"/>
        </w:r>
      </w:hyperlink>
    </w:p>
    <w:p w14:paraId="6937E1AC" w14:textId="5EBA0C40" w:rsidR="00411D9E" w:rsidRPr="00411D9E" w:rsidRDefault="00D32450">
      <w:pPr>
        <w:pStyle w:val="TableofFigures"/>
        <w:tabs>
          <w:tab w:val="right" w:leader="dot" w:pos="10790"/>
        </w:tabs>
        <w:rPr>
          <w:noProof/>
          <w:lang w:bidi="ar-SA"/>
        </w:rPr>
      </w:pPr>
      <w:hyperlink w:anchor="_Toc99026988" w:history="1">
        <w:r w:rsidR="00411D9E" w:rsidRPr="00411D9E">
          <w:rPr>
            <w:rStyle w:val="Hyperlink"/>
            <w:noProof/>
          </w:rPr>
          <w:t>Table 2.3: Well-Care Visits and Immunizations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_Toc99026988 \h </w:instrText>
        </w:r>
        <w:r w:rsidR="00411D9E" w:rsidRPr="00411D9E">
          <w:rPr>
            <w:noProof/>
            <w:webHidden/>
          </w:rPr>
        </w:r>
        <w:r w:rsidR="00411D9E" w:rsidRPr="00411D9E">
          <w:rPr>
            <w:noProof/>
            <w:webHidden/>
          </w:rPr>
          <w:fldChar w:fldCharType="separate"/>
        </w:r>
        <w:r>
          <w:rPr>
            <w:noProof/>
            <w:webHidden/>
          </w:rPr>
          <w:t>26</w:t>
        </w:r>
        <w:r w:rsidR="00411D9E" w:rsidRPr="00411D9E">
          <w:rPr>
            <w:noProof/>
            <w:webHidden/>
          </w:rPr>
          <w:fldChar w:fldCharType="end"/>
        </w:r>
      </w:hyperlink>
    </w:p>
    <w:p w14:paraId="1FD96B0A" w14:textId="54EAE2B0" w:rsidR="00411D9E" w:rsidRPr="00411D9E" w:rsidRDefault="00D32450">
      <w:pPr>
        <w:pStyle w:val="TableofFigures"/>
        <w:tabs>
          <w:tab w:val="right" w:leader="dot" w:pos="10790"/>
        </w:tabs>
        <w:rPr>
          <w:noProof/>
          <w:lang w:bidi="ar-SA"/>
        </w:rPr>
      </w:pPr>
      <w:hyperlink w:anchor="_Toc99026989" w:history="1">
        <w:r w:rsidR="00411D9E" w:rsidRPr="00411D9E">
          <w:rPr>
            <w:rStyle w:val="Hyperlink"/>
            <w:noProof/>
          </w:rPr>
          <w:t>Table 2.4: EPSDT: Screenings and Follow-up</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_Toc99026989 \h </w:instrText>
        </w:r>
        <w:r w:rsidR="00411D9E" w:rsidRPr="00411D9E">
          <w:rPr>
            <w:noProof/>
            <w:webHidden/>
          </w:rPr>
        </w:r>
        <w:r w:rsidR="00411D9E" w:rsidRPr="00411D9E">
          <w:rPr>
            <w:noProof/>
            <w:webHidden/>
          </w:rPr>
          <w:fldChar w:fldCharType="separate"/>
        </w:r>
        <w:r>
          <w:rPr>
            <w:noProof/>
            <w:webHidden/>
          </w:rPr>
          <w:t>29</w:t>
        </w:r>
        <w:r w:rsidR="00411D9E" w:rsidRPr="00411D9E">
          <w:rPr>
            <w:noProof/>
            <w:webHidden/>
          </w:rPr>
          <w:fldChar w:fldCharType="end"/>
        </w:r>
      </w:hyperlink>
    </w:p>
    <w:p w14:paraId="72EC2A28" w14:textId="61C066B5" w:rsidR="00411D9E" w:rsidRPr="00411D9E" w:rsidRDefault="00D32450">
      <w:pPr>
        <w:pStyle w:val="TableofFigures"/>
        <w:tabs>
          <w:tab w:val="right" w:leader="dot" w:pos="10790"/>
        </w:tabs>
        <w:rPr>
          <w:noProof/>
          <w:lang w:bidi="ar-SA"/>
        </w:rPr>
      </w:pPr>
      <w:hyperlink w:anchor="_Toc99026990" w:history="1">
        <w:r w:rsidR="00411D9E" w:rsidRPr="00411D9E">
          <w:rPr>
            <w:rStyle w:val="Hyperlink"/>
            <w:noProof/>
          </w:rPr>
          <w:t>Table 2.5: Dental Care for Children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_Toc99026990 \h </w:instrText>
        </w:r>
        <w:r w:rsidR="00411D9E" w:rsidRPr="00411D9E">
          <w:rPr>
            <w:noProof/>
            <w:webHidden/>
          </w:rPr>
        </w:r>
        <w:r w:rsidR="00411D9E" w:rsidRPr="00411D9E">
          <w:rPr>
            <w:noProof/>
            <w:webHidden/>
          </w:rPr>
          <w:fldChar w:fldCharType="separate"/>
        </w:r>
        <w:r>
          <w:rPr>
            <w:noProof/>
            <w:webHidden/>
          </w:rPr>
          <w:t>31</w:t>
        </w:r>
        <w:r w:rsidR="00411D9E" w:rsidRPr="00411D9E">
          <w:rPr>
            <w:noProof/>
            <w:webHidden/>
          </w:rPr>
          <w:fldChar w:fldCharType="end"/>
        </w:r>
      </w:hyperlink>
    </w:p>
    <w:p w14:paraId="691A4454" w14:textId="1BDB5E0C" w:rsidR="00411D9E" w:rsidRPr="00411D9E" w:rsidRDefault="00D32450">
      <w:pPr>
        <w:pStyle w:val="TableofFigures"/>
        <w:tabs>
          <w:tab w:val="right" w:leader="dot" w:pos="10790"/>
        </w:tabs>
        <w:rPr>
          <w:noProof/>
          <w:lang w:bidi="ar-SA"/>
        </w:rPr>
      </w:pPr>
      <w:hyperlink w:anchor="_Toc99026991" w:history="1">
        <w:r w:rsidR="00411D9E" w:rsidRPr="00411D9E">
          <w:rPr>
            <w:rStyle w:val="Hyperlink"/>
            <w:noProof/>
          </w:rPr>
          <w:t>Table 2.6: Respiratory Conditions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_Toc99026991 \h </w:instrText>
        </w:r>
        <w:r w:rsidR="00411D9E" w:rsidRPr="00411D9E">
          <w:rPr>
            <w:noProof/>
            <w:webHidden/>
          </w:rPr>
        </w:r>
        <w:r w:rsidR="00411D9E" w:rsidRPr="00411D9E">
          <w:rPr>
            <w:noProof/>
            <w:webHidden/>
          </w:rPr>
          <w:fldChar w:fldCharType="separate"/>
        </w:r>
        <w:r>
          <w:rPr>
            <w:noProof/>
            <w:webHidden/>
          </w:rPr>
          <w:t>32</w:t>
        </w:r>
        <w:r w:rsidR="00411D9E" w:rsidRPr="00411D9E">
          <w:rPr>
            <w:noProof/>
            <w:webHidden/>
          </w:rPr>
          <w:fldChar w:fldCharType="end"/>
        </w:r>
      </w:hyperlink>
    </w:p>
    <w:p w14:paraId="2FBC37D6" w14:textId="1E7478EA" w:rsidR="00411D9E" w:rsidRPr="00411D9E" w:rsidRDefault="00D32450">
      <w:pPr>
        <w:pStyle w:val="TableofFigures"/>
        <w:tabs>
          <w:tab w:val="right" w:leader="dot" w:pos="10790"/>
        </w:tabs>
        <w:rPr>
          <w:noProof/>
          <w:lang w:bidi="ar-SA"/>
        </w:rPr>
      </w:pPr>
      <w:hyperlink w:anchor="_Toc99026992" w:history="1">
        <w:r w:rsidR="00411D9E" w:rsidRPr="00411D9E">
          <w:rPr>
            <w:rStyle w:val="Hyperlink"/>
            <w:noProof/>
          </w:rPr>
          <w:t>Table 2.7: Behavioral Health</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_Toc99026992 \h </w:instrText>
        </w:r>
        <w:r w:rsidR="00411D9E" w:rsidRPr="00411D9E">
          <w:rPr>
            <w:noProof/>
            <w:webHidden/>
          </w:rPr>
        </w:r>
        <w:r w:rsidR="00411D9E" w:rsidRPr="00411D9E">
          <w:rPr>
            <w:noProof/>
            <w:webHidden/>
          </w:rPr>
          <w:fldChar w:fldCharType="separate"/>
        </w:r>
        <w:r>
          <w:rPr>
            <w:noProof/>
            <w:webHidden/>
          </w:rPr>
          <w:t>33</w:t>
        </w:r>
        <w:r w:rsidR="00411D9E" w:rsidRPr="00411D9E">
          <w:rPr>
            <w:noProof/>
            <w:webHidden/>
          </w:rPr>
          <w:fldChar w:fldCharType="end"/>
        </w:r>
      </w:hyperlink>
    </w:p>
    <w:p w14:paraId="62B6E71B" w14:textId="1F81FE48" w:rsidR="00411D9E" w:rsidRPr="00411D9E" w:rsidRDefault="00D32450">
      <w:pPr>
        <w:pStyle w:val="TableofFigures"/>
        <w:tabs>
          <w:tab w:val="right" w:leader="dot" w:pos="10790"/>
        </w:tabs>
        <w:rPr>
          <w:noProof/>
          <w:lang w:bidi="ar-SA"/>
        </w:rPr>
      </w:pPr>
      <w:hyperlink w:anchor="_Toc99026993" w:history="1">
        <w:r w:rsidR="00411D9E" w:rsidRPr="00411D9E">
          <w:rPr>
            <w:rStyle w:val="Hyperlink"/>
            <w:noProof/>
          </w:rPr>
          <w:t>Table 2.8: Utilization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_Toc99026993 \h </w:instrText>
        </w:r>
        <w:r w:rsidR="00411D9E" w:rsidRPr="00411D9E">
          <w:rPr>
            <w:noProof/>
            <w:webHidden/>
          </w:rPr>
        </w:r>
        <w:r w:rsidR="00411D9E" w:rsidRPr="00411D9E">
          <w:rPr>
            <w:noProof/>
            <w:webHidden/>
          </w:rPr>
          <w:fldChar w:fldCharType="separate"/>
        </w:r>
        <w:r>
          <w:rPr>
            <w:noProof/>
            <w:webHidden/>
          </w:rPr>
          <w:t>35</w:t>
        </w:r>
        <w:r w:rsidR="00411D9E" w:rsidRPr="00411D9E">
          <w:rPr>
            <w:noProof/>
            <w:webHidden/>
          </w:rPr>
          <w:fldChar w:fldCharType="end"/>
        </w:r>
      </w:hyperlink>
    </w:p>
    <w:p w14:paraId="1DCCD2E6" w14:textId="489CB431" w:rsidR="00411D9E" w:rsidRPr="00411D9E" w:rsidRDefault="00D32450">
      <w:pPr>
        <w:pStyle w:val="TableofFigures"/>
        <w:tabs>
          <w:tab w:val="right" w:leader="dot" w:pos="10790"/>
        </w:tabs>
        <w:rPr>
          <w:noProof/>
          <w:lang w:bidi="ar-SA"/>
        </w:rPr>
      </w:pPr>
      <w:hyperlink w:anchor="_Toc99026994" w:history="1">
        <w:r w:rsidR="00411D9E" w:rsidRPr="00411D9E">
          <w:rPr>
            <w:rStyle w:val="Hyperlink"/>
            <w:noProof/>
          </w:rPr>
          <w:t>Table 2.9: CAHPS MY 2020 Child Survey Results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_Toc99026994 \h </w:instrText>
        </w:r>
        <w:r w:rsidR="00411D9E" w:rsidRPr="00411D9E">
          <w:rPr>
            <w:noProof/>
            <w:webHidden/>
          </w:rPr>
        </w:r>
        <w:r w:rsidR="00411D9E" w:rsidRPr="00411D9E">
          <w:rPr>
            <w:noProof/>
            <w:webHidden/>
          </w:rPr>
          <w:fldChar w:fldCharType="separate"/>
        </w:r>
        <w:r>
          <w:rPr>
            <w:noProof/>
            <w:webHidden/>
          </w:rPr>
          <w:t>42</w:t>
        </w:r>
        <w:r w:rsidR="00411D9E" w:rsidRPr="00411D9E">
          <w:rPr>
            <w:noProof/>
            <w:webHidden/>
          </w:rPr>
          <w:fldChar w:fldCharType="end"/>
        </w:r>
      </w:hyperlink>
    </w:p>
    <w:p w14:paraId="55C37E19" w14:textId="17F96923" w:rsidR="00411D9E" w:rsidRPr="00411D9E" w:rsidRDefault="00D32450">
      <w:pPr>
        <w:pStyle w:val="TableofFigures"/>
        <w:tabs>
          <w:tab w:val="right" w:leader="dot" w:pos="10790"/>
        </w:tabs>
        <w:rPr>
          <w:noProof/>
          <w:lang w:bidi="ar-SA"/>
        </w:rPr>
      </w:pPr>
      <w:hyperlink w:anchor="_Toc99026995" w:history="1">
        <w:r w:rsidR="00411D9E" w:rsidRPr="00411D9E">
          <w:rPr>
            <w:rStyle w:val="Hyperlink"/>
            <w:noProof/>
          </w:rPr>
          <w:t>Table 3.1: SMART Items Count per Regulation</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_Toc99026995 \h </w:instrText>
        </w:r>
        <w:r w:rsidR="00411D9E" w:rsidRPr="00411D9E">
          <w:rPr>
            <w:noProof/>
            <w:webHidden/>
          </w:rPr>
        </w:r>
        <w:r w:rsidR="00411D9E" w:rsidRPr="00411D9E">
          <w:rPr>
            <w:noProof/>
            <w:webHidden/>
          </w:rPr>
          <w:fldChar w:fldCharType="separate"/>
        </w:r>
        <w:r>
          <w:rPr>
            <w:noProof/>
            <w:webHidden/>
          </w:rPr>
          <w:t>44</w:t>
        </w:r>
        <w:r w:rsidR="00411D9E" w:rsidRPr="00411D9E">
          <w:rPr>
            <w:noProof/>
            <w:webHidden/>
          </w:rPr>
          <w:fldChar w:fldCharType="end"/>
        </w:r>
      </w:hyperlink>
    </w:p>
    <w:p w14:paraId="47C955EE" w14:textId="5A7540B4" w:rsidR="00411D9E" w:rsidRPr="00411D9E" w:rsidRDefault="00D32450">
      <w:pPr>
        <w:pStyle w:val="TableofFigures"/>
        <w:tabs>
          <w:tab w:val="right" w:leader="dot" w:pos="10790"/>
        </w:tabs>
        <w:rPr>
          <w:noProof/>
          <w:lang w:bidi="ar-SA"/>
        </w:rPr>
      </w:pPr>
      <w:hyperlink w:anchor="_Toc99026996" w:history="1">
        <w:r w:rsidR="00411D9E" w:rsidRPr="00411D9E">
          <w:rPr>
            <w:rStyle w:val="Hyperlink"/>
            <w:noProof/>
          </w:rPr>
          <w:t>Table 3.2: MCO Compliance with Enrollee Rights and Protections Regulations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_Toc99026996 \h </w:instrText>
        </w:r>
        <w:r w:rsidR="00411D9E" w:rsidRPr="00411D9E">
          <w:rPr>
            <w:noProof/>
            <w:webHidden/>
          </w:rPr>
        </w:r>
        <w:r w:rsidR="00411D9E" w:rsidRPr="00411D9E">
          <w:rPr>
            <w:noProof/>
            <w:webHidden/>
          </w:rPr>
          <w:fldChar w:fldCharType="separate"/>
        </w:r>
        <w:r>
          <w:rPr>
            <w:noProof/>
            <w:webHidden/>
          </w:rPr>
          <w:t>45</w:t>
        </w:r>
        <w:r w:rsidR="00411D9E" w:rsidRPr="00411D9E">
          <w:rPr>
            <w:noProof/>
            <w:webHidden/>
          </w:rPr>
          <w:fldChar w:fldCharType="end"/>
        </w:r>
      </w:hyperlink>
    </w:p>
    <w:p w14:paraId="11F264EE" w14:textId="6CDEC0C5" w:rsidR="00411D9E" w:rsidRPr="00411D9E" w:rsidRDefault="00D32450">
      <w:pPr>
        <w:pStyle w:val="TableofFigures"/>
        <w:tabs>
          <w:tab w:val="right" w:leader="dot" w:pos="10790"/>
        </w:tabs>
        <w:rPr>
          <w:noProof/>
          <w:lang w:bidi="ar-SA"/>
        </w:rPr>
      </w:pPr>
      <w:hyperlink w:anchor="_Toc99026997" w:history="1">
        <w:r w:rsidR="00411D9E" w:rsidRPr="00411D9E">
          <w:rPr>
            <w:rStyle w:val="Hyperlink"/>
            <w:noProof/>
          </w:rPr>
          <w:t>Table 3.3: MCO Compliance with Quality Assessment and Performance Improvement Regulations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_Toc99026997 \h </w:instrText>
        </w:r>
        <w:r w:rsidR="00411D9E" w:rsidRPr="00411D9E">
          <w:rPr>
            <w:noProof/>
            <w:webHidden/>
          </w:rPr>
        </w:r>
        <w:r w:rsidR="00411D9E" w:rsidRPr="00411D9E">
          <w:rPr>
            <w:noProof/>
            <w:webHidden/>
          </w:rPr>
          <w:fldChar w:fldCharType="separate"/>
        </w:r>
        <w:r>
          <w:rPr>
            <w:noProof/>
            <w:webHidden/>
          </w:rPr>
          <w:t>46</w:t>
        </w:r>
        <w:r w:rsidR="00411D9E" w:rsidRPr="00411D9E">
          <w:rPr>
            <w:noProof/>
            <w:webHidden/>
          </w:rPr>
          <w:fldChar w:fldCharType="end"/>
        </w:r>
      </w:hyperlink>
    </w:p>
    <w:p w14:paraId="1B16AD4B" w14:textId="2EC30A4D" w:rsidR="00411D9E" w:rsidRPr="00411D9E" w:rsidRDefault="00D32450">
      <w:pPr>
        <w:pStyle w:val="TableofFigures"/>
        <w:tabs>
          <w:tab w:val="right" w:leader="dot" w:pos="10790"/>
        </w:tabs>
        <w:rPr>
          <w:noProof/>
          <w:lang w:bidi="ar-SA"/>
        </w:rPr>
      </w:pPr>
      <w:hyperlink w:anchor="_Toc99026998" w:history="1">
        <w:r w:rsidR="00411D9E" w:rsidRPr="00411D9E">
          <w:rPr>
            <w:rStyle w:val="Hyperlink"/>
            <w:noProof/>
          </w:rPr>
          <w:t>Table 4.1: Highmark PPO Response to Previous EQR Recommendations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_Toc99026998 \h </w:instrText>
        </w:r>
        <w:r w:rsidR="00411D9E" w:rsidRPr="00411D9E">
          <w:rPr>
            <w:noProof/>
            <w:webHidden/>
          </w:rPr>
        </w:r>
        <w:r w:rsidR="00411D9E" w:rsidRPr="00411D9E">
          <w:rPr>
            <w:noProof/>
            <w:webHidden/>
          </w:rPr>
          <w:fldChar w:fldCharType="separate"/>
        </w:r>
        <w:r>
          <w:rPr>
            <w:noProof/>
            <w:webHidden/>
          </w:rPr>
          <w:t>47</w:t>
        </w:r>
        <w:r w:rsidR="00411D9E" w:rsidRPr="00411D9E">
          <w:rPr>
            <w:noProof/>
            <w:webHidden/>
          </w:rPr>
          <w:fldChar w:fldCharType="end"/>
        </w:r>
      </w:hyperlink>
    </w:p>
    <w:p w14:paraId="5002DDE0" w14:textId="54F9DBBF" w:rsidR="00411D9E" w:rsidRPr="00411D9E" w:rsidRDefault="00D32450">
      <w:pPr>
        <w:pStyle w:val="TableofFigures"/>
        <w:tabs>
          <w:tab w:val="right" w:leader="dot" w:pos="10790"/>
        </w:tabs>
        <w:rPr>
          <w:noProof/>
          <w:lang w:bidi="ar-SA"/>
        </w:rPr>
      </w:pPr>
      <w:hyperlink w:anchor="_Toc99026999" w:history="1">
        <w:r w:rsidR="00411D9E" w:rsidRPr="00411D9E">
          <w:rPr>
            <w:rStyle w:val="Hyperlink"/>
            <w:noProof/>
          </w:rPr>
          <w:t>Table 5.1: EQR Recommendations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_Toc99026999 \h </w:instrText>
        </w:r>
        <w:r w:rsidR="00411D9E" w:rsidRPr="00411D9E">
          <w:rPr>
            <w:noProof/>
            <w:webHidden/>
          </w:rPr>
        </w:r>
        <w:r w:rsidR="00411D9E" w:rsidRPr="00411D9E">
          <w:rPr>
            <w:noProof/>
            <w:webHidden/>
          </w:rPr>
          <w:fldChar w:fldCharType="separate"/>
        </w:r>
        <w:r>
          <w:rPr>
            <w:noProof/>
            <w:webHidden/>
          </w:rPr>
          <w:t>49</w:t>
        </w:r>
        <w:r w:rsidR="00411D9E" w:rsidRPr="00411D9E">
          <w:rPr>
            <w:noProof/>
            <w:webHidden/>
          </w:rPr>
          <w:fldChar w:fldCharType="end"/>
        </w:r>
      </w:hyperlink>
    </w:p>
    <w:p w14:paraId="1906CD18" w14:textId="46D1682E" w:rsidR="00411D9E" w:rsidRPr="00411D9E" w:rsidRDefault="00D32450">
      <w:pPr>
        <w:pStyle w:val="TableofFigures"/>
        <w:tabs>
          <w:tab w:val="right" w:leader="dot" w:pos="10790"/>
        </w:tabs>
        <w:rPr>
          <w:noProof/>
          <w:lang w:bidi="ar-SA"/>
        </w:rPr>
      </w:pPr>
      <w:hyperlink w:anchor="_Toc99027000" w:history="1">
        <w:r w:rsidR="00411D9E" w:rsidRPr="00411D9E">
          <w:rPr>
            <w:rStyle w:val="Hyperlink"/>
            <w:noProof/>
          </w:rPr>
          <w:t>Figure A.3.1: Access to Care</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_Toc99027000 \h </w:instrText>
        </w:r>
        <w:r w:rsidR="00411D9E" w:rsidRPr="00411D9E">
          <w:rPr>
            <w:noProof/>
            <w:webHidden/>
          </w:rPr>
        </w:r>
        <w:r w:rsidR="00411D9E" w:rsidRPr="00411D9E">
          <w:rPr>
            <w:noProof/>
            <w:webHidden/>
          </w:rPr>
          <w:fldChar w:fldCharType="separate"/>
        </w:r>
        <w:r>
          <w:rPr>
            <w:noProof/>
            <w:webHidden/>
          </w:rPr>
          <w:t>54</w:t>
        </w:r>
        <w:r w:rsidR="00411D9E" w:rsidRPr="00411D9E">
          <w:rPr>
            <w:noProof/>
            <w:webHidden/>
          </w:rPr>
          <w:fldChar w:fldCharType="end"/>
        </w:r>
      </w:hyperlink>
    </w:p>
    <w:p w14:paraId="34F6C8B8" w14:textId="4B4F105E" w:rsidR="00411D9E" w:rsidRPr="00411D9E" w:rsidRDefault="00D32450">
      <w:pPr>
        <w:pStyle w:val="TableofFigures"/>
        <w:tabs>
          <w:tab w:val="right" w:leader="dot" w:pos="10790"/>
        </w:tabs>
        <w:rPr>
          <w:noProof/>
          <w:lang w:bidi="ar-SA"/>
        </w:rPr>
      </w:pPr>
      <w:hyperlink w:anchor="_Toc99027001" w:history="1">
        <w:r w:rsidR="00411D9E" w:rsidRPr="00411D9E">
          <w:rPr>
            <w:rStyle w:val="Hyperlink"/>
            <w:noProof/>
          </w:rPr>
          <w:t>Figure A.3.2: Dental Care for Children 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_Toc99027001 \h </w:instrText>
        </w:r>
        <w:r w:rsidR="00411D9E" w:rsidRPr="00411D9E">
          <w:rPr>
            <w:noProof/>
            <w:webHidden/>
          </w:rPr>
        </w:r>
        <w:r w:rsidR="00411D9E" w:rsidRPr="00411D9E">
          <w:rPr>
            <w:noProof/>
            <w:webHidden/>
          </w:rPr>
          <w:fldChar w:fldCharType="separate"/>
        </w:r>
        <w:r>
          <w:rPr>
            <w:noProof/>
            <w:webHidden/>
          </w:rPr>
          <w:t>54</w:t>
        </w:r>
        <w:r w:rsidR="00411D9E" w:rsidRPr="00411D9E">
          <w:rPr>
            <w:noProof/>
            <w:webHidden/>
          </w:rPr>
          <w:fldChar w:fldCharType="end"/>
        </w:r>
      </w:hyperlink>
    </w:p>
    <w:p w14:paraId="7A7EFAC1" w14:textId="1A4A0B61" w:rsidR="00411D9E" w:rsidRPr="00411D9E" w:rsidRDefault="00D32450">
      <w:pPr>
        <w:pStyle w:val="TableofFigures"/>
        <w:tabs>
          <w:tab w:val="right" w:leader="dot" w:pos="10790"/>
        </w:tabs>
        <w:rPr>
          <w:noProof/>
          <w:lang w:bidi="ar-SA"/>
        </w:rPr>
      </w:pPr>
      <w:hyperlink w:anchor="_Toc99027002" w:history="1">
        <w:r w:rsidR="00411D9E" w:rsidRPr="00411D9E">
          <w:rPr>
            <w:rStyle w:val="Hyperlink"/>
            <w:noProof/>
          </w:rPr>
          <w:t>Figure A.3.3: Dental Care for Children II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_Toc99027002 \h </w:instrText>
        </w:r>
        <w:r w:rsidR="00411D9E" w:rsidRPr="00411D9E">
          <w:rPr>
            <w:noProof/>
            <w:webHidden/>
          </w:rPr>
        </w:r>
        <w:r w:rsidR="00411D9E" w:rsidRPr="00411D9E">
          <w:rPr>
            <w:noProof/>
            <w:webHidden/>
          </w:rPr>
          <w:fldChar w:fldCharType="separate"/>
        </w:r>
        <w:r>
          <w:rPr>
            <w:noProof/>
            <w:webHidden/>
          </w:rPr>
          <w:t>55</w:t>
        </w:r>
        <w:r w:rsidR="00411D9E" w:rsidRPr="00411D9E">
          <w:rPr>
            <w:noProof/>
            <w:webHidden/>
          </w:rPr>
          <w:fldChar w:fldCharType="end"/>
        </w:r>
      </w:hyperlink>
    </w:p>
    <w:p w14:paraId="7466BBFD" w14:textId="316E0CD2" w:rsidR="00411D9E" w:rsidRPr="00411D9E" w:rsidRDefault="00D32450">
      <w:pPr>
        <w:pStyle w:val="TableofFigures"/>
        <w:tabs>
          <w:tab w:val="right" w:leader="dot" w:pos="10790"/>
        </w:tabs>
        <w:rPr>
          <w:noProof/>
          <w:lang w:bidi="ar-SA"/>
        </w:rPr>
      </w:pPr>
      <w:hyperlink w:anchor="_Toc99027003" w:history="1">
        <w:r w:rsidR="00411D9E" w:rsidRPr="00411D9E">
          <w:rPr>
            <w:rStyle w:val="Hyperlink"/>
            <w:noProof/>
          </w:rPr>
          <w:t>Figure A.3.4: EPSDT: Screenings and Follow-Up 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_Toc99027003 \h </w:instrText>
        </w:r>
        <w:r w:rsidR="00411D9E" w:rsidRPr="00411D9E">
          <w:rPr>
            <w:noProof/>
            <w:webHidden/>
          </w:rPr>
        </w:r>
        <w:r w:rsidR="00411D9E" w:rsidRPr="00411D9E">
          <w:rPr>
            <w:noProof/>
            <w:webHidden/>
          </w:rPr>
          <w:fldChar w:fldCharType="separate"/>
        </w:r>
        <w:r>
          <w:rPr>
            <w:noProof/>
            <w:webHidden/>
          </w:rPr>
          <w:t>55</w:t>
        </w:r>
        <w:r w:rsidR="00411D9E" w:rsidRPr="00411D9E">
          <w:rPr>
            <w:noProof/>
            <w:webHidden/>
          </w:rPr>
          <w:fldChar w:fldCharType="end"/>
        </w:r>
      </w:hyperlink>
    </w:p>
    <w:p w14:paraId="2446DF1C" w14:textId="0F5DB7FA" w:rsidR="00411D9E" w:rsidRPr="00411D9E" w:rsidRDefault="00D32450">
      <w:pPr>
        <w:pStyle w:val="TableofFigures"/>
        <w:tabs>
          <w:tab w:val="right" w:leader="dot" w:pos="10790"/>
        </w:tabs>
        <w:rPr>
          <w:noProof/>
          <w:lang w:bidi="ar-SA"/>
        </w:rPr>
      </w:pPr>
      <w:hyperlink w:anchor="_Toc99027004" w:history="1">
        <w:r w:rsidR="00411D9E" w:rsidRPr="00411D9E">
          <w:rPr>
            <w:rStyle w:val="Hyperlink"/>
            <w:noProof/>
          </w:rPr>
          <w:t>Figure A.3.5: EPSDT: Screenings and Follow-Up II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_Toc99027004 \h </w:instrText>
        </w:r>
        <w:r w:rsidR="00411D9E" w:rsidRPr="00411D9E">
          <w:rPr>
            <w:noProof/>
            <w:webHidden/>
          </w:rPr>
        </w:r>
        <w:r w:rsidR="00411D9E" w:rsidRPr="00411D9E">
          <w:rPr>
            <w:noProof/>
            <w:webHidden/>
          </w:rPr>
          <w:fldChar w:fldCharType="separate"/>
        </w:r>
        <w:r>
          <w:rPr>
            <w:noProof/>
            <w:webHidden/>
          </w:rPr>
          <w:t>56</w:t>
        </w:r>
        <w:r w:rsidR="00411D9E" w:rsidRPr="00411D9E">
          <w:rPr>
            <w:noProof/>
            <w:webHidden/>
          </w:rPr>
          <w:fldChar w:fldCharType="end"/>
        </w:r>
      </w:hyperlink>
    </w:p>
    <w:p w14:paraId="4DE9F4EF" w14:textId="2268E387" w:rsidR="00411D9E" w:rsidRPr="00411D9E" w:rsidRDefault="00D32450">
      <w:pPr>
        <w:pStyle w:val="TableofFigures"/>
        <w:tabs>
          <w:tab w:val="right" w:leader="dot" w:pos="10790"/>
        </w:tabs>
        <w:rPr>
          <w:noProof/>
          <w:lang w:bidi="ar-SA"/>
        </w:rPr>
      </w:pPr>
      <w:hyperlink w:anchor="_Toc99027005" w:history="1">
        <w:r w:rsidR="00411D9E" w:rsidRPr="00411D9E">
          <w:rPr>
            <w:rStyle w:val="Hyperlink"/>
            <w:noProof/>
          </w:rPr>
          <w:t>Figure A.3.6: Respiratory Conditions</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_Toc99027005 \h </w:instrText>
        </w:r>
        <w:r w:rsidR="00411D9E" w:rsidRPr="00411D9E">
          <w:rPr>
            <w:noProof/>
            <w:webHidden/>
          </w:rPr>
        </w:r>
        <w:r w:rsidR="00411D9E" w:rsidRPr="00411D9E">
          <w:rPr>
            <w:noProof/>
            <w:webHidden/>
          </w:rPr>
          <w:fldChar w:fldCharType="separate"/>
        </w:r>
        <w:r>
          <w:rPr>
            <w:noProof/>
            <w:webHidden/>
          </w:rPr>
          <w:t>56</w:t>
        </w:r>
        <w:r w:rsidR="00411D9E" w:rsidRPr="00411D9E">
          <w:rPr>
            <w:noProof/>
            <w:webHidden/>
          </w:rPr>
          <w:fldChar w:fldCharType="end"/>
        </w:r>
      </w:hyperlink>
    </w:p>
    <w:p w14:paraId="236664C5" w14:textId="746E0018" w:rsidR="00411D9E" w:rsidRPr="00411D9E" w:rsidRDefault="00D32450">
      <w:pPr>
        <w:pStyle w:val="TableofFigures"/>
        <w:tabs>
          <w:tab w:val="right" w:leader="dot" w:pos="10790"/>
        </w:tabs>
        <w:rPr>
          <w:noProof/>
          <w:lang w:bidi="ar-SA"/>
        </w:rPr>
      </w:pPr>
      <w:hyperlink w:anchor="_Toc99027006" w:history="1">
        <w:r w:rsidR="00411D9E" w:rsidRPr="00411D9E">
          <w:rPr>
            <w:rStyle w:val="Hyperlink"/>
            <w:noProof/>
          </w:rPr>
          <w:t>Figure A.3.7: Well Care 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_Toc99027006 \h </w:instrText>
        </w:r>
        <w:r w:rsidR="00411D9E" w:rsidRPr="00411D9E">
          <w:rPr>
            <w:noProof/>
            <w:webHidden/>
          </w:rPr>
        </w:r>
        <w:r w:rsidR="00411D9E" w:rsidRPr="00411D9E">
          <w:rPr>
            <w:noProof/>
            <w:webHidden/>
          </w:rPr>
          <w:fldChar w:fldCharType="separate"/>
        </w:r>
        <w:r>
          <w:rPr>
            <w:noProof/>
            <w:webHidden/>
          </w:rPr>
          <w:t>57</w:t>
        </w:r>
        <w:r w:rsidR="00411D9E" w:rsidRPr="00411D9E">
          <w:rPr>
            <w:noProof/>
            <w:webHidden/>
          </w:rPr>
          <w:fldChar w:fldCharType="end"/>
        </w:r>
      </w:hyperlink>
    </w:p>
    <w:p w14:paraId="2A349B48" w14:textId="2D7E5CFA" w:rsidR="00411D9E" w:rsidRPr="00411D9E" w:rsidRDefault="00D32450">
      <w:pPr>
        <w:pStyle w:val="TableofFigures"/>
        <w:tabs>
          <w:tab w:val="right" w:leader="dot" w:pos="10790"/>
        </w:tabs>
        <w:rPr>
          <w:noProof/>
          <w:lang w:bidi="ar-SA"/>
        </w:rPr>
      </w:pPr>
      <w:hyperlink w:anchor="_Toc99027007" w:history="1">
        <w:r w:rsidR="00411D9E" w:rsidRPr="00411D9E">
          <w:rPr>
            <w:rStyle w:val="Hyperlink"/>
            <w:noProof/>
          </w:rPr>
          <w:t>Figure A.3.8: Well Care II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_Toc99027007 \h </w:instrText>
        </w:r>
        <w:r w:rsidR="00411D9E" w:rsidRPr="00411D9E">
          <w:rPr>
            <w:noProof/>
            <w:webHidden/>
          </w:rPr>
        </w:r>
        <w:r w:rsidR="00411D9E" w:rsidRPr="00411D9E">
          <w:rPr>
            <w:noProof/>
            <w:webHidden/>
          </w:rPr>
          <w:fldChar w:fldCharType="separate"/>
        </w:r>
        <w:r>
          <w:rPr>
            <w:noProof/>
            <w:webHidden/>
          </w:rPr>
          <w:t>57</w:t>
        </w:r>
        <w:r w:rsidR="00411D9E" w:rsidRPr="00411D9E">
          <w:rPr>
            <w:noProof/>
            <w:webHidden/>
          </w:rPr>
          <w:fldChar w:fldCharType="end"/>
        </w:r>
      </w:hyperlink>
    </w:p>
    <w:p w14:paraId="3F35D819" w14:textId="75DB8C36" w:rsidR="00411D9E" w:rsidRPr="00411D9E" w:rsidRDefault="00D32450">
      <w:pPr>
        <w:pStyle w:val="TableofFigures"/>
        <w:tabs>
          <w:tab w:val="right" w:leader="dot" w:pos="10790"/>
        </w:tabs>
        <w:rPr>
          <w:noProof/>
          <w:lang w:bidi="ar-SA"/>
        </w:rPr>
      </w:pPr>
      <w:hyperlink w:anchor="_Toc99027008" w:history="1">
        <w:r w:rsidR="00411D9E" w:rsidRPr="00411D9E">
          <w:rPr>
            <w:rStyle w:val="Hyperlink"/>
            <w:noProof/>
          </w:rPr>
          <w:t>Figure A.3.9: Well Care III</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_Toc99027008 \h </w:instrText>
        </w:r>
        <w:r w:rsidR="00411D9E" w:rsidRPr="00411D9E">
          <w:rPr>
            <w:noProof/>
            <w:webHidden/>
          </w:rPr>
        </w:r>
        <w:r w:rsidR="00411D9E" w:rsidRPr="00411D9E">
          <w:rPr>
            <w:noProof/>
            <w:webHidden/>
          </w:rPr>
          <w:fldChar w:fldCharType="separate"/>
        </w:r>
        <w:r>
          <w:rPr>
            <w:noProof/>
            <w:webHidden/>
          </w:rPr>
          <w:t>58</w:t>
        </w:r>
        <w:r w:rsidR="00411D9E" w:rsidRPr="00411D9E">
          <w:rPr>
            <w:noProof/>
            <w:webHidden/>
          </w:rPr>
          <w:fldChar w:fldCharType="end"/>
        </w:r>
      </w:hyperlink>
    </w:p>
    <w:p w14:paraId="0FB000BD" w14:textId="230FB9BB" w:rsidR="00411D9E" w:rsidRPr="00411D9E" w:rsidRDefault="00D32450">
      <w:pPr>
        <w:pStyle w:val="TableofFigures"/>
        <w:tabs>
          <w:tab w:val="right" w:leader="dot" w:pos="10790"/>
        </w:tabs>
        <w:rPr>
          <w:noProof/>
          <w:lang w:bidi="ar-SA"/>
        </w:rPr>
      </w:pPr>
      <w:hyperlink w:anchor="_Toc99027009" w:history="1">
        <w:r w:rsidR="00411D9E" w:rsidRPr="00411D9E">
          <w:rPr>
            <w:rStyle w:val="Hyperlink"/>
            <w:noProof/>
          </w:rPr>
          <w:t>Figure A.3.10: Well Care IV</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_Toc99027009 \h </w:instrText>
        </w:r>
        <w:r w:rsidR="00411D9E" w:rsidRPr="00411D9E">
          <w:rPr>
            <w:noProof/>
            <w:webHidden/>
          </w:rPr>
        </w:r>
        <w:r w:rsidR="00411D9E" w:rsidRPr="00411D9E">
          <w:rPr>
            <w:noProof/>
            <w:webHidden/>
          </w:rPr>
          <w:fldChar w:fldCharType="separate"/>
        </w:r>
        <w:r>
          <w:rPr>
            <w:noProof/>
            <w:webHidden/>
          </w:rPr>
          <w:t>58</w:t>
        </w:r>
        <w:r w:rsidR="00411D9E" w:rsidRPr="00411D9E">
          <w:rPr>
            <w:noProof/>
            <w:webHidden/>
          </w:rPr>
          <w:fldChar w:fldCharType="end"/>
        </w:r>
      </w:hyperlink>
    </w:p>
    <w:p w14:paraId="6E191B57" w14:textId="23AAF1EA" w:rsidR="00411D9E" w:rsidRPr="00411D9E" w:rsidRDefault="00D32450">
      <w:pPr>
        <w:pStyle w:val="TableofFigures"/>
        <w:tabs>
          <w:tab w:val="right" w:leader="dot" w:pos="10790"/>
        </w:tabs>
        <w:rPr>
          <w:noProof/>
          <w:lang w:bidi="ar-SA"/>
        </w:rPr>
      </w:pPr>
      <w:hyperlink w:anchor="_Toc99027010" w:history="1">
        <w:r w:rsidR="00411D9E" w:rsidRPr="00411D9E">
          <w:rPr>
            <w:rStyle w:val="Hyperlink"/>
            <w:noProof/>
          </w:rPr>
          <w:t>Figure A.3.11: Well Care V</w:t>
        </w:r>
        <w:r w:rsidR="00411D9E" w:rsidRPr="00411D9E">
          <w:rPr>
            <w:noProof/>
            <w:webHidden/>
          </w:rPr>
          <w:tab/>
        </w:r>
        <w:r w:rsidR="00411D9E" w:rsidRPr="00411D9E">
          <w:rPr>
            <w:noProof/>
            <w:webHidden/>
          </w:rPr>
          <w:fldChar w:fldCharType="begin"/>
        </w:r>
        <w:r w:rsidR="00411D9E" w:rsidRPr="00411D9E">
          <w:rPr>
            <w:noProof/>
            <w:webHidden/>
          </w:rPr>
          <w:instrText xml:space="preserve"> PAGEREF _Toc99027010 \h </w:instrText>
        </w:r>
        <w:r w:rsidR="00411D9E" w:rsidRPr="00411D9E">
          <w:rPr>
            <w:noProof/>
            <w:webHidden/>
          </w:rPr>
        </w:r>
        <w:r w:rsidR="00411D9E" w:rsidRPr="00411D9E">
          <w:rPr>
            <w:noProof/>
            <w:webHidden/>
          </w:rPr>
          <w:fldChar w:fldCharType="separate"/>
        </w:r>
        <w:r>
          <w:rPr>
            <w:noProof/>
            <w:webHidden/>
          </w:rPr>
          <w:t>59</w:t>
        </w:r>
        <w:r w:rsidR="00411D9E" w:rsidRPr="00411D9E">
          <w:rPr>
            <w:noProof/>
            <w:webHidden/>
          </w:rPr>
          <w:fldChar w:fldCharType="end"/>
        </w:r>
      </w:hyperlink>
    </w:p>
    <w:p w14:paraId="1200E997" w14:textId="167C1A72" w:rsidR="00D06888" w:rsidRPr="00411D9E" w:rsidRDefault="00D06888" w:rsidP="00D06888">
      <w:pPr>
        <w:rPr>
          <w:rFonts w:asciiTheme="majorHAnsi" w:eastAsiaTheme="majorEastAsia" w:hAnsiTheme="majorHAnsi" w:cstheme="majorBidi"/>
          <w:b/>
          <w:bCs/>
          <w:color w:val="365F91" w:themeColor="accent1" w:themeShade="BF"/>
          <w:sz w:val="28"/>
          <w:szCs w:val="28"/>
          <w:lang w:eastAsia="ja-JP" w:bidi="ar-SA"/>
        </w:rPr>
      </w:pPr>
      <w:r w:rsidRPr="00411D9E">
        <w:rPr>
          <w:rFonts w:eastAsiaTheme="majorEastAsia" w:cstheme="majorBidi"/>
          <w:color w:val="365F91" w:themeColor="accent1" w:themeShade="BF"/>
        </w:rPr>
        <w:fldChar w:fldCharType="end"/>
      </w:r>
      <w:r w:rsidR="000950BF" w:rsidRPr="00411D9E">
        <w:rPr>
          <w:b/>
          <w:noProof/>
          <w:lang w:bidi="ar-SA"/>
        </w:rPr>
        <mc:AlternateContent>
          <mc:Choice Requires="wps">
            <w:drawing>
              <wp:anchor distT="0" distB="0" distL="114300" distR="114300" simplePos="0" relativeHeight="251663360" behindDoc="0" locked="0" layoutInCell="0" allowOverlap="1" wp14:anchorId="320F4A2D" wp14:editId="012A3B00">
                <wp:simplePos x="0" y="0"/>
                <wp:positionH relativeFrom="margin">
                  <wp:align>left</wp:align>
                </wp:positionH>
                <wp:positionV relativeFrom="margin">
                  <wp:align>bottom</wp:align>
                </wp:positionV>
                <wp:extent cx="6858000" cy="807823"/>
                <wp:effectExtent l="0" t="0" r="1905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7823"/>
                        </a:xfrm>
                        <a:prstGeom prst="rect">
                          <a:avLst/>
                        </a:prstGeom>
                        <a:solidFill>
                          <a:srgbClr val="FFFFFF"/>
                        </a:solidFill>
                        <a:ln w="9525">
                          <a:solidFill>
                            <a:srgbClr val="000000"/>
                          </a:solidFill>
                          <a:miter lim="800000"/>
                          <a:headEnd/>
                          <a:tailEnd/>
                        </a:ln>
                      </wps:spPr>
                      <wps:txbx>
                        <w:txbxContent>
                          <w:p w14:paraId="5FDF5992" w14:textId="77777777" w:rsidR="00A460D7" w:rsidRPr="006B157C" w:rsidRDefault="00A460D7" w:rsidP="000950BF">
                            <w:r>
                              <w:t>Healthcare Effectiveness Data and Information Set (</w:t>
                            </w:r>
                            <w:r w:rsidRPr="006B157C">
                              <w:t>HEDIS</w:t>
                            </w:r>
                            <w:r>
                              <w:rPr>
                                <w:rFonts w:cstheme="minorHAnsi"/>
                              </w:rPr>
                              <w:t>®</w:t>
                            </w:r>
                            <w:r>
                              <w:t>)</w:t>
                            </w:r>
                            <w:r w:rsidRPr="006B157C">
                              <w:t xml:space="preserve"> and The Quality Compass</w:t>
                            </w:r>
                            <w:r>
                              <w:rPr>
                                <w:rFonts w:cstheme="minorHAnsi"/>
                              </w:rPr>
                              <w:t>®</w:t>
                            </w:r>
                            <w:r w:rsidRPr="006B157C">
                              <w:t xml:space="preserve"> are registered trademarks of the National Committee for Quality Assurance (NCQA). NCQA™ is a trademark of the National Committee for Quality Assurance. </w:t>
                            </w:r>
                            <w:r w:rsidRPr="0027155A">
                              <w:t>Consumer Assessment of Healthcare Providers and Systems (CAHPS</w:t>
                            </w:r>
                            <w:r>
                              <w:rPr>
                                <w:rFonts w:cstheme="minorHAnsi"/>
                              </w:rPr>
                              <w:t>®</w:t>
                            </w:r>
                            <w:r w:rsidRPr="0027155A">
                              <w:t>)</w:t>
                            </w:r>
                            <w:r>
                              <w:t xml:space="preserve"> is a registered trademark of the Agency for Healthcare Research and Quality (AHRQ).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F4A2D" id="_x0000_t202" coordsize="21600,21600" o:spt="202" path="m,l,21600r21600,l21600,xe">
                <v:stroke joinstyle="miter"/>
                <v:path gradientshapeok="t" o:connecttype="rect"/>
              </v:shapetype>
              <v:shape id="Text Box 9" o:spid="_x0000_s1026" type="#_x0000_t202" style="position:absolute;left:0;text-align:left;margin-left:0;margin-top:0;width:540pt;height:63.6pt;z-index:25166336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" o:allowincell="f">
                <v:textbox>
                  <w:txbxContent>
                    <w:p w14:paraId="5FDF5992" w14:textId="77777777" w:rsidR="00A460D7" w:rsidRPr="006B157C" w:rsidRDefault="00A460D7" w:rsidP="000950BF">
                      <w:r>
                        <w:t>Healthcare Effectiveness Data and Information Set (</w:t>
                      </w:r>
                      <w:r w:rsidRPr="006B157C">
                        <w:t>HEDIS</w:t>
                      </w:r>
                      <w:r>
                        <w:rPr>
                          <w:rFonts w:cstheme="minorHAnsi"/>
                        </w:rPr>
                        <w:t>®</w:t>
                      </w:r>
                      <w:r>
                        <w:t>)</w:t>
                      </w:r>
                      <w:r w:rsidRPr="006B157C">
                        <w:t xml:space="preserve"> and The Quality Compass</w:t>
                      </w:r>
                      <w:r>
                        <w:rPr>
                          <w:rFonts w:cstheme="minorHAnsi"/>
                        </w:rPr>
                        <w:t>®</w:t>
                      </w:r>
                      <w:r w:rsidRPr="006B157C">
                        <w:t xml:space="preserve"> are registered trademarks of the National Committee for Quality Assurance (NCQA). NCQA™ is a trademark of the National Committee for Quality Assurance. </w:t>
                      </w:r>
                      <w:r w:rsidRPr="0027155A">
                        <w:t>Consumer Assessment of Healthcare Providers and Systems (CAHPS</w:t>
                      </w:r>
                      <w:r>
                        <w:rPr>
                          <w:rFonts w:cstheme="minorHAnsi"/>
                        </w:rPr>
                        <w:t>®</w:t>
                      </w:r>
                      <w:r w:rsidRPr="0027155A">
                        <w:t>)</w:t>
                      </w:r>
                      <w:r>
                        <w:t xml:space="preserve"> is a registered trademark of the Agency for Healthcare Research and Quality (AHRQ).</w:t>
                      </w:r>
                    </w:p>
                  </w:txbxContent>
                </v:textbox>
                <w10:wrap anchorx="margin" anchory="margin"/>
              </v:shape>
            </w:pict>
          </mc:Fallback>
        </mc:AlternateContent>
      </w:r>
    </w:p>
    <w:p w14:paraId="6F545470" w14:textId="2AA86D5C" w:rsidR="00FF71FC" w:rsidRPr="00411D9E" w:rsidRDefault="00FF71FC">
      <w:pPr>
        <w:rPr>
          <w:rFonts w:asciiTheme="majorHAnsi" w:eastAsiaTheme="majorEastAsia" w:hAnsiTheme="majorHAnsi" w:cstheme="majorBidi"/>
          <w:b/>
          <w:bCs/>
          <w:color w:val="365F91" w:themeColor="accent1" w:themeShade="BF"/>
          <w:sz w:val="28"/>
          <w:szCs w:val="28"/>
        </w:rPr>
      </w:pPr>
      <w:bookmarkStart w:id="0" w:name="_Toc512521010"/>
      <w:bookmarkStart w:id="1" w:name="_Toc512521012"/>
      <w:r w:rsidRPr="00411D9E">
        <w:br w:type="page"/>
      </w:r>
    </w:p>
    <w:p w14:paraId="6E16B0F7" w14:textId="438F664C" w:rsidR="00AD3F7D" w:rsidRPr="00411D9E" w:rsidRDefault="00AD3F7D" w:rsidP="00AD3F7D">
      <w:pPr>
        <w:pStyle w:val="Heading1"/>
      </w:pPr>
      <w:bookmarkStart w:id="2" w:name="_Toc99026938"/>
      <w:r w:rsidRPr="00411D9E">
        <w:lastRenderedPageBreak/>
        <w:t>Introduction</w:t>
      </w:r>
      <w:bookmarkEnd w:id="0"/>
      <w:bookmarkEnd w:id="2"/>
      <w:r w:rsidRPr="00411D9E">
        <w:t xml:space="preserve"> </w:t>
      </w:r>
    </w:p>
    <w:p w14:paraId="2E4F495C" w14:textId="77777777" w:rsidR="005362FA" w:rsidRPr="00411D9E" w:rsidRDefault="005362FA" w:rsidP="00DE51E7">
      <w:pPr>
        <w:pStyle w:val="Heading2"/>
      </w:pPr>
      <w:bookmarkStart w:id="3" w:name="_Toc99026939"/>
      <w:bookmarkStart w:id="4" w:name="_Hlk97895558"/>
      <w:r w:rsidRPr="00411D9E">
        <w:t>Purpose and Background</w:t>
      </w:r>
      <w:bookmarkEnd w:id="3"/>
    </w:p>
    <w:p w14:paraId="32BE281D" w14:textId="77777777" w:rsidR="005362FA" w:rsidRPr="00411D9E" w:rsidRDefault="005362FA" w:rsidP="005362FA">
      <w:pPr>
        <w:rPr>
          <w:rFonts w:ascii="Calibri" w:eastAsia="Times New Roman" w:hAnsi="Calibri" w:cs="Times New Roman"/>
        </w:rPr>
      </w:pPr>
      <w:bookmarkStart w:id="5" w:name="_Hlk97895585"/>
      <w:bookmarkEnd w:id="4"/>
      <w:r w:rsidRPr="00411D9E">
        <w:rPr>
          <w:rFonts w:ascii="Calibri" w:eastAsia="Times New Roman" w:hAnsi="Calibri" w:cs="Times New Roman"/>
        </w:rPr>
        <w:t xml:space="preserve">The final rule of the Balanced Budget Act (BBA) of 1997 requires that State agencies contract with an External Quality Review Organization (EQRO) to conduct an annual external quality review (EQR) of the services provided by contracted Medicaid Managed Care Organizations (MCOs).  This EQR must include an analysis and evaluation of aggregated information on quality, timeliness and access to the health care services that a MCO furnishes to Managed Care recipients. The Centers for Medicare &amp; Medicaid Services (CMS) is required to develop EQR protocols to guide and support the annual EQR process. The first set of protocols was issued in 2003 and updated in 2012. CMS revised the protocols in 2018 to incorporate regulatory changes contained in the May 2016 Medicaid and CHIP managed care final rule, including the incorporation of CHIP MCOs. Updated protocols were published in late 2019. </w:t>
      </w:r>
    </w:p>
    <w:p w14:paraId="4415A445" w14:textId="77777777" w:rsidR="005362FA" w:rsidRPr="00411D9E" w:rsidRDefault="005362FA" w:rsidP="005362FA">
      <w:pPr>
        <w:rPr>
          <w:rFonts w:ascii="Calibri" w:eastAsia="Times New Roman" w:hAnsi="Calibri" w:cs="Times New Roman"/>
        </w:rPr>
      </w:pPr>
    </w:p>
    <w:p w14:paraId="0D4BCCB4" w14:textId="77777777" w:rsidR="005362FA" w:rsidRPr="00411D9E" w:rsidRDefault="005362FA" w:rsidP="005362FA">
      <w:pPr>
        <w:rPr>
          <w:rFonts w:ascii="Calibri" w:eastAsia="Times New Roman" w:hAnsi="Calibri" w:cs="Times New Roman"/>
        </w:rPr>
      </w:pPr>
      <w:r w:rsidRPr="00411D9E">
        <w:rPr>
          <w:rFonts w:ascii="Calibri" w:eastAsia="Times New Roman" w:hAnsi="Calibri" w:cs="Times New Roman"/>
        </w:rPr>
        <w:t xml:space="preserve">The Pennsylvania (PA) Department of Human Services (DHS) Children’s Health Insurance Program (CHIP) provides free or low-cost health insurance to uninsured children and teens that are not eligible for or enrolled in Medical Assistance (MA) via the PA DHS </w:t>
      </w:r>
      <w:proofErr w:type="spellStart"/>
      <w:r w:rsidRPr="00411D9E">
        <w:rPr>
          <w:rFonts w:ascii="Calibri" w:eastAsia="Times New Roman" w:hAnsi="Calibri" w:cs="Times New Roman"/>
        </w:rPr>
        <w:t>HealthChoices</w:t>
      </w:r>
      <w:proofErr w:type="spellEnd"/>
      <w:r w:rsidRPr="00411D9E">
        <w:rPr>
          <w:rFonts w:ascii="Calibri" w:eastAsia="Times New Roman" w:hAnsi="Calibri" w:cs="Times New Roman"/>
        </w:rPr>
        <w:t xml:space="preserve"> Medicaid managed care program. PA CHIP contracted with IPRO as its EQRO to conduct the 2021 EQRs </w:t>
      </w:r>
      <w:r w:rsidRPr="00411D9E">
        <w:rPr>
          <w:rFonts w:ascii="Calibri" w:eastAsia="Times New Roman" w:hAnsi="Calibri" w:cs="Arial"/>
          <w:lang w:bidi="ar-SA"/>
        </w:rPr>
        <w:t xml:space="preserve">(Review Period: 1/1/2020 – 12/31/2020) </w:t>
      </w:r>
      <w:r w:rsidRPr="00411D9E">
        <w:rPr>
          <w:rFonts w:ascii="Calibri" w:eastAsia="Times New Roman" w:hAnsi="Calibri" w:cs="Times New Roman"/>
        </w:rPr>
        <w:t xml:space="preserve">for the CHIP MCOs and to prepare the technical reports.  </w:t>
      </w:r>
    </w:p>
    <w:p w14:paraId="2FF8BC81" w14:textId="77777777" w:rsidR="005362FA" w:rsidRPr="00411D9E" w:rsidRDefault="005362FA" w:rsidP="005362FA">
      <w:pPr>
        <w:rPr>
          <w:rFonts w:ascii="Calibri" w:eastAsia="Times New Roman" w:hAnsi="Calibri" w:cs="Times New Roman"/>
        </w:rPr>
      </w:pPr>
    </w:p>
    <w:p w14:paraId="746473A8" w14:textId="77777777" w:rsidR="005362FA" w:rsidRPr="00411D9E" w:rsidRDefault="005362FA" w:rsidP="005362FA">
      <w:pPr>
        <w:rPr>
          <w:rFonts w:ascii="Calibri" w:eastAsia="Times New Roman" w:hAnsi="Calibri" w:cs="Times New Roman"/>
        </w:rPr>
      </w:pPr>
      <w:r w:rsidRPr="00411D9E">
        <w:rPr>
          <w:rFonts w:ascii="Calibri" w:eastAsia="Times New Roman" w:hAnsi="Calibri" w:cs="Times New Roman"/>
        </w:rPr>
        <w:t>The mandatory EQR-related activities that must be included in detailed technical reports, per 42 CFR §438.358 (</w:t>
      </w:r>
      <w:proofErr w:type="spellStart"/>
      <w:r w:rsidRPr="00411D9E">
        <w:rPr>
          <w:rFonts w:ascii="Calibri" w:eastAsia="Times New Roman" w:hAnsi="Calibri" w:cs="Times New Roman"/>
        </w:rPr>
        <w:t>crosswalked</w:t>
      </w:r>
      <w:proofErr w:type="spellEnd"/>
      <w:r w:rsidRPr="00411D9E">
        <w:rPr>
          <w:rFonts w:ascii="Calibri" w:eastAsia="Times New Roman" w:hAnsi="Calibri" w:cs="Times New Roman"/>
        </w:rPr>
        <w:t xml:space="preserve"> to §457.1250 for CHIP), are as follows:</w:t>
      </w:r>
    </w:p>
    <w:p w14:paraId="4CB5E938" w14:textId="77777777" w:rsidR="005362FA" w:rsidRPr="00411D9E" w:rsidRDefault="005362FA" w:rsidP="00A0110E">
      <w:pPr>
        <w:numPr>
          <w:ilvl w:val="0"/>
          <w:numId w:val="1"/>
        </w:numPr>
        <w:rPr>
          <w:rFonts w:ascii="Calibri" w:eastAsia="Times New Roman" w:hAnsi="Calibri" w:cs="Arial"/>
          <w:lang w:bidi="ar-SA"/>
        </w:rPr>
      </w:pPr>
      <w:r w:rsidRPr="00411D9E">
        <w:rPr>
          <w:rFonts w:ascii="Calibri" w:eastAsia="Times New Roman" w:hAnsi="Calibri" w:cs="Arial"/>
          <w:lang w:bidi="ar-SA"/>
        </w:rPr>
        <w:t>validation of performance improvement projects,</w:t>
      </w:r>
    </w:p>
    <w:p w14:paraId="79C0E67A" w14:textId="77777777" w:rsidR="005362FA" w:rsidRPr="00411D9E" w:rsidRDefault="005362FA" w:rsidP="00A0110E">
      <w:pPr>
        <w:numPr>
          <w:ilvl w:val="0"/>
          <w:numId w:val="1"/>
        </w:numPr>
        <w:rPr>
          <w:rFonts w:ascii="Calibri" w:eastAsia="Times New Roman" w:hAnsi="Calibri" w:cs="Arial"/>
          <w:lang w:bidi="ar-SA"/>
        </w:rPr>
      </w:pPr>
      <w:r w:rsidRPr="00411D9E">
        <w:rPr>
          <w:rFonts w:ascii="Calibri" w:eastAsia="Times New Roman" w:hAnsi="Calibri" w:cs="Arial"/>
          <w:lang w:bidi="ar-SA"/>
        </w:rPr>
        <w:t>validation of MCO performance measures, and</w:t>
      </w:r>
    </w:p>
    <w:p w14:paraId="7856CE0D" w14:textId="77777777" w:rsidR="005362FA" w:rsidRPr="00411D9E" w:rsidRDefault="005362FA" w:rsidP="00A0110E">
      <w:pPr>
        <w:numPr>
          <w:ilvl w:val="0"/>
          <w:numId w:val="1"/>
        </w:numPr>
        <w:rPr>
          <w:rFonts w:ascii="Calibri" w:eastAsia="Times New Roman" w:hAnsi="Calibri" w:cs="Arial"/>
          <w:lang w:bidi="ar-SA"/>
        </w:rPr>
      </w:pPr>
      <w:r w:rsidRPr="00411D9E">
        <w:rPr>
          <w:rFonts w:ascii="Calibri" w:eastAsia="Times New Roman" w:hAnsi="Calibri" w:cs="Arial"/>
          <w:lang w:bidi="ar-SA"/>
        </w:rPr>
        <w:t>review of compliance with Medicaid and CHIP managed care regulations.</w:t>
      </w:r>
    </w:p>
    <w:p w14:paraId="352BD31E" w14:textId="77777777" w:rsidR="005362FA" w:rsidRPr="00411D9E" w:rsidRDefault="005362FA" w:rsidP="005362FA">
      <w:pPr>
        <w:rPr>
          <w:rFonts w:ascii="Calibri" w:eastAsia="Times New Roman" w:hAnsi="Calibri" w:cs="Arial"/>
          <w:lang w:bidi="ar-SA"/>
        </w:rPr>
      </w:pPr>
    </w:p>
    <w:p w14:paraId="6D4EEC41" w14:textId="1553062B" w:rsidR="005362FA" w:rsidRPr="00411D9E" w:rsidRDefault="005362FA" w:rsidP="005362FA">
      <w:pPr>
        <w:rPr>
          <w:rFonts w:ascii="Calibri" w:eastAsia="Times New Roman" w:hAnsi="Calibri" w:cs="Arial"/>
          <w:lang w:bidi="ar-SA"/>
        </w:rPr>
      </w:pPr>
      <w:r w:rsidRPr="00411D9E">
        <w:rPr>
          <w:rFonts w:ascii="Calibri" w:eastAsia="Times New Roman" w:hAnsi="Calibri" w:cs="Times New Roman"/>
          <w:lang w:bidi="ar-SA"/>
        </w:rPr>
        <w:t xml:space="preserve">It should be noted that a fourth mandatory activity, validation of network adequacy, </w:t>
      </w:r>
      <w:bookmarkStart w:id="6" w:name="_Hlk97879278"/>
      <w:r w:rsidRPr="00411D9E">
        <w:rPr>
          <w:rFonts w:ascii="Calibri" w:eastAsia="Times New Roman" w:hAnsi="Calibri" w:cs="Times New Roman"/>
          <w:lang w:bidi="ar-SA"/>
        </w:rPr>
        <w:t>was named in the CMS</w:t>
      </w:r>
      <w:r w:rsidRPr="00411D9E">
        <w:rPr>
          <w:rFonts w:ascii="Calibri" w:eastAsia="Times New Roman" w:hAnsi="Calibri" w:cs="Times New Roman"/>
          <w:i/>
          <w:lang w:bidi="ar-SA"/>
        </w:rPr>
        <w:t xml:space="preserve"> External Quality Review (EQR) Protocols</w:t>
      </w:r>
      <w:r w:rsidRPr="00411D9E">
        <w:rPr>
          <w:rFonts w:ascii="Calibri" w:eastAsia="Times New Roman" w:hAnsi="Calibri" w:cs="Times New Roman"/>
          <w:lang w:bidi="ar-SA"/>
        </w:rPr>
        <w:t xml:space="preserve"> published in October 2019. </w:t>
      </w:r>
      <w:bookmarkEnd w:id="6"/>
      <w:r w:rsidRPr="00411D9E">
        <w:rPr>
          <w:rFonts w:ascii="Calibri" w:eastAsia="Times New Roman" w:hAnsi="Calibri" w:cs="Times New Roman"/>
          <w:lang w:bidi="ar-SA"/>
        </w:rPr>
        <w:t xml:space="preserve">However, CMS has not published an official protocol for this activity, and this activity is conducted at the state’s discretion. </w:t>
      </w:r>
      <w:r w:rsidR="009C432A" w:rsidRPr="00411D9E">
        <w:t xml:space="preserve">Each managed care program agreement </w:t>
      </w:r>
      <w:proofErr w:type="gramStart"/>
      <w:r w:rsidR="009C432A" w:rsidRPr="00411D9E">
        <w:t>entered into</w:t>
      </w:r>
      <w:proofErr w:type="gramEnd"/>
      <w:r w:rsidR="009C432A" w:rsidRPr="00411D9E">
        <w:t xml:space="preserve"> by DHS identifies network adequacy standards for those programs. </w:t>
      </w:r>
      <w:r w:rsidR="009C432A" w:rsidRPr="00411D9E">
        <w:rPr>
          <w:rFonts w:ascii="Calibri" w:eastAsia="Times New Roman" w:hAnsi="Calibri" w:cs="Times New Roman"/>
        </w:rPr>
        <w:t>For CHIP MCOs, DHS has published provider network standards through CHIP Sole Source Amendments and the CHIP Procedures Handbook, Chapter 21.</w:t>
      </w:r>
    </w:p>
    <w:p w14:paraId="07CA68F6" w14:textId="77777777" w:rsidR="005362FA" w:rsidRPr="00411D9E" w:rsidRDefault="005362FA" w:rsidP="005362FA">
      <w:pPr>
        <w:rPr>
          <w:rFonts w:ascii="Calibri" w:eastAsia="Times New Roman" w:hAnsi="Calibri" w:cs="Arial"/>
          <w:lang w:bidi="ar-SA"/>
        </w:rPr>
      </w:pPr>
    </w:p>
    <w:p w14:paraId="7B2955D8" w14:textId="77777777" w:rsidR="005362FA" w:rsidRPr="00411D9E" w:rsidRDefault="005362FA" w:rsidP="005362FA">
      <w:pPr>
        <w:rPr>
          <w:rFonts w:ascii="Calibri" w:eastAsia="Times New Roman" w:hAnsi="Calibri" w:cs="Times New Roman"/>
        </w:rPr>
      </w:pPr>
      <w:bookmarkStart w:id="7" w:name="_Hlk97895650"/>
      <w:bookmarkEnd w:id="5"/>
      <w:r w:rsidRPr="00411D9E">
        <w:rPr>
          <w:rFonts w:ascii="Calibri" w:eastAsia="Times New Roman" w:hAnsi="Calibri" w:cs="Times New Roman"/>
        </w:rPr>
        <w:t>The report includes six core sections:</w:t>
      </w:r>
    </w:p>
    <w:p w14:paraId="7BCF2D4F" w14:textId="77777777" w:rsidR="005362FA" w:rsidRPr="00411D9E" w:rsidRDefault="005362FA" w:rsidP="00A0110E">
      <w:pPr>
        <w:numPr>
          <w:ilvl w:val="0"/>
          <w:numId w:val="2"/>
        </w:numPr>
        <w:ind w:left="540" w:hanging="180"/>
        <w:rPr>
          <w:rFonts w:ascii="Calibri" w:eastAsia="Times New Roman" w:hAnsi="Calibri" w:cs="Arial"/>
          <w:lang w:bidi="ar-SA"/>
        </w:rPr>
      </w:pPr>
      <w:r w:rsidRPr="00411D9E">
        <w:rPr>
          <w:rFonts w:ascii="Calibri" w:eastAsia="Times New Roman" w:hAnsi="Calibri" w:cs="Arial"/>
          <w:lang w:bidi="ar-SA"/>
        </w:rPr>
        <w:t xml:space="preserve">Performance Improvement Projects  </w:t>
      </w:r>
      <w:r w:rsidRPr="00411D9E">
        <w:rPr>
          <w:rFonts w:ascii="Calibri" w:eastAsia="Times New Roman" w:hAnsi="Calibri" w:cs="Arial"/>
          <w:lang w:bidi="ar-SA"/>
        </w:rPr>
        <w:tab/>
      </w:r>
    </w:p>
    <w:p w14:paraId="560A3AFD" w14:textId="429A5809" w:rsidR="005362FA" w:rsidRPr="00411D9E" w:rsidRDefault="005362FA" w:rsidP="00A0110E">
      <w:pPr>
        <w:numPr>
          <w:ilvl w:val="0"/>
          <w:numId w:val="2"/>
        </w:numPr>
        <w:ind w:left="540" w:hanging="180"/>
        <w:rPr>
          <w:rFonts w:ascii="Calibri" w:eastAsia="Times New Roman" w:hAnsi="Calibri" w:cs="Arial"/>
          <w:lang w:bidi="ar-SA"/>
        </w:rPr>
      </w:pPr>
      <w:r w:rsidRPr="00411D9E">
        <w:rPr>
          <w:rFonts w:ascii="Calibri" w:eastAsia="Times New Roman" w:hAnsi="Calibri" w:cs="Arial"/>
          <w:lang w:bidi="ar-SA"/>
        </w:rPr>
        <w:t>Performance Measures and Consumer Assessment of Healthcare Providers and Systems (CAHPS</w:t>
      </w:r>
      <w:r w:rsidR="000950BF" w:rsidRPr="00411D9E">
        <w:rPr>
          <w:rFonts w:cstheme="minorHAnsi"/>
        </w:rPr>
        <w:t>®</w:t>
      </w:r>
      <w:r w:rsidRPr="00411D9E">
        <w:rPr>
          <w:rFonts w:ascii="Calibri" w:eastAsia="Times New Roman" w:hAnsi="Calibri" w:cs="Arial"/>
          <w:lang w:bidi="ar-SA"/>
        </w:rPr>
        <w:t xml:space="preserve">) Survey </w:t>
      </w:r>
    </w:p>
    <w:p w14:paraId="6185EF86" w14:textId="77777777" w:rsidR="005362FA" w:rsidRPr="00411D9E" w:rsidRDefault="005362FA" w:rsidP="00A0110E">
      <w:pPr>
        <w:numPr>
          <w:ilvl w:val="0"/>
          <w:numId w:val="2"/>
        </w:numPr>
        <w:ind w:left="540" w:hanging="180"/>
        <w:rPr>
          <w:rFonts w:ascii="Calibri" w:eastAsia="Times New Roman" w:hAnsi="Calibri" w:cs="Arial"/>
          <w:lang w:bidi="ar-SA"/>
        </w:rPr>
      </w:pPr>
      <w:r w:rsidRPr="00411D9E">
        <w:rPr>
          <w:rFonts w:ascii="Calibri" w:eastAsia="Times New Roman" w:hAnsi="Calibri" w:cs="Arial"/>
          <w:lang w:bidi="ar-SA"/>
        </w:rPr>
        <w:t>Performance Improvement Projects</w:t>
      </w:r>
    </w:p>
    <w:p w14:paraId="6A42CBEE" w14:textId="77777777" w:rsidR="005362FA" w:rsidRPr="00411D9E" w:rsidRDefault="005362FA" w:rsidP="00A0110E">
      <w:pPr>
        <w:numPr>
          <w:ilvl w:val="0"/>
          <w:numId w:val="2"/>
        </w:numPr>
        <w:ind w:left="540" w:hanging="180"/>
        <w:rPr>
          <w:rFonts w:ascii="Calibri" w:eastAsia="Times New Roman" w:hAnsi="Calibri" w:cs="Arial"/>
          <w:lang w:bidi="ar-SA"/>
        </w:rPr>
      </w:pPr>
      <w:r w:rsidRPr="00411D9E">
        <w:rPr>
          <w:rFonts w:ascii="Calibri" w:eastAsia="Times New Roman" w:hAnsi="Calibri" w:cs="Arial"/>
          <w:lang w:bidi="ar-SA"/>
        </w:rPr>
        <w:t>2020 Opportunities for Improvement – MCO Response</w:t>
      </w:r>
    </w:p>
    <w:p w14:paraId="1F966B04" w14:textId="77777777" w:rsidR="005362FA" w:rsidRPr="00411D9E" w:rsidRDefault="005362FA" w:rsidP="00A0110E">
      <w:pPr>
        <w:numPr>
          <w:ilvl w:val="0"/>
          <w:numId w:val="2"/>
        </w:numPr>
        <w:ind w:left="540" w:hanging="180"/>
        <w:rPr>
          <w:rFonts w:ascii="Calibri" w:eastAsia="Times New Roman" w:hAnsi="Calibri" w:cs="Arial"/>
          <w:lang w:bidi="ar-SA"/>
        </w:rPr>
      </w:pPr>
      <w:r w:rsidRPr="00411D9E">
        <w:rPr>
          <w:rFonts w:ascii="Calibri" w:eastAsia="Times New Roman" w:hAnsi="Calibri" w:cs="Arial"/>
          <w:lang w:bidi="ar-SA"/>
        </w:rPr>
        <w:t>2021 Strengths and Opportunities for Improvement</w:t>
      </w:r>
    </w:p>
    <w:p w14:paraId="68942E1A" w14:textId="77777777" w:rsidR="005362FA" w:rsidRPr="00411D9E" w:rsidRDefault="005362FA" w:rsidP="00A0110E">
      <w:pPr>
        <w:numPr>
          <w:ilvl w:val="0"/>
          <w:numId w:val="2"/>
        </w:numPr>
        <w:ind w:left="540" w:hanging="180"/>
        <w:rPr>
          <w:rFonts w:ascii="Calibri" w:eastAsia="Times New Roman" w:hAnsi="Calibri" w:cs="Arial"/>
          <w:lang w:bidi="ar-SA"/>
        </w:rPr>
      </w:pPr>
      <w:r w:rsidRPr="00411D9E">
        <w:rPr>
          <w:rFonts w:ascii="Calibri" w:eastAsia="Times New Roman" w:hAnsi="Calibri" w:cs="Arial"/>
          <w:lang w:bidi="ar-SA"/>
        </w:rPr>
        <w:t>Summary of Activities</w:t>
      </w:r>
    </w:p>
    <w:p w14:paraId="17B97763" w14:textId="77777777" w:rsidR="005362FA" w:rsidRPr="00411D9E" w:rsidRDefault="005362FA" w:rsidP="005362FA">
      <w:pPr>
        <w:rPr>
          <w:rFonts w:ascii="Calibri" w:eastAsia="Times New Roman" w:hAnsi="Calibri" w:cs="Arial"/>
          <w:lang w:bidi="ar-SA"/>
        </w:rPr>
      </w:pPr>
    </w:p>
    <w:p w14:paraId="4125BF92" w14:textId="77777777" w:rsidR="005362FA" w:rsidRPr="00411D9E" w:rsidRDefault="005362FA" w:rsidP="005362FA">
      <w:pPr>
        <w:rPr>
          <w:rFonts w:ascii="Calibri" w:eastAsia="Times New Roman" w:hAnsi="Calibri" w:cs="Times New Roman"/>
        </w:rPr>
      </w:pPr>
      <w:r w:rsidRPr="00411D9E">
        <w:rPr>
          <w:rFonts w:ascii="Calibri" w:eastAsia="Times New Roman" w:hAnsi="Calibri" w:cs="Times New Roman"/>
        </w:rPr>
        <w:t xml:space="preserve">Information for </w:t>
      </w:r>
      <w:r w:rsidRPr="00411D9E">
        <w:rPr>
          <w:rFonts w:ascii="Calibri" w:eastAsia="Times New Roman" w:hAnsi="Calibri" w:cs="Times New Roman"/>
          <w:b/>
        </w:rPr>
        <w:t>Section I</w:t>
      </w:r>
      <w:r w:rsidRPr="00411D9E">
        <w:rPr>
          <w:rFonts w:ascii="Calibri" w:eastAsia="Times New Roman" w:hAnsi="Calibri" w:cs="Times New Roman"/>
        </w:rPr>
        <w:t xml:space="preserve"> of this report is derived from IPRO’s validation of each CHIP MCO’s Performance Improvement Projects (PIPs) for a new validation cycle, including review of the PIP design and implementation using documents provided by the MCO.</w:t>
      </w:r>
    </w:p>
    <w:p w14:paraId="60331D21" w14:textId="77777777" w:rsidR="005362FA" w:rsidRPr="00411D9E" w:rsidRDefault="005362FA" w:rsidP="005362FA">
      <w:pPr>
        <w:rPr>
          <w:rFonts w:ascii="Calibri" w:eastAsia="Times New Roman" w:hAnsi="Calibri" w:cs="Times New Roman"/>
        </w:rPr>
      </w:pPr>
    </w:p>
    <w:p w14:paraId="23F153B5" w14:textId="722914E0" w:rsidR="005362FA" w:rsidRPr="00411D9E" w:rsidRDefault="005362FA" w:rsidP="005362FA">
      <w:pPr>
        <w:rPr>
          <w:rFonts w:ascii="Calibri" w:eastAsia="Times New Roman" w:hAnsi="Calibri" w:cs="Times New Roman"/>
        </w:rPr>
      </w:pPr>
      <w:r w:rsidRPr="00411D9E">
        <w:rPr>
          <w:rFonts w:ascii="Calibri" w:eastAsia="Times New Roman" w:hAnsi="Calibri" w:cs="Times New Roman"/>
        </w:rPr>
        <w:t xml:space="preserve">Information for </w:t>
      </w:r>
      <w:r w:rsidRPr="00411D9E">
        <w:rPr>
          <w:rFonts w:ascii="Calibri" w:eastAsia="Times New Roman" w:hAnsi="Calibri" w:cs="Times New Roman"/>
          <w:b/>
        </w:rPr>
        <w:t>Section II</w:t>
      </w:r>
      <w:r w:rsidRPr="00411D9E">
        <w:rPr>
          <w:rFonts w:ascii="Calibri" w:eastAsia="Times New Roman" w:hAnsi="Calibri" w:cs="Times New Roman"/>
        </w:rPr>
        <w:t xml:space="preserve"> of this report is derived from IPRO’s validation of each CHIP MCO’s performance measure submissions. Performance measure validation as conducted by IPRO includes both Pennsylvania specific performance measures as well as Healthcare Effectiveness Data and Information Set (HEDIS</w:t>
      </w:r>
      <w:r w:rsidR="000950BF" w:rsidRPr="00411D9E">
        <w:rPr>
          <w:rFonts w:cstheme="minorHAnsi"/>
        </w:rPr>
        <w:t>®</w:t>
      </w:r>
      <w:r w:rsidRPr="00411D9E">
        <w:rPr>
          <w:rFonts w:ascii="Calibri" w:eastAsia="Times New Roman" w:hAnsi="Calibri" w:cs="Times New Roman"/>
        </w:rPr>
        <w:t>)</w:t>
      </w:r>
      <w:r w:rsidRPr="00411D9E">
        <w:rPr>
          <w:rFonts w:ascii="Calibri" w:eastAsia="Times New Roman" w:hAnsi="Calibri" w:cs="Times New Roman"/>
          <w:vertAlign w:val="superscript"/>
        </w:rPr>
        <w:t xml:space="preserve"> </w:t>
      </w:r>
      <w:r w:rsidRPr="00411D9E">
        <w:rPr>
          <w:rFonts w:ascii="Calibri" w:eastAsia="Times New Roman" w:hAnsi="Calibri" w:cs="Times New Roman"/>
        </w:rPr>
        <w:t xml:space="preserve">measures for each CHIP MCO. Within </w:t>
      </w:r>
      <w:r w:rsidRPr="00411D9E">
        <w:rPr>
          <w:rFonts w:ascii="Calibri" w:eastAsia="Times New Roman" w:hAnsi="Calibri" w:cs="Times New Roman"/>
          <w:b/>
        </w:rPr>
        <w:t>Section II</w:t>
      </w:r>
      <w:r w:rsidRPr="00411D9E">
        <w:rPr>
          <w:rFonts w:ascii="Calibri" w:eastAsia="Times New Roman" w:hAnsi="Calibri" w:cs="Times New Roman"/>
        </w:rPr>
        <w:t>, CAHPS Survey results follow the performance measures.</w:t>
      </w:r>
    </w:p>
    <w:p w14:paraId="7C24FCA0" w14:textId="77777777" w:rsidR="005362FA" w:rsidRPr="00411D9E" w:rsidRDefault="005362FA" w:rsidP="005362FA">
      <w:pPr>
        <w:rPr>
          <w:rFonts w:ascii="Calibri" w:eastAsia="Times New Roman" w:hAnsi="Calibri" w:cs="Times New Roman"/>
        </w:rPr>
      </w:pPr>
    </w:p>
    <w:p w14:paraId="31FC76F8" w14:textId="77777777" w:rsidR="005362FA" w:rsidRPr="00411D9E" w:rsidRDefault="005362FA" w:rsidP="005362FA">
      <w:pPr>
        <w:rPr>
          <w:rFonts w:ascii="Calibri" w:eastAsia="Times New Roman" w:hAnsi="Calibri" w:cs="Times New Roman"/>
        </w:rPr>
      </w:pPr>
      <w:r w:rsidRPr="00411D9E">
        <w:rPr>
          <w:rFonts w:ascii="Calibri" w:eastAsia="Times New Roman" w:hAnsi="Calibri" w:cs="Times New Roman"/>
        </w:rPr>
        <w:t xml:space="preserve">Historically for the CHIP MCOs, the information for the compliance with Structure and Operations Standards in </w:t>
      </w:r>
      <w:r w:rsidRPr="00411D9E">
        <w:rPr>
          <w:rFonts w:ascii="Calibri" w:eastAsia="Times New Roman" w:hAnsi="Calibri" w:cs="Times New Roman"/>
          <w:b/>
        </w:rPr>
        <w:t>Section III</w:t>
      </w:r>
      <w:r w:rsidRPr="00411D9E">
        <w:rPr>
          <w:rFonts w:ascii="Calibri" w:eastAsia="Times New Roman" w:hAnsi="Calibri" w:cs="Times New Roman"/>
        </w:rPr>
        <w:t xml:space="preserve"> of the report was derived from the results of on-site reviews conducted by PA CHIP staff, with findings </w:t>
      </w:r>
      <w:proofErr w:type="gramStart"/>
      <w:r w:rsidRPr="00411D9E">
        <w:rPr>
          <w:rFonts w:ascii="Calibri" w:eastAsia="Times New Roman" w:hAnsi="Calibri" w:cs="Times New Roman"/>
        </w:rPr>
        <w:t>entered into</w:t>
      </w:r>
      <w:proofErr w:type="gramEnd"/>
      <w:r w:rsidRPr="00411D9E">
        <w:rPr>
          <w:rFonts w:ascii="Calibri" w:eastAsia="Times New Roman" w:hAnsi="Calibri" w:cs="Times New Roman"/>
        </w:rPr>
        <w:t xml:space="preserve"> the department’s on-site monitoring tool, and follow up materials provided as needed or requested. Beginning in 2020, compliance data were collected from the commonwealth’s monitoring of the MCOs against the Systematic Monitoring, </w:t>
      </w:r>
      <w:proofErr w:type="gramStart"/>
      <w:r w:rsidRPr="00411D9E">
        <w:rPr>
          <w:rFonts w:ascii="Calibri" w:eastAsia="Times New Roman" w:hAnsi="Calibri" w:cs="Times New Roman"/>
        </w:rPr>
        <w:t>Access</w:t>
      </w:r>
      <w:proofErr w:type="gramEnd"/>
      <w:r w:rsidRPr="00411D9E">
        <w:rPr>
          <w:rFonts w:ascii="Calibri" w:eastAsia="Times New Roman" w:hAnsi="Calibri" w:cs="Times New Roman"/>
        </w:rPr>
        <w:t xml:space="preserve"> and Retrieval Technology (SMART) standards, from CHIP’s contract agreements with the plans, and from National Committee for Quality Assurance (NCQA™) accreditation results for each MCO.  Standards presented in the on-site tool </w:t>
      </w:r>
      <w:r w:rsidRPr="00411D9E">
        <w:rPr>
          <w:rFonts w:ascii="Calibri" w:eastAsia="Times New Roman" w:hAnsi="Calibri" w:cs="Times New Roman"/>
        </w:rPr>
        <w:lastRenderedPageBreak/>
        <w:t xml:space="preserve">are those currently reviewed and utilized by PA CHIP staff to conduct reviews; these standards may be applicable to other subparts, and will be </w:t>
      </w:r>
      <w:proofErr w:type="spellStart"/>
      <w:r w:rsidRPr="00411D9E">
        <w:rPr>
          <w:rFonts w:ascii="Calibri" w:eastAsia="Times New Roman" w:hAnsi="Calibri" w:cs="Times New Roman"/>
        </w:rPr>
        <w:t>crosswalked</w:t>
      </w:r>
      <w:proofErr w:type="spellEnd"/>
      <w:r w:rsidRPr="00411D9E">
        <w:rPr>
          <w:rFonts w:ascii="Calibri" w:eastAsia="Times New Roman" w:hAnsi="Calibri" w:cs="Times New Roman"/>
        </w:rPr>
        <w:t xml:space="preserve"> to reflect regulations as applicable.</w:t>
      </w:r>
    </w:p>
    <w:p w14:paraId="3D6CD0D9" w14:textId="77777777" w:rsidR="005362FA" w:rsidRPr="00411D9E" w:rsidRDefault="005362FA" w:rsidP="005362FA">
      <w:pPr>
        <w:rPr>
          <w:rFonts w:ascii="Calibri" w:eastAsia="Times New Roman" w:hAnsi="Calibri" w:cs="Times New Roman"/>
        </w:rPr>
      </w:pPr>
    </w:p>
    <w:p w14:paraId="1294FCFC" w14:textId="77777777" w:rsidR="005362FA" w:rsidRPr="00411D9E" w:rsidRDefault="005362FA" w:rsidP="005362FA">
      <w:pPr>
        <w:rPr>
          <w:rFonts w:ascii="Calibri" w:eastAsia="Times New Roman" w:hAnsi="Calibri" w:cs="Times New Roman"/>
        </w:rPr>
      </w:pPr>
      <w:r w:rsidRPr="00411D9E">
        <w:rPr>
          <w:rFonts w:ascii="Calibri" w:eastAsia="Times New Roman" w:hAnsi="Calibri" w:cs="Times New Roman"/>
          <w:b/>
        </w:rPr>
        <w:t>Section IV</w:t>
      </w:r>
      <w:r w:rsidRPr="00411D9E">
        <w:rPr>
          <w:rFonts w:ascii="Calibri" w:eastAsia="Times New Roman" w:hAnsi="Calibri" w:cs="Times New Roman"/>
        </w:rPr>
        <w:t>, 2020 Opportunities for Improvement – MCO Response, includes the MCO’s responses to the 2020 EQR Technical Report’s opportunities for improvement and presents the degree to which the MCO addressed each opportunity for improvement.</w:t>
      </w:r>
    </w:p>
    <w:p w14:paraId="78BA1574" w14:textId="77777777" w:rsidR="005362FA" w:rsidRPr="00411D9E" w:rsidRDefault="005362FA" w:rsidP="005362FA">
      <w:pPr>
        <w:rPr>
          <w:rFonts w:ascii="Calibri" w:eastAsia="Times New Roman" w:hAnsi="Calibri" w:cs="Arial"/>
          <w:lang w:bidi="ar-SA"/>
        </w:rPr>
      </w:pPr>
    </w:p>
    <w:p w14:paraId="15D5EF0A" w14:textId="4311C91F" w:rsidR="005362FA" w:rsidRPr="00411D9E" w:rsidRDefault="005362FA" w:rsidP="005362FA">
      <w:pPr>
        <w:rPr>
          <w:rFonts w:ascii="Calibri" w:eastAsia="Times New Roman" w:hAnsi="Calibri" w:cs="Times New Roman"/>
        </w:rPr>
      </w:pPr>
      <w:r w:rsidRPr="00411D9E">
        <w:rPr>
          <w:rFonts w:ascii="Calibri" w:eastAsia="Times New Roman" w:hAnsi="Calibri" w:cs="Times New Roman"/>
          <w:b/>
        </w:rPr>
        <w:t>Section V</w:t>
      </w:r>
      <w:r w:rsidRPr="00411D9E">
        <w:rPr>
          <w:rFonts w:ascii="Calibri" w:eastAsia="Times New Roman" w:hAnsi="Calibri" w:cs="Times New Roman"/>
        </w:rPr>
        <w:t xml:space="preserve"> has a summary of the MCO’s strengths and opportunities for improvement for this review period as determined by IPRO. This section will highlight pe</w:t>
      </w:r>
      <w:r w:rsidR="000950BF" w:rsidRPr="00411D9E">
        <w:rPr>
          <w:rFonts w:ascii="Calibri" w:eastAsia="Times New Roman" w:hAnsi="Calibri" w:cs="Times New Roman"/>
        </w:rPr>
        <w:t>rformance measures across HEDIS</w:t>
      </w:r>
      <w:r w:rsidRPr="00411D9E">
        <w:rPr>
          <w:rFonts w:ascii="Calibri" w:eastAsia="Times New Roman" w:hAnsi="Calibri" w:cs="Times New Roman"/>
        </w:rPr>
        <w:t xml:space="preserve"> and Pennsylvania-specific performance measures where the MCO has performed highest and lowest.  </w:t>
      </w:r>
    </w:p>
    <w:p w14:paraId="4B401BB0" w14:textId="77777777" w:rsidR="005362FA" w:rsidRPr="00411D9E" w:rsidRDefault="005362FA" w:rsidP="005362FA">
      <w:pPr>
        <w:rPr>
          <w:rFonts w:ascii="Calibri" w:eastAsia="Times New Roman" w:hAnsi="Calibri" w:cs="Times New Roman"/>
        </w:rPr>
      </w:pPr>
    </w:p>
    <w:p w14:paraId="52B7617E" w14:textId="00FBB3D8" w:rsidR="00AD3F7D" w:rsidRPr="00411D9E" w:rsidRDefault="005362FA" w:rsidP="00A60B24">
      <w:pPr>
        <w:rPr>
          <w:rFonts w:ascii="Calibri" w:eastAsia="Times New Roman" w:hAnsi="Calibri" w:cs="Times New Roman"/>
        </w:rPr>
      </w:pPr>
      <w:r w:rsidRPr="00411D9E">
        <w:rPr>
          <w:rFonts w:ascii="Calibri" w:eastAsia="Times New Roman" w:hAnsi="Calibri" w:cs="Times New Roman"/>
          <w:b/>
        </w:rPr>
        <w:t>Section VI</w:t>
      </w:r>
      <w:r w:rsidRPr="00411D9E">
        <w:rPr>
          <w:rFonts w:ascii="Calibri" w:eastAsia="Times New Roman" w:hAnsi="Calibri" w:cs="Times New Roman"/>
        </w:rPr>
        <w:t xml:space="preserve"> contains a summary of findings across all sections of the EQR Technical Reports, including Structure and Operations Standards, Performance Improvement Projects, Performance Measures, 2020 Opportunities for Improvement MCO Reponses, and Strengths and Opportunities for Improvement found for 2021.</w:t>
      </w:r>
      <w:bookmarkEnd w:id="7"/>
    </w:p>
    <w:p w14:paraId="4A0F11B6" w14:textId="77777777" w:rsidR="000950BF" w:rsidRPr="00411D9E" w:rsidRDefault="000950BF">
      <w:pPr>
        <w:rPr>
          <w:rFonts w:asciiTheme="majorHAnsi" w:eastAsiaTheme="majorEastAsia" w:hAnsiTheme="majorHAnsi" w:cstheme="majorBidi"/>
          <w:b/>
          <w:bCs/>
          <w:color w:val="365F91" w:themeColor="accent1" w:themeShade="BF"/>
          <w:sz w:val="28"/>
          <w:szCs w:val="28"/>
        </w:rPr>
      </w:pPr>
      <w:bookmarkStart w:id="8" w:name="_Toc86933882"/>
      <w:bookmarkStart w:id="9" w:name="_Toc92376744"/>
      <w:bookmarkStart w:id="10" w:name="_Toc86933883"/>
      <w:bookmarkStart w:id="11" w:name="_Toc92376745"/>
      <w:bookmarkStart w:id="12" w:name="_Toc66967690"/>
      <w:bookmarkStart w:id="13" w:name="_Toc70508366"/>
      <w:bookmarkStart w:id="14" w:name="_Hlk98081761"/>
      <w:r w:rsidRPr="00411D9E">
        <w:br w:type="page"/>
      </w:r>
    </w:p>
    <w:p w14:paraId="525919CB" w14:textId="1C5D8048" w:rsidR="005C3D48" w:rsidRPr="00411D9E" w:rsidRDefault="005C3D48" w:rsidP="00DE51E7">
      <w:pPr>
        <w:pStyle w:val="Heading1"/>
      </w:pPr>
      <w:bookmarkStart w:id="15" w:name="_Toc99026940"/>
      <w:r w:rsidRPr="00411D9E">
        <w:lastRenderedPageBreak/>
        <w:t>I. Validation of Performance Improvement Projects</w:t>
      </w:r>
      <w:bookmarkEnd w:id="8"/>
      <w:bookmarkEnd w:id="9"/>
      <w:bookmarkEnd w:id="15"/>
    </w:p>
    <w:p w14:paraId="3F3F63A7" w14:textId="77777777" w:rsidR="005C3D48" w:rsidRPr="00411D9E" w:rsidRDefault="005C3D48" w:rsidP="00DE51E7">
      <w:pPr>
        <w:pStyle w:val="Heading2"/>
      </w:pPr>
      <w:bookmarkStart w:id="16" w:name="_Toc99026941"/>
      <w:r w:rsidRPr="00411D9E">
        <w:t>Objectives</w:t>
      </w:r>
      <w:bookmarkEnd w:id="10"/>
      <w:bookmarkEnd w:id="11"/>
      <w:bookmarkEnd w:id="16"/>
    </w:p>
    <w:p w14:paraId="7DDECE83" w14:textId="77777777" w:rsidR="005C3D48" w:rsidRPr="00411D9E" w:rsidRDefault="005C3D48" w:rsidP="005C3D48">
      <w:r w:rsidRPr="00411D9E">
        <w:rPr>
          <w:i/>
          <w:iCs/>
        </w:rPr>
        <w:t>Title 42 CFR § 438.330(d)</w:t>
      </w:r>
      <w:r w:rsidRPr="00411D9E">
        <w:t xml:space="preserve"> establishes that state agencies require contracted MCO/MCPs to conduct PIPs that focus on both clinical and non-clinical areas. According to the CMS, the purpose of a PIP is to assess and improve the processes and outcomes of health care provided by an MCO/MCP. </w:t>
      </w:r>
    </w:p>
    <w:p w14:paraId="67A5776A" w14:textId="77777777" w:rsidR="005C3D48" w:rsidRPr="00411D9E" w:rsidRDefault="005C3D48" w:rsidP="005C3D48"/>
    <w:bookmarkEnd w:id="12"/>
    <w:bookmarkEnd w:id="13"/>
    <w:p w14:paraId="51E31937" w14:textId="77777777" w:rsidR="005C3D48" w:rsidRPr="00411D9E" w:rsidRDefault="005C3D48" w:rsidP="005C3D48">
      <w:pPr>
        <w:rPr>
          <w:rFonts w:eastAsia="PMingLiU"/>
        </w:rPr>
      </w:pPr>
      <w:r w:rsidRPr="00411D9E">
        <w:rPr>
          <w:rFonts w:eastAsia="PMingLiU"/>
        </w:rPr>
        <w:t xml:space="preserve">In accordance with current </w:t>
      </w:r>
      <w:smartTag w:uri="urn:schemas-microsoft-com:office:smarttags" w:element="stockticker">
        <w:r w:rsidRPr="00411D9E">
          <w:rPr>
            <w:rFonts w:eastAsia="PMingLiU"/>
          </w:rPr>
          <w:t>BBA</w:t>
        </w:r>
      </w:smartTag>
      <w:r w:rsidRPr="00411D9E">
        <w:rPr>
          <w:rFonts w:eastAsia="PMingLiU"/>
        </w:rPr>
        <w:t xml:space="preserve"> regulations, IPRO undertook validation of Performance Improvement Projects (PIPs) for each CHIP MCO.  For the purposes of the EQR, CHIP MCOs were required to participate in studies selected by DHS CHIP for validation by IPRO in 2017 for 2021 activities.  Under the applicable Agreement with DHS in effect during this review period, CHIP MCOs are required to conduct focused studies each year.  For all CHIP MCOs, two new PIPs were initiated as part of this requirement in 2018. For all PIPs, CHIP MCOs are required to implement improvement actions and to conduct follow-up </w:t>
      </w:r>
      <w:proofErr w:type="gramStart"/>
      <w:r w:rsidRPr="00411D9E">
        <w:rPr>
          <w:rFonts w:eastAsia="PMingLiU"/>
        </w:rPr>
        <w:t>in order to</w:t>
      </w:r>
      <w:proofErr w:type="gramEnd"/>
      <w:r w:rsidRPr="00411D9E">
        <w:rPr>
          <w:rFonts w:eastAsia="PMingLiU"/>
        </w:rPr>
        <w:t xml:space="preserve"> demonstrate initial and sustained improvement or the need for further action.</w:t>
      </w:r>
    </w:p>
    <w:p w14:paraId="104B288D" w14:textId="77777777" w:rsidR="005C3D48" w:rsidRPr="00411D9E" w:rsidRDefault="005C3D48" w:rsidP="005C3D48">
      <w:pPr>
        <w:rPr>
          <w:rFonts w:eastAsia="PMingLiU"/>
        </w:rPr>
      </w:pPr>
    </w:p>
    <w:p w14:paraId="2E5F6D55" w14:textId="77777777" w:rsidR="005C3D48" w:rsidRPr="00411D9E" w:rsidRDefault="005C3D48" w:rsidP="005C3D48">
      <w:pPr>
        <w:rPr>
          <w:rFonts w:eastAsia="PMingLiU"/>
        </w:rPr>
      </w:pPr>
      <w:r w:rsidRPr="00411D9E">
        <w:rPr>
          <w:rFonts w:eastAsia="PMingLiU"/>
        </w:rPr>
        <w:t>As part of the new EQR PIP cycle that was initiated for all CHIP MCOs in 2017, IPRO adopted the Lean methodology, following the CMS recommendation that Quality Improvement Organizations (QIOs) and other healthcare stakeholders embrace Lean in order to promote continuous quality improvement in healthcare. MCOs were provided with the most current Lean PIP submission and validation templates at the initiation of the PIP.</w:t>
      </w:r>
    </w:p>
    <w:p w14:paraId="1DF233FE" w14:textId="77777777" w:rsidR="005C3D48" w:rsidRPr="00411D9E" w:rsidRDefault="005C3D48" w:rsidP="005C3D48">
      <w:pPr>
        <w:rPr>
          <w:rFonts w:eastAsia="PMingLiU"/>
        </w:rPr>
      </w:pPr>
    </w:p>
    <w:p w14:paraId="6FC15024" w14:textId="77777777" w:rsidR="005C3D48" w:rsidRPr="00411D9E" w:rsidRDefault="005C3D48" w:rsidP="005C3D48">
      <w:pPr>
        <w:rPr>
          <w:rFonts w:eastAsia="PMingLiU"/>
        </w:rPr>
      </w:pPr>
      <w:r w:rsidRPr="00411D9E">
        <w:rPr>
          <w:rFonts w:eastAsia="PMingLiU"/>
        </w:rPr>
        <w:t xml:space="preserve">2021 is the thirteenth year to include validation of PIPs.  For each PIP, all CHIP MCOs share the same baseline period and timeline defined for that PIP.  To introduce each PIP cycle, DHS CHIP provided specific guidelines that addressed the PIP submission schedule, the measurement period, documentation requirements, topic selection, study indicators, study design, baseline measurement, interventions, re-measurement, and sustained improvement.  Direction was given with regard to expectations for PIP relevance, quality, completeness, resubmissions and timeliness. </w:t>
      </w:r>
    </w:p>
    <w:p w14:paraId="662C701C" w14:textId="77777777" w:rsidR="005C3D48" w:rsidRPr="00411D9E" w:rsidRDefault="005C3D48" w:rsidP="005C3D48">
      <w:pPr>
        <w:rPr>
          <w:rFonts w:eastAsia="PMingLiU"/>
        </w:rPr>
      </w:pPr>
    </w:p>
    <w:p w14:paraId="51D5C5E7" w14:textId="77777777" w:rsidR="005C3D48" w:rsidRPr="00411D9E" w:rsidRDefault="005C3D48" w:rsidP="005C3D48">
      <w:pPr>
        <w:rPr>
          <w:rFonts w:eastAsia="PMingLiU"/>
          <w:color w:val="000000"/>
        </w:rPr>
      </w:pPr>
      <w:r w:rsidRPr="00411D9E">
        <w:rPr>
          <w:rFonts w:eastAsia="PMingLiU"/>
        </w:rPr>
        <w:t xml:space="preserve">CHIP MCOs were required to implement two internal PIPs in priority topic areas chosen by DHS.  For this PIP cycle, the two topics selected were “Improving Developmental Screening Rate in Children Ages 1, 2, and 3 Years” and “Improving Blood Lead Screening Rate in Children 2 Years of Age”. </w:t>
      </w:r>
    </w:p>
    <w:p w14:paraId="1115FFB2" w14:textId="77777777" w:rsidR="005C3D48" w:rsidRPr="00411D9E" w:rsidRDefault="005C3D48" w:rsidP="005C3D48">
      <w:pPr>
        <w:rPr>
          <w:rFonts w:eastAsia="PMingLiU"/>
        </w:rPr>
      </w:pPr>
    </w:p>
    <w:p w14:paraId="13FEFBCD" w14:textId="442D611F" w:rsidR="005C3D48" w:rsidRPr="00411D9E" w:rsidRDefault="005C3D48" w:rsidP="005C3D48">
      <w:pPr>
        <w:rPr>
          <w:rFonts w:eastAsia="PMingLiU"/>
        </w:rPr>
      </w:pPr>
      <w:r w:rsidRPr="00411D9E">
        <w:rPr>
          <w:rFonts w:eastAsia="PMingLiU"/>
          <w:b/>
        </w:rPr>
        <w:t xml:space="preserve">“Improving Developmental Screening Rate in Children Ages 1, 2, and 3 Years” </w:t>
      </w:r>
      <w:r w:rsidRPr="00411D9E">
        <w:rPr>
          <w:rFonts w:eastAsia="PMingLiU"/>
        </w:rPr>
        <w:t>was selected after review of the CMS Child Core Set Developmental Screening in the First Three Years measure, as well as a number of additional developmental measures. The performance of these measures across Pennsylvania CHIP Contractors has been flat, and in some cases has not improved across years.  Available data indicates that fewer than half of Pennsylvania children from birth to 3 years enrolled in CHIP and Medicaid in 2014 were receiving recommended screenings. Taking into account that approximately 1 in 10 Pennsylvania children may experience a delay in one or more aspects of development, this topic was selected with the aim of all children at risk are reached. The Aim Statement for the topic is “By the end of 2020 the MCO aims to increase developmental screening rates for children ages one, two and three years old.”  Contractors were asked to create objectives that support this Aim Statement</w:t>
      </w:r>
      <w:r w:rsidR="00E71478">
        <w:rPr>
          <w:rFonts w:eastAsia="PMingLiU"/>
        </w:rPr>
        <w:t>.</w:t>
      </w:r>
      <w:r w:rsidRPr="00411D9E">
        <w:rPr>
          <w:rFonts w:eastAsia="PMingLiU"/>
        </w:rPr>
        <w:t xml:space="preserve"> </w:t>
      </w:r>
    </w:p>
    <w:p w14:paraId="380E9A6D" w14:textId="77777777" w:rsidR="005C3D48" w:rsidRPr="00411D9E" w:rsidRDefault="005C3D48" w:rsidP="005C3D48">
      <w:pPr>
        <w:rPr>
          <w:rFonts w:eastAsia="PMingLiU"/>
          <w:sz w:val="16"/>
        </w:rPr>
      </w:pPr>
    </w:p>
    <w:p w14:paraId="23470EDB" w14:textId="77777777" w:rsidR="005C3D48" w:rsidRPr="00411D9E" w:rsidRDefault="005C3D48" w:rsidP="005C3D48">
      <w:pPr>
        <w:rPr>
          <w:rFonts w:eastAsia="PMingLiU"/>
        </w:rPr>
      </w:pPr>
      <w:r w:rsidRPr="00411D9E">
        <w:rPr>
          <w:rFonts w:eastAsia="PMingLiU"/>
        </w:rPr>
        <w:t>For this PIP, DHS CHIP is requiring all CHIP Contractors to submit rates at the baseline, interims, and final measurement years for “Developmental Screening the in First Three Years of Life”. Additionally, Contractors are encouraged to consider other performance measures such as:</w:t>
      </w:r>
    </w:p>
    <w:p w14:paraId="7811B76E" w14:textId="77777777" w:rsidR="005C3D48" w:rsidRPr="00411D9E" w:rsidRDefault="005C3D48" w:rsidP="00A0110E">
      <w:pPr>
        <w:numPr>
          <w:ilvl w:val="0"/>
          <w:numId w:val="7"/>
        </w:numPr>
        <w:contextualSpacing/>
        <w:rPr>
          <w:rFonts w:ascii="Calibri" w:eastAsia="PMingLiU" w:hAnsi="Calibri" w:cs="Arial"/>
        </w:rPr>
      </w:pPr>
      <w:r w:rsidRPr="00411D9E">
        <w:rPr>
          <w:rFonts w:ascii="Calibri" w:eastAsia="PMingLiU" w:hAnsi="Calibri" w:cs="Arial"/>
        </w:rPr>
        <w:t>Proportion of children identified at-risk for developmental, behavioral, and social delays who were referred to early intervention</w:t>
      </w:r>
    </w:p>
    <w:p w14:paraId="5AB6E8ED" w14:textId="77777777" w:rsidR="005C3D48" w:rsidRPr="00411D9E" w:rsidRDefault="005C3D48" w:rsidP="00A0110E">
      <w:pPr>
        <w:numPr>
          <w:ilvl w:val="0"/>
          <w:numId w:val="7"/>
        </w:numPr>
        <w:contextualSpacing/>
        <w:rPr>
          <w:rFonts w:ascii="Calibri" w:eastAsia="PMingLiU" w:hAnsi="Calibri" w:cs="Arial"/>
        </w:rPr>
      </w:pPr>
      <w:r w:rsidRPr="00411D9E">
        <w:rPr>
          <w:rFonts w:ascii="Calibri" w:eastAsia="PMingLiU" w:hAnsi="Calibri" w:cs="Arial"/>
        </w:rPr>
        <w:t>Percentage of children and adolescents with access to primary care practitioners</w:t>
      </w:r>
    </w:p>
    <w:p w14:paraId="3612B094" w14:textId="77777777" w:rsidR="005C3D48" w:rsidRPr="00411D9E" w:rsidRDefault="005C3D48" w:rsidP="00A0110E">
      <w:pPr>
        <w:numPr>
          <w:ilvl w:val="0"/>
          <w:numId w:val="7"/>
        </w:numPr>
        <w:tabs>
          <w:tab w:val="left" w:pos="900"/>
          <w:tab w:val="left" w:pos="990"/>
          <w:tab w:val="left" w:pos="1440"/>
        </w:tabs>
        <w:contextualSpacing/>
        <w:rPr>
          <w:rFonts w:ascii="Calibri" w:eastAsia="PMingLiU" w:hAnsi="Calibri" w:cs="Arial"/>
        </w:rPr>
      </w:pPr>
      <w:r w:rsidRPr="00411D9E">
        <w:rPr>
          <w:rFonts w:ascii="Calibri" w:eastAsia="PMingLiU" w:hAnsi="Calibri" w:cs="Arial"/>
        </w:rPr>
        <w:t>Percentage of children with well-child visits in the first 15 months of life</w:t>
      </w:r>
    </w:p>
    <w:p w14:paraId="060CE780" w14:textId="77777777" w:rsidR="005C3D48" w:rsidRPr="00411D9E" w:rsidRDefault="005C3D48" w:rsidP="005C3D48">
      <w:pPr>
        <w:tabs>
          <w:tab w:val="left" w:pos="900"/>
          <w:tab w:val="left" w:pos="990"/>
          <w:tab w:val="left" w:pos="1440"/>
        </w:tabs>
        <w:ind w:left="360"/>
        <w:contextualSpacing/>
        <w:rPr>
          <w:rFonts w:ascii="Calibri" w:eastAsia="PMingLiU" w:hAnsi="Calibri" w:cs="Arial"/>
        </w:rPr>
      </w:pPr>
    </w:p>
    <w:p w14:paraId="3819C2C9" w14:textId="77777777" w:rsidR="005C3D48" w:rsidRPr="00411D9E" w:rsidRDefault="005C3D48" w:rsidP="005C3D48">
      <w:pPr>
        <w:rPr>
          <w:rFonts w:eastAsia="PMingLiU"/>
        </w:rPr>
      </w:pPr>
      <w:r w:rsidRPr="00411D9E">
        <w:rPr>
          <w:rFonts w:eastAsia="PMingLiU"/>
          <w:b/>
        </w:rPr>
        <w:t>“Improving Blood Lead Screening Rates in Children 2 Years of Age”</w:t>
      </w:r>
      <w:r w:rsidRPr="00411D9E">
        <w:rPr>
          <w:rFonts w:eastAsia="PMingLiU"/>
        </w:rPr>
        <w:t xml:space="preserve"> was selected as the result of a number of observations.  Despite an overall decrease over the last 30 years in children with elevated blood lead levels in the United States, children from low-income families in specific states, including Pennsylvania, have seen decreased rates of screening of blood lead levels. Current CHIP policy requires that all children ages one and two years old and all children ages 3 through 6 years without a prior lead blood test have blood levels screened consistent with current Department of Health </w:t>
      </w:r>
      <w:r w:rsidRPr="00411D9E">
        <w:rPr>
          <w:rFonts w:eastAsia="PMingLiU"/>
        </w:rPr>
        <w:lastRenderedPageBreak/>
        <w:t xml:space="preserve">and CDC standards. Using the HEDIS Lead Screening measure, the average national lead screening rate in 2016 was 66.5%, while the Pennsylvania CHIP average was 53.2%. Despite an overall improvement in lead screening rates for Pennsylvania CHIP Contractors over the previous few years, rates by Contractor and weighted average fell below the national average. In addition to the HEDIS lead screening rate, Contractors have been encouraged to consider these measures as optional initiatives: </w:t>
      </w:r>
    </w:p>
    <w:p w14:paraId="4F527614" w14:textId="77777777" w:rsidR="005C3D48" w:rsidRPr="00411D9E" w:rsidRDefault="005C3D48" w:rsidP="00A0110E">
      <w:pPr>
        <w:numPr>
          <w:ilvl w:val="0"/>
          <w:numId w:val="9"/>
        </w:numPr>
        <w:contextualSpacing/>
        <w:rPr>
          <w:rFonts w:ascii="Calibri" w:eastAsia="PMingLiU" w:hAnsi="Calibri" w:cs="Arial"/>
          <w:lang w:bidi="ar-SA"/>
        </w:rPr>
      </w:pPr>
      <w:r w:rsidRPr="00411D9E">
        <w:rPr>
          <w:rFonts w:ascii="Calibri" w:eastAsia="PMingLiU" w:hAnsi="Calibri" w:cs="Arial"/>
          <w:lang w:bidi="ar-SA"/>
        </w:rPr>
        <w:t xml:space="preserve">Percentage of home investigations where lead exposure risk hazards/factors were identified, </w:t>
      </w:r>
    </w:p>
    <w:p w14:paraId="2988CE09" w14:textId="77777777" w:rsidR="005C3D48" w:rsidRPr="00411D9E" w:rsidRDefault="005C3D48" w:rsidP="00A0110E">
      <w:pPr>
        <w:numPr>
          <w:ilvl w:val="0"/>
          <w:numId w:val="9"/>
        </w:numPr>
        <w:contextualSpacing/>
        <w:rPr>
          <w:rFonts w:ascii="Calibri" w:eastAsia="PMingLiU" w:hAnsi="Calibri" w:cs="Arial"/>
          <w:lang w:bidi="ar-SA"/>
        </w:rPr>
      </w:pPr>
      <w:r w:rsidRPr="00411D9E">
        <w:rPr>
          <w:rFonts w:ascii="Calibri" w:eastAsia="PMingLiU" w:hAnsi="Calibri" w:cs="Arial"/>
          <w:lang w:bidi="ar-SA"/>
        </w:rPr>
        <w:t xml:space="preserve">Total number of children successfully identified with elevated blood lead levels, </w:t>
      </w:r>
    </w:p>
    <w:p w14:paraId="0054F0E9" w14:textId="77777777" w:rsidR="005C3D48" w:rsidRPr="00411D9E" w:rsidRDefault="005C3D48" w:rsidP="00A0110E">
      <w:pPr>
        <w:numPr>
          <w:ilvl w:val="0"/>
          <w:numId w:val="9"/>
        </w:numPr>
        <w:contextualSpacing/>
        <w:rPr>
          <w:rFonts w:ascii="Calibri" w:eastAsia="PMingLiU" w:hAnsi="Calibri" w:cs="Arial"/>
          <w:lang w:bidi="ar-SA"/>
        </w:rPr>
      </w:pPr>
      <w:r w:rsidRPr="00411D9E">
        <w:rPr>
          <w:rFonts w:ascii="Calibri" w:eastAsia="PMingLiU" w:hAnsi="Calibri" w:cs="Arial"/>
          <w:lang w:bidi="ar-SA"/>
        </w:rPr>
        <w:t xml:space="preserve">Percent of the population under the age of 5 years suffering from elevated blood lead levels, or </w:t>
      </w:r>
    </w:p>
    <w:p w14:paraId="55AAD29D" w14:textId="77777777" w:rsidR="005C3D48" w:rsidRPr="00411D9E" w:rsidRDefault="005C3D48" w:rsidP="00A0110E">
      <w:pPr>
        <w:numPr>
          <w:ilvl w:val="0"/>
          <w:numId w:val="9"/>
        </w:numPr>
        <w:contextualSpacing/>
        <w:rPr>
          <w:rFonts w:ascii="Calibri" w:eastAsia="PMingLiU" w:hAnsi="Calibri" w:cs="Arial"/>
          <w:lang w:bidi="ar-SA"/>
        </w:rPr>
      </w:pPr>
      <w:r w:rsidRPr="00411D9E">
        <w:rPr>
          <w:rFonts w:ascii="Calibri" w:eastAsia="PMingLiU" w:hAnsi="Calibri" w:cs="Arial"/>
          <w:lang w:bidi="ar-SA"/>
        </w:rPr>
        <w:t>Percent of individuals employed in the agriculture, forestry, mining, and construction industries.</w:t>
      </w:r>
    </w:p>
    <w:p w14:paraId="155EC52E" w14:textId="77777777" w:rsidR="005C3D48" w:rsidRPr="00411D9E" w:rsidRDefault="005C3D48" w:rsidP="005C3D48">
      <w:pPr>
        <w:contextualSpacing/>
        <w:rPr>
          <w:rFonts w:ascii="Calibri" w:eastAsia="PMingLiU" w:hAnsi="Calibri" w:cs="Arial"/>
        </w:rPr>
      </w:pPr>
    </w:p>
    <w:p w14:paraId="6FBF2609" w14:textId="77777777" w:rsidR="005C3D48" w:rsidRPr="00411D9E" w:rsidRDefault="005C3D48" w:rsidP="005C3D48">
      <w:pPr>
        <w:rPr>
          <w:rFonts w:eastAsia="PMingLiU"/>
        </w:rPr>
      </w:pPr>
      <w:r w:rsidRPr="00411D9E">
        <w:rPr>
          <w:rFonts w:eastAsia="PMingLiU"/>
        </w:rPr>
        <w:t xml:space="preserve">The PIPs extend from January 2017 through December 2020; with research beginning in 2017, initial PIP proposals developed and submitted in second quarter 2017, and a final report submitted by MCOs in June 2021. The non-intervention baseline period was January 2017 to December 2017.  Following the formal PIP proposal, the timeline defined for the PIPs includes required interim reports in 2019 and 2020, as well as a final report in June 2021. In adherence with this timeline, all MCOs submitted their final reports in July 2021, with review and findings administered by IPRO in Winter 2021. </w:t>
      </w:r>
    </w:p>
    <w:p w14:paraId="13232D8B" w14:textId="77777777" w:rsidR="005C3D48" w:rsidRPr="00411D9E" w:rsidRDefault="005C3D48" w:rsidP="005C3D48">
      <w:pPr>
        <w:rPr>
          <w:rFonts w:eastAsia="PMingLiU"/>
        </w:rPr>
      </w:pPr>
    </w:p>
    <w:p w14:paraId="4796F427" w14:textId="77777777" w:rsidR="005C3D48" w:rsidRPr="00411D9E" w:rsidRDefault="005C3D48" w:rsidP="005C3D48">
      <w:pPr>
        <w:rPr>
          <w:rFonts w:eastAsia="PMingLiU"/>
        </w:rPr>
      </w:pPr>
      <w:r w:rsidRPr="00411D9E">
        <w:rPr>
          <w:rFonts w:eastAsia="PMingLiU"/>
        </w:rPr>
        <w:t xml:space="preserve">All CHIP MCOs are required to submit their projects using a standardized PIP template form, which is consistent with the CMS protocol for </w:t>
      </w:r>
      <w:r w:rsidRPr="00411D9E">
        <w:rPr>
          <w:rFonts w:eastAsia="PMingLiU"/>
          <w:i/>
        </w:rPr>
        <w:t>Conducting Performance Improvement Projects</w:t>
      </w:r>
      <w:r w:rsidRPr="00411D9E">
        <w:rPr>
          <w:rFonts w:eastAsia="PMingLiU"/>
        </w:rPr>
        <w:t xml:space="preserve">.  These protocols follow a longitudinal format and capture information relating to: </w:t>
      </w:r>
    </w:p>
    <w:p w14:paraId="05216106" w14:textId="77777777" w:rsidR="005C3D48" w:rsidRPr="00411D9E" w:rsidRDefault="005C3D48" w:rsidP="005C3D48">
      <w:pPr>
        <w:rPr>
          <w:rFonts w:ascii="Calibri" w:eastAsia="PMingLiU" w:hAnsi="Calibri" w:cs="Arial"/>
        </w:rPr>
      </w:pPr>
    </w:p>
    <w:p w14:paraId="6C93E963" w14:textId="77777777" w:rsidR="005C3D48" w:rsidRPr="00411D9E" w:rsidRDefault="005C3D48" w:rsidP="00A0110E">
      <w:pPr>
        <w:numPr>
          <w:ilvl w:val="0"/>
          <w:numId w:val="3"/>
        </w:numPr>
        <w:rPr>
          <w:rFonts w:ascii="Calibri" w:eastAsia="PMingLiU" w:hAnsi="Calibri" w:cs="Arial"/>
        </w:rPr>
      </w:pPr>
      <w:r w:rsidRPr="00411D9E">
        <w:rPr>
          <w:rFonts w:ascii="Calibri" w:eastAsia="PMingLiU" w:hAnsi="Calibri" w:cs="Arial"/>
        </w:rPr>
        <w:t>Activity Selection and Methodology</w:t>
      </w:r>
    </w:p>
    <w:p w14:paraId="016D5C60" w14:textId="77777777" w:rsidR="005C3D48" w:rsidRPr="00411D9E" w:rsidRDefault="005C3D48" w:rsidP="00A0110E">
      <w:pPr>
        <w:numPr>
          <w:ilvl w:val="0"/>
          <w:numId w:val="4"/>
        </w:numPr>
        <w:rPr>
          <w:rFonts w:ascii="Calibri" w:eastAsia="PMingLiU" w:hAnsi="Calibri" w:cs="Arial"/>
        </w:rPr>
      </w:pPr>
      <w:r w:rsidRPr="00411D9E">
        <w:rPr>
          <w:rFonts w:ascii="Calibri" w:eastAsia="PMingLiU" w:hAnsi="Calibri" w:cs="Arial"/>
        </w:rPr>
        <w:t xml:space="preserve">Data/Results </w:t>
      </w:r>
    </w:p>
    <w:p w14:paraId="5B7D8772" w14:textId="77777777" w:rsidR="005C3D48" w:rsidRPr="00411D9E" w:rsidRDefault="005C3D48" w:rsidP="00A0110E">
      <w:pPr>
        <w:numPr>
          <w:ilvl w:val="0"/>
          <w:numId w:val="5"/>
        </w:numPr>
        <w:rPr>
          <w:rFonts w:ascii="Calibri" w:eastAsia="PMingLiU" w:hAnsi="Calibri" w:cs="Arial"/>
        </w:rPr>
      </w:pPr>
      <w:r w:rsidRPr="00411D9E">
        <w:rPr>
          <w:rFonts w:ascii="Calibri" w:eastAsia="PMingLiU" w:hAnsi="Calibri" w:cs="Arial"/>
        </w:rPr>
        <w:t>Analysis Cycle</w:t>
      </w:r>
    </w:p>
    <w:p w14:paraId="79C1FF92" w14:textId="77777777" w:rsidR="005C3D48" w:rsidRPr="00411D9E" w:rsidRDefault="005C3D48" w:rsidP="00A0110E">
      <w:pPr>
        <w:numPr>
          <w:ilvl w:val="0"/>
          <w:numId w:val="6"/>
        </w:numPr>
        <w:rPr>
          <w:rFonts w:ascii="Calibri" w:eastAsia="PMingLiU" w:hAnsi="Calibri" w:cs="Arial"/>
        </w:rPr>
      </w:pPr>
      <w:r w:rsidRPr="00411D9E">
        <w:rPr>
          <w:rFonts w:ascii="Calibri" w:eastAsia="PMingLiU" w:hAnsi="Calibri" w:cs="Arial"/>
        </w:rPr>
        <w:t>Interventions</w:t>
      </w:r>
    </w:p>
    <w:p w14:paraId="22768392" w14:textId="77777777" w:rsidR="005C3D48" w:rsidRPr="00411D9E" w:rsidRDefault="005C3D48" w:rsidP="00DE51E7">
      <w:pPr>
        <w:pStyle w:val="Heading2"/>
      </w:pPr>
      <w:bookmarkStart w:id="17" w:name="_Toc36128005"/>
      <w:bookmarkStart w:id="18" w:name="_Toc67305571"/>
      <w:bookmarkStart w:id="19" w:name="_Toc86933884"/>
      <w:bookmarkStart w:id="20" w:name="_Toc92376746"/>
      <w:bookmarkStart w:id="21" w:name="_Toc99026942"/>
      <w:bookmarkStart w:id="22" w:name="_Toc447196979"/>
      <w:bookmarkStart w:id="23" w:name="_Toc512521019"/>
      <w:bookmarkStart w:id="24" w:name="_Toc68527417"/>
      <w:bookmarkStart w:id="25" w:name="_Toc70508367"/>
      <w:r w:rsidRPr="00411D9E">
        <w:t>Technical Methods of Data Collection and Analysis</w:t>
      </w:r>
      <w:bookmarkEnd w:id="17"/>
      <w:bookmarkEnd w:id="18"/>
      <w:bookmarkEnd w:id="19"/>
      <w:bookmarkEnd w:id="20"/>
      <w:bookmarkEnd w:id="21"/>
    </w:p>
    <w:p w14:paraId="37A23183" w14:textId="2F90AD5E" w:rsidR="005C3D48" w:rsidRPr="00411D9E" w:rsidRDefault="005C3D48" w:rsidP="005C3D48">
      <w:r w:rsidRPr="00411D9E">
        <w:t xml:space="preserve">IPRO’s validation process begins at the PIP proposal phase and continues through the life of the PIP. </w:t>
      </w:r>
      <w:r w:rsidR="00E45F45">
        <w:t>Throughout the course</w:t>
      </w:r>
      <w:r w:rsidRPr="00411D9E">
        <w:t xml:space="preserve"> of the PIPs, IPRO provides technical assistance to each MCO/MCP. The technical assistance includes feedback. </w:t>
      </w:r>
    </w:p>
    <w:p w14:paraId="64522E47" w14:textId="77777777" w:rsidR="005C3D48" w:rsidRPr="00411D9E" w:rsidRDefault="005C3D48" w:rsidP="005C3D48"/>
    <w:p w14:paraId="3FC642C5" w14:textId="77777777" w:rsidR="005C3D48" w:rsidRPr="00411D9E" w:rsidRDefault="005C3D48" w:rsidP="005C3D48">
      <w:r w:rsidRPr="00411D9E">
        <w:t xml:space="preserve">CMS’s </w:t>
      </w:r>
      <w:r w:rsidRPr="00411D9E">
        <w:rPr>
          <w:i/>
        </w:rPr>
        <w:t>Protocol 1. Validation of Performance Improvement Projects</w:t>
      </w:r>
      <w:r w:rsidRPr="00411D9E">
        <w:t xml:space="preserve"> was used as the framework to assess the quality of each PIP, as well as to score the compliance of each PIP with both federal and state requirements. IPRO’s assessment involves the following 10 elements:</w:t>
      </w:r>
    </w:p>
    <w:p w14:paraId="33FC4567"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Review of the selected study topic(s) for relevance of focus and for relevance to the MCO/MCP’s enrollment.</w:t>
      </w:r>
    </w:p>
    <w:p w14:paraId="6FFF3EFB"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Review of the study question(s) for clarity of statement. </w:t>
      </w:r>
    </w:p>
    <w:p w14:paraId="2E2016B9"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Review of the identified study population to ensure it is representative of the MCO/MCP’s enrollment and generalizable to the MCO/MCP’s total population. </w:t>
      </w:r>
    </w:p>
    <w:p w14:paraId="201494A5"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Review of selected study indicator(s), which should be objective, clear, unambiguous, and meaningful to the focus of the PIP. </w:t>
      </w:r>
    </w:p>
    <w:p w14:paraId="509744D3" w14:textId="7253C3F0"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Review of sampling methods</w:t>
      </w:r>
      <w:r w:rsidR="00E45F45">
        <w:rPr>
          <w:rFonts w:eastAsiaTheme="minorHAnsi"/>
          <w:lang w:bidi="ar-SA"/>
        </w:rPr>
        <w:t>,</w:t>
      </w:r>
      <w:r w:rsidRPr="00411D9E">
        <w:rPr>
          <w:rFonts w:eastAsiaTheme="minorHAnsi"/>
          <w:lang w:bidi="ar-SA"/>
        </w:rPr>
        <w:t xml:space="preserve"> if used</w:t>
      </w:r>
      <w:r w:rsidR="00E45F45">
        <w:rPr>
          <w:rFonts w:eastAsiaTheme="minorHAnsi"/>
          <w:lang w:bidi="ar-SA"/>
        </w:rPr>
        <w:t>,</w:t>
      </w:r>
      <w:r w:rsidRPr="00411D9E">
        <w:rPr>
          <w:rFonts w:eastAsiaTheme="minorHAnsi"/>
          <w:lang w:bidi="ar-SA"/>
        </w:rPr>
        <w:t xml:space="preserve"> for validity and proper technique. </w:t>
      </w:r>
    </w:p>
    <w:p w14:paraId="5638260C"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Review of the data collection procedures to ensure complete and accurate data were collected. </w:t>
      </w:r>
    </w:p>
    <w:p w14:paraId="43187A91"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Review of the data analysis and interpretation of study results. </w:t>
      </w:r>
    </w:p>
    <w:p w14:paraId="1D22EF35"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Assessment of the improvement strategies for appropriateness. </w:t>
      </w:r>
    </w:p>
    <w:p w14:paraId="603F989F"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Assessment of the likelihood that reported improvement is “real” improvement.</w:t>
      </w:r>
    </w:p>
    <w:p w14:paraId="02CEF9D6" w14:textId="77777777" w:rsidR="005C3D48" w:rsidRPr="00411D9E" w:rsidRDefault="005C3D48" w:rsidP="00A0110E">
      <w:pPr>
        <w:numPr>
          <w:ilvl w:val="0"/>
          <w:numId w:val="25"/>
        </w:numPr>
        <w:spacing w:after="160" w:line="276" w:lineRule="auto"/>
        <w:contextualSpacing/>
        <w:rPr>
          <w:rFonts w:eastAsiaTheme="minorHAnsi"/>
          <w:lang w:bidi="ar-SA"/>
        </w:rPr>
      </w:pPr>
      <w:r w:rsidRPr="00411D9E">
        <w:rPr>
          <w:rFonts w:eastAsiaTheme="minorHAnsi"/>
          <w:lang w:bidi="ar-SA"/>
        </w:rPr>
        <w:t xml:space="preserve">Assessment of whether the MCO/MCP achieved sustained improvement. </w:t>
      </w:r>
    </w:p>
    <w:p w14:paraId="595333B3" w14:textId="77777777" w:rsidR="005C3D48" w:rsidRPr="00411D9E" w:rsidRDefault="005C3D48" w:rsidP="005C3D48">
      <w:r w:rsidRPr="00411D9E">
        <w:t>Following the review of the listed elements, the review findings are considered to determine whether the PIP outcomes should be accepted as valid and reliable.</w:t>
      </w:r>
    </w:p>
    <w:p w14:paraId="67F33344" w14:textId="77777777" w:rsidR="005C3D48" w:rsidRPr="00411D9E" w:rsidRDefault="005C3D48" w:rsidP="005C3D48"/>
    <w:bookmarkEnd w:id="22"/>
    <w:bookmarkEnd w:id="23"/>
    <w:bookmarkEnd w:id="24"/>
    <w:bookmarkEnd w:id="25"/>
    <w:p w14:paraId="7802B55B" w14:textId="77777777" w:rsidR="005C3D48" w:rsidRPr="00411D9E" w:rsidRDefault="005C3D48" w:rsidP="005C3D48">
      <w:pPr>
        <w:rPr>
          <w:rFonts w:eastAsia="PMingLiU"/>
        </w:rPr>
      </w:pPr>
      <w:r w:rsidRPr="00411D9E">
        <w:rPr>
          <w:rFonts w:eastAsia="PMingLiU"/>
        </w:rPr>
        <w:t xml:space="preserve">This section describes the scoring elements and methodology that will occur during the intervention and sustainability periods. Measurement Year (MY 2017) is the baseline year, and during the 2021 review year, elements were reviewed </w:t>
      </w:r>
      <w:r w:rsidRPr="00411D9E">
        <w:rPr>
          <w:rFonts w:eastAsia="PMingLiU"/>
        </w:rPr>
        <w:lastRenderedPageBreak/>
        <w:t>and scored at multiple points during the year once final reports were submitted in July 2021. All MCOs received some level of guidance towards improving their proposals in these findings, and MCOs will respond accordingly with resubmission to correct specific areas.</w:t>
      </w:r>
    </w:p>
    <w:p w14:paraId="1AF4555A" w14:textId="77777777" w:rsidR="005C3D48" w:rsidRPr="00411D9E" w:rsidRDefault="005C3D48" w:rsidP="005C3D48">
      <w:pPr>
        <w:rPr>
          <w:rFonts w:eastAsia="PMingLiU"/>
        </w:rPr>
      </w:pPr>
    </w:p>
    <w:p w14:paraId="2A7B29C0" w14:textId="77777777" w:rsidR="005C3D48" w:rsidRPr="00411D9E" w:rsidRDefault="005C3D48" w:rsidP="005C3D48">
      <w:pPr>
        <w:rPr>
          <w:rFonts w:eastAsia="PMingLiU"/>
        </w:rPr>
      </w:pPr>
      <w:r w:rsidRPr="00411D9E">
        <w:rPr>
          <w:rFonts w:eastAsia="PMingLiU"/>
        </w:rPr>
        <w:t>For each review element, the assessment of compliance is determined through the responses to each review item. Each element carries a separate weight. Scoring for each element is based on full, partial and non-compliance. The overall score is expressed in terms of levels of compliance. The elements are not formally scored beyond the full/partial/non-compliant determination.</w:t>
      </w:r>
    </w:p>
    <w:p w14:paraId="51FD6C3D" w14:textId="77777777" w:rsidR="005C3D48" w:rsidRPr="00411D9E" w:rsidRDefault="005C3D48" w:rsidP="005C3D48">
      <w:pPr>
        <w:rPr>
          <w:rFonts w:eastAsia="PMingLiU"/>
        </w:rPr>
      </w:pPr>
    </w:p>
    <w:p w14:paraId="022E3090" w14:textId="77777777" w:rsidR="005C3D48" w:rsidRPr="00411D9E" w:rsidRDefault="005C3D48" w:rsidP="005C3D48">
      <w:pPr>
        <w:rPr>
          <w:rFonts w:eastAsia="PMingLiU"/>
        </w:rPr>
      </w:pPr>
      <w:r w:rsidRPr="00411D9E">
        <w:rPr>
          <w:rFonts w:eastAsia="PMingLiU"/>
          <w:b/>
        </w:rPr>
        <w:t>Table 1.1</w:t>
      </w:r>
      <w:r w:rsidRPr="00411D9E">
        <w:rPr>
          <w:rFonts w:eastAsia="PMingLiU"/>
        </w:rPr>
        <w:t xml:space="preserve"> presents the terminologies used in the scoring process, their respective definitions, and their weight percentage.</w:t>
      </w:r>
    </w:p>
    <w:p w14:paraId="4109B3F8" w14:textId="77777777" w:rsidR="005C3D48" w:rsidRPr="00411D9E" w:rsidRDefault="005C3D48" w:rsidP="00EE4113">
      <w:pPr>
        <w:pStyle w:val="tableheading"/>
      </w:pPr>
      <w:bookmarkStart w:id="26" w:name="_Toc442200311"/>
      <w:bookmarkStart w:id="27" w:name="_Toc448738493"/>
      <w:bookmarkStart w:id="28" w:name="_Toc500507242"/>
      <w:bookmarkStart w:id="29" w:name="_Toc68527457"/>
      <w:bookmarkStart w:id="30" w:name="_Toc70508407"/>
      <w:bookmarkStart w:id="31" w:name="_Toc99026984"/>
      <w:r w:rsidRPr="00411D9E">
        <w:t xml:space="preserve">Table 1.1: </w:t>
      </w:r>
      <w:bookmarkEnd w:id="26"/>
      <w:bookmarkEnd w:id="27"/>
      <w:bookmarkEnd w:id="28"/>
      <w:r w:rsidRPr="00411D9E">
        <w:t>Element Designation</w:t>
      </w:r>
      <w:bookmarkEnd w:id="29"/>
      <w:bookmarkEnd w:id="30"/>
      <w:bookmarkEnd w:id="3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5468"/>
        <w:gridCol w:w="2070"/>
      </w:tblGrid>
      <w:tr w:rsidR="005C3D48" w:rsidRPr="00411D9E" w14:paraId="2CD4FB0E" w14:textId="77777777" w:rsidTr="00FF262E">
        <w:tc>
          <w:tcPr>
            <w:tcW w:w="9360" w:type="dxa"/>
            <w:gridSpan w:val="3"/>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14:paraId="2C49F8A7" w14:textId="77777777" w:rsidR="005C3D48" w:rsidRPr="00411D9E" w:rsidRDefault="005C3D48" w:rsidP="005C3D48">
            <w:pPr>
              <w:jc w:val="center"/>
              <w:rPr>
                <w:rFonts w:ascii="Calibri" w:eastAsia="PMingLiU" w:hAnsi="Calibri" w:cs="Times New Roman"/>
                <w:b/>
                <w:bCs/>
                <w:color w:val="FFFFFF"/>
              </w:rPr>
            </w:pPr>
            <w:r w:rsidRPr="00411D9E">
              <w:rPr>
                <w:rFonts w:ascii="Calibri" w:eastAsia="PMingLiU" w:hAnsi="Calibri" w:cs="Times New Roman"/>
                <w:b/>
                <w:bCs/>
                <w:color w:val="FFFFFF"/>
                <w:szCs w:val="24"/>
              </w:rPr>
              <w:t>Element Designation</w:t>
            </w:r>
          </w:p>
        </w:tc>
      </w:tr>
      <w:tr w:rsidR="005C3D48" w:rsidRPr="00411D9E" w14:paraId="4CCC3061" w14:textId="77777777" w:rsidTr="00FF262E">
        <w:tc>
          <w:tcPr>
            <w:tcW w:w="1822"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1B02081" w14:textId="77777777" w:rsidR="005C3D48" w:rsidRPr="00411D9E" w:rsidRDefault="005C3D48" w:rsidP="005C3D48">
            <w:pPr>
              <w:jc w:val="center"/>
              <w:rPr>
                <w:rFonts w:ascii="Calibri" w:eastAsia="PMingLiU" w:hAnsi="Calibri" w:cs="Times New Roman"/>
                <w:b/>
                <w:bCs/>
              </w:rPr>
            </w:pPr>
            <w:r w:rsidRPr="00411D9E">
              <w:rPr>
                <w:rFonts w:ascii="Calibri" w:eastAsia="PMingLiU" w:hAnsi="Calibri" w:cs="Times New Roman"/>
                <w:b/>
                <w:bCs/>
                <w:szCs w:val="24"/>
              </w:rPr>
              <w:t>Element Designation</w:t>
            </w:r>
          </w:p>
        </w:tc>
        <w:tc>
          <w:tcPr>
            <w:tcW w:w="546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CDBB53A" w14:textId="77777777" w:rsidR="005C3D48" w:rsidRPr="00411D9E" w:rsidRDefault="005C3D48" w:rsidP="005C3D48">
            <w:pPr>
              <w:jc w:val="center"/>
              <w:rPr>
                <w:rFonts w:ascii="Calibri" w:eastAsia="PMingLiU" w:hAnsi="Calibri" w:cs="Times New Roman"/>
                <w:b/>
                <w:bCs/>
              </w:rPr>
            </w:pPr>
            <w:r w:rsidRPr="00411D9E">
              <w:rPr>
                <w:rFonts w:ascii="Calibri" w:eastAsia="PMingLiU" w:hAnsi="Calibri" w:cs="Times New Roman"/>
                <w:b/>
                <w:bCs/>
                <w:szCs w:val="24"/>
              </w:rPr>
              <w:t>Definition</w:t>
            </w:r>
          </w:p>
        </w:tc>
        <w:tc>
          <w:tcPr>
            <w:tcW w:w="207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3C44D08" w14:textId="77777777" w:rsidR="005C3D48" w:rsidRPr="00411D9E" w:rsidRDefault="005C3D48" w:rsidP="005C3D48">
            <w:pPr>
              <w:jc w:val="center"/>
              <w:rPr>
                <w:rFonts w:ascii="Calibri" w:eastAsia="PMingLiU" w:hAnsi="Calibri" w:cs="Times New Roman"/>
                <w:b/>
                <w:bCs/>
              </w:rPr>
            </w:pPr>
            <w:r w:rsidRPr="00411D9E">
              <w:rPr>
                <w:rFonts w:ascii="Calibri" w:eastAsia="PMingLiU" w:hAnsi="Calibri" w:cs="Times New Roman"/>
                <w:b/>
                <w:bCs/>
                <w:szCs w:val="24"/>
              </w:rPr>
              <w:t>Weight</w:t>
            </w:r>
          </w:p>
        </w:tc>
      </w:tr>
      <w:tr w:rsidR="005C3D48" w:rsidRPr="00411D9E" w14:paraId="24138998" w14:textId="77777777" w:rsidTr="00FF262E">
        <w:tc>
          <w:tcPr>
            <w:tcW w:w="1822" w:type="dxa"/>
            <w:tcBorders>
              <w:top w:val="single" w:sz="4" w:space="0" w:color="auto"/>
              <w:left w:val="single" w:sz="4" w:space="0" w:color="auto"/>
              <w:bottom w:val="single" w:sz="4" w:space="0" w:color="auto"/>
              <w:right w:val="single" w:sz="4" w:space="0" w:color="auto"/>
            </w:tcBorders>
            <w:vAlign w:val="center"/>
          </w:tcPr>
          <w:p w14:paraId="5068D879" w14:textId="77777777" w:rsidR="005C3D48" w:rsidRPr="00411D9E" w:rsidRDefault="005C3D48" w:rsidP="005C3D48">
            <w:pPr>
              <w:jc w:val="center"/>
              <w:rPr>
                <w:rFonts w:ascii="Calibri" w:eastAsia="PMingLiU" w:hAnsi="Calibri" w:cs="Times New Roman"/>
              </w:rPr>
            </w:pPr>
            <w:r w:rsidRPr="00411D9E">
              <w:rPr>
                <w:rFonts w:ascii="Calibri" w:eastAsia="PMingLiU" w:hAnsi="Calibri" w:cs="Times New Roman"/>
                <w:szCs w:val="24"/>
              </w:rPr>
              <w:t>Full</w:t>
            </w:r>
          </w:p>
        </w:tc>
        <w:tc>
          <w:tcPr>
            <w:tcW w:w="5468" w:type="dxa"/>
            <w:tcBorders>
              <w:top w:val="single" w:sz="4" w:space="0" w:color="auto"/>
              <w:left w:val="single" w:sz="4" w:space="0" w:color="auto"/>
              <w:bottom w:val="single" w:sz="4" w:space="0" w:color="auto"/>
              <w:right w:val="single" w:sz="4" w:space="0" w:color="auto"/>
            </w:tcBorders>
            <w:vAlign w:val="center"/>
          </w:tcPr>
          <w:p w14:paraId="61456EA0" w14:textId="77777777" w:rsidR="005C3D48" w:rsidRPr="00411D9E" w:rsidRDefault="005C3D48" w:rsidP="005C3D48">
            <w:pPr>
              <w:jc w:val="center"/>
              <w:rPr>
                <w:rFonts w:ascii="Calibri" w:eastAsia="PMingLiU" w:hAnsi="Calibri" w:cs="Times New Roman"/>
              </w:rPr>
            </w:pPr>
            <w:r w:rsidRPr="00411D9E">
              <w:rPr>
                <w:rFonts w:ascii="Calibri" w:eastAsia="PMingLiU" w:hAnsi="Calibri" w:cs="Times New Roman"/>
                <w:szCs w:val="24"/>
              </w:rPr>
              <w:t>Met or exceeded the element requirements</w:t>
            </w:r>
          </w:p>
        </w:tc>
        <w:tc>
          <w:tcPr>
            <w:tcW w:w="2070" w:type="dxa"/>
            <w:tcBorders>
              <w:top w:val="single" w:sz="4" w:space="0" w:color="auto"/>
              <w:left w:val="single" w:sz="4" w:space="0" w:color="auto"/>
              <w:bottom w:val="single" w:sz="4" w:space="0" w:color="auto"/>
              <w:right w:val="single" w:sz="4" w:space="0" w:color="auto"/>
            </w:tcBorders>
            <w:vAlign w:val="center"/>
          </w:tcPr>
          <w:p w14:paraId="3FB1D3B4" w14:textId="77777777" w:rsidR="005C3D48" w:rsidRPr="00411D9E" w:rsidRDefault="005C3D48" w:rsidP="005C3D48">
            <w:pPr>
              <w:jc w:val="center"/>
              <w:rPr>
                <w:rFonts w:ascii="Calibri" w:eastAsia="PMingLiU" w:hAnsi="Calibri" w:cs="Times New Roman"/>
              </w:rPr>
            </w:pPr>
            <w:r w:rsidRPr="00411D9E">
              <w:rPr>
                <w:rFonts w:ascii="Calibri" w:eastAsia="PMingLiU" w:hAnsi="Calibri" w:cs="Times New Roman"/>
                <w:szCs w:val="24"/>
              </w:rPr>
              <w:t>100%</w:t>
            </w:r>
          </w:p>
        </w:tc>
      </w:tr>
      <w:tr w:rsidR="005C3D48" w:rsidRPr="00411D9E" w14:paraId="26154C83" w14:textId="77777777" w:rsidTr="00FF262E">
        <w:tc>
          <w:tcPr>
            <w:tcW w:w="1822" w:type="dxa"/>
            <w:tcBorders>
              <w:top w:val="single" w:sz="4" w:space="0" w:color="auto"/>
              <w:left w:val="single" w:sz="4" w:space="0" w:color="auto"/>
              <w:bottom w:val="single" w:sz="4" w:space="0" w:color="auto"/>
              <w:right w:val="single" w:sz="4" w:space="0" w:color="auto"/>
            </w:tcBorders>
            <w:vAlign w:val="center"/>
          </w:tcPr>
          <w:p w14:paraId="1C924099" w14:textId="77777777" w:rsidR="005C3D48" w:rsidRPr="00411D9E" w:rsidRDefault="005C3D48" w:rsidP="005C3D48">
            <w:pPr>
              <w:jc w:val="center"/>
              <w:rPr>
                <w:rFonts w:ascii="Calibri" w:eastAsia="PMingLiU" w:hAnsi="Calibri" w:cs="Times New Roman"/>
              </w:rPr>
            </w:pPr>
            <w:r w:rsidRPr="00411D9E">
              <w:rPr>
                <w:rFonts w:ascii="Calibri" w:eastAsia="PMingLiU" w:hAnsi="Calibri" w:cs="Times New Roman"/>
                <w:szCs w:val="24"/>
              </w:rPr>
              <w:t>Partial</w:t>
            </w:r>
          </w:p>
        </w:tc>
        <w:tc>
          <w:tcPr>
            <w:tcW w:w="5468" w:type="dxa"/>
            <w:tcBorders>
              <w:top w:val="single" w:sz="4" w:space="0" w:color="auto"/>
              <w:left w:val="single" w:sz="4" w:space="0" w:color="auto"/>
              <w:bottom w:val="single" w:sz="4" w:space="0" w:color="auto"/>
              <w:right w:val="single" w:sz="4" w:space="0" w:color="auto"/>
            </w:tcBorders>
            <w:vAlign w:val="center"/>
          </w:tcPr>
          <w:p w14:paraId="31C4DFC9" w14:textId="77777777" w:rsidR="005C3D48" w:rsidRPr="00411D9E" w:rsidRDefault="005C3D48" w:rsidP="005C3D48">
            <w:pPr>
              <w:jc w:val="center"/>
              <w:rPr>
                <w:rFonts w:ascii="Calibri" w:eastAsia="PMingLiU" w:hAnsi="Calibri" w:cs="Times New Roman"/>
              </w:rPr>
            </w:pPr>
            <w:r w:rsidRPr="00411D9E">
              <w:rPr>
                <w:rFonts w:ascii="Calibri" w:eastAsia="PMingLiU" w:hAnsi="Calibri" w:cs="Times New Roman"/>
                <w:szCs w:val="24"/>
              </w:rPr>
              <w:t>Met essential requirements but is deficient in some areas</w:t>
            </w:r>
          </w:p>
        </w:tc>
        <w:tc>
          <w:tcPr>
            <w:tcW w:w="2070" w:type="dxa"/>
            <w:tcBorders>
              <w:top w:val="single" w:sz="4" w:space="0" w:color="auto"/>
              <w:left w:val="single" w:sz="4" w:space="0" w:color="auto"/>
              <w:bottom w:val="single" w:sz="4" w:space="0" w:color="auto"/>
              <w:right w:val="single" w:sz="4" w:space="0" w:color="auto"/>
            </w:tcBorders>
            <w:vAlign w:val="center"/>
          </w:tcPr>
          <w:p w14:paraId="68C9F051" w14:textId="77777777" w:rsidR="005C3D48" w:rsidRPr="00411D9E" w:rsidRDefault="005C3D48" w:rsidP="005C3D48">
            <w:pPr>
              <w:jc w:val="center"/>
              <w:rPr>
                <w:rFonts w:ascii="Calibri" w:eastAsia="PMingLiU" w:hAnsi="Calibri" w:cs="Times New Roman"/>
              </w:rPr>
            </w:pPr>
            <w:r w:rsidRPr="00411D9E">
              <w:rPr>
                <w:rFonts w:ascii="Calibri" w:eastAsia="PMingLiU" w:hAnsi="Calibri" w:cs="Times New Roman"/>
                <w:szCs w:val="24"/>
              </w:rPr>
              <w:t>50%</w:t>
            </w:r>
          </w:p>
        </w:tc>
      </w:tr>
      <w:tr w:rsidR="005C3D48" w:rsidRPr="00411D9E" w14:paraId="33537016" w14:textId="77777777" w:rsidTr="00FF262E">
        <w:tc>
          <w:tcPr>
            <w:tcW w:w="1822" w:type="dxa"/>
            <w:tcBorders>
              <w:top w:val="single" w:sz="4" w:space="0" w:color="auto"/>
              <w:left w:val="single" w:sz="4" w:space="0" w:color="auto"/>
              <w:bottom w:val="single" w:sz="4" w:space="0" w:color="auto"/>
              <w:right w:val="single" w:sz="4" w:space="0" w:color="auto"/>
            </w:tcBorders>
            <w:vAlign w:val="center"/>
          </w:tcPr>
          <w:p w14:paraId="1A250573" w14:textId="77777777" w:rsidR="005C3D48" w:rsidRPr="00411D9E" w:rsidRDefault="005C3D48" w:rsidP="005C3D48">
            <w:pPr>
              <w:jc w:val="center"/>
              <w:rPr>
                <w:rFonts w:ascii="Arial Narrow" w:eastAsia="PMingLiU" w:hAnsi="Arial Narrow" w:cs="Times New Roman"/>
                <w:sz w:val="20"/>
              </w:rPr>
            </w:pPr>
            <w:r w:rsidRPr="00411D9E">
              <w:rPr>
                <w:rFonts w:ascii="Calibri" w:eastAsia="PMingLiU" w:hAnsi="Calibri" w:cs="Times New Roman"/>
                <w:szCs w:val="24"/>
              </w:rPr>
              <w:t>Non-compliant</w:t>
            </w:r>
          </w:p>
        </w:tc>
        <w:tc>
          <w:tcPr>
            <w:tcW w:w="5468" w:type="dxa"/>
            <w:tcBorders>
              <w:top w:val="single" w:sz="4" w:space="0" w:color="auto"/>
              <w:left w:val="single" w:sz="4" w:space="0" w:color="auto"/>
              <w:bottom w:val="single" w:sz="4" w:space="0" w:color="auto"/>
              <w:right w:val="single" w:sz="4" w:space="0" w:color="auto"/>
            </w:tcBorders>
            <w:vAlign w:val="center"/>
          </w:tcPr>
          <w:p w14:paraId="194EC7AC" w14:textId="77777777" w:rsidR="005C3D48" w:rsidRPr="00411D9E" w:rsidRDefault="005C3D48" w:rsidP="005C3D48">
            <w:pPr>
              <w:jc w:val="center"/>
              <w:rPr>
                <w:rFonts w:ascii="Arial Narrow" w:eastAsia="PMingLiU" w:hAnsi="Arial Narrow" w:cs="Times New Roman"/>
                <w:sz w:val="20"/>
              </w:rPr>
            </w:pPr>
            <w:r w:rsidRPr="00411D9E">
              <w:rPr>
                <w:rFonts w:ascii="Calibri" w:eastAsia="PMingLiU" w:hAnsi="Calibri" w:cs="Times New Roman"/>
                <w:szCs w:val="24"/>
              </w:rPr>
              <w:t>Has not met the essential requirements of the element</w:t>
            </w:r>
          </w:p>
        </w:tc>
        <w:tc>
          <w:tcPr>
            <w:tcW w:w="2070" w:type="dxa"/>
            <w:tcBorders>
              <w:top w:val="single" w:sz="4" w:space="0" w:color="auto"/>
              <w:left w:val="single" w:sz="4" w:space="0" w:color="auto"/>
              <w:bottom w:val="single" w:sz="4" w:space="0" w:color="auto"/>
              <w:right w:val="single" w:sz="4" w:space="0" w:color="auto"/>
            </w:tcBorders>
            <w:vAlign w:val="center"/>
          </w:tcPr>
          <w:p w14:paraId="7E4EE27A" w14:textId="77777777" w:rsidR="005C3D48" w:rsidRPr="00411D9E" w:rsidRDefault="005C3D48" w:rsidP="005C3D48">
            <w:pPr>
              <w:jc w:val="center"/>
              <w:rPr>
                <w:rFonts w:ascii="Arial Narrow" w:eastAsia="PMingLiU" w:hAnsi="Arial Narrow" w:cs="Times New Roman"/>
                <w:sz w:val="20"/>
              </w:rPr>
            </w:pPr>
            <w:r w:rsidRPr="00411D9E">
              <w:rPr>
                <w:rFonts w:ascii="Calibri" w:eastAsia="PMingLiU" w:hAnsi="Calibri" w:cs="Times New Roman"/>
                <w:szCs w:val="24"/>
              </w:rPr>
              <w:t>0%</w:t>
            </w:r>
          </w:p>
        </w:tc>
      </w:tr>
    </w:tbl>
    <w:p w14:paraId="22FFC8F2" w14:textId="77777777" w:rsidR="005C3D48" w:rsidRPr="00411D9E" w:rsidRDefault="005C3D48" w:rsidP="00EE4113">
      <w:pPr>
        <w:spacing w:after="240"/>
        <w:rPr>
          <w:rFonts w:eastAsiaTheme="majorEastAsia"/>
        </w:rPr>
      </w:pPr>
    </w:p>
    <w:p w14:paraId="49CCB44B" w14:textId="77777777" w:rsidR="005C3D48" w:rsidRPr="00411D9E" w:rsidRDefault="005C3D48" w:rsidP="005C3D48">
      <w:pPr>
        <w:widowControl w:val="0"/>
        <w:rPr>
          <w:rFonts w:ascii="Calibri" w:eastAsia="PMingLiU" w:hAnsi="Calibri" w:cs="Arial"/>
          <w:szCs w:val="20"/>
        </w:rPr>
      </w:pPr>
      <w:r w:rsidRPr="00411D9E">
        <w:rPr>
          <w:rFonts w:ascii="Calibri" w:eastAsia="PMingLiU" w:hAnsi="Calibri" w:cs="Arial"/>
          <w:szCs w:val="20"/>
        </w:rPr>
        <w:t xml:space="preserve">When the PIPs are reviewed, all projects are evaluated for the same elements.  The scoring matrix is completed for those review elements where activities have occurred during the review year.  At the time of the review, a project can be reviewed for only a subset of elements.  It will then be evaluated for other elements at a later date, according to the PIP submission schedule.  At the time each element is reviewed, a finding is given of “Met”, “Partially Met”, or “Not Met”. Elements receiving a “Met” will receive 100% of the points assigned to the element, “Partially Met” elements will receive 50% of the assigned points, and “Not Met” elements will receive 0%. </w:t>
      </w:r>
    </w:p>
    <w:p w14:paraId="4D2D8CEB" w14:textId="77777777" w:rsidR="005C3D48" w:rsidRPr="00411D9E" w:rsidRDefault="005C3D48" w:rsidP="00DE51E7">
      <w:pPr>
        <w:pStyle w:val="Heading2"/>
      </w:pPr>
      <w:bookmarkStart w:id="32" w:name="_Toc512521023"/>
      <w:bookmarkStart w:id="33" w:name="_Toc68527420"/>
      <w:bookmarkStart w:id="34" w:name="_Toc70508370"/>
      <w:bookmarkStart w:id="35" w:name="_Toc99026943"/>
      <w:r w:rsidRPr="00411D9E">
        <w:t>Findings</w:t>
      </w:r>
      <w:bookmarkEnd w:id="32"/>
      <w:bookmarkEnd w:id="33"/>
      <w:bookmarkEnd w:id="34"/>
      <w:bookmarkEnd w:id="35"/>
      <w:r w:rsidRPr="00411D9E">
        <w:t xml:space="preserve"> </w:t>
      </w:r>
    </w:p>
    <w:p w14:paraId="6783EDE2" w14:textId="77777777" w:rsidR="005C3D48" w:rsidRPr="00411D9E" w:rsidRDefault="005C3D48" w:rsidP="005C3D48">
      <w:pPr>
        <w:rPr>
          <w:rFonts w:ascii="Calibri" w:eastAsia="PMingLiU" w:hAnsi="Calibri" w:cs="Arial"/>
        </w:rPr>
      </w:pPr>
      <w:r w:rsidRPr="00411D9E">
        <w:rPr>
          <w:rFonts w:ascii="Calibri" w:eastAsia="PMingLiU" w:hAnsi="Calibri" w:cs="Arial"/>
        </w:rPr>
        <w:t xml:space="preserve">To encourage MCOs to focus on improving the quality of the projects, PIPs were assessed for compliance on all applicable elements, but were not formally scored. The multiple levels of activity and collaboration between DHS, the CHIP MCOs, and IPRO continued and progressed throughout the review year.  </w:t>
      </w:r>
    </w:p>
    <w:p w14:paraId="4B49E120" w14:textId="77777777" w:rsidR="005C3D48" w:rsidRPr="00411D9E" w:rsidRDefault="005C3D48" w:rsidP="005C3D48">
      <w:pPr>
        <w:rPr>
          <w:rFonts w:ascii="Calibri" w:eastAsia="PMingLiU" w:hAnsi="Calibri" w:cs="Arial"/>
        </w:rPr>
      </w:pPr>
    </w:p>
    <w:p w14:paraId="6C4E6349" w14:textId="77777777" w:rsidR="005C3D48" w:rsidRPr="00411D9E" w:rsidRDefault="005C3D48" w:rsidP="005C3D48">
      <w:pPr>
        <w:rPr>
          <w:rFonts w:ascii="Calibri" w:eastAsia="PMingLiU" w:hAnsi="Calibri" w:cs="Arial"/>
          <w:lang w:eastAsia="zh-TW"/>
        </w:rPr>
      </w:pPr>
      <w:r w:rsidRPr="00411D9E">
        <w:rPr>
          <w:rFonts w:ascii="Calibri" w:eastAsia="PMingLiU" w:hAnsi="Calibri" w:cs="Arial"/>
          <w:lang w:eastAsia="zh-TW"/>
        </w:rPr>
        <w:t xml:space="preserve">Subsequent to MCO proposal submissions that were provided in early 2018, several levels of feedback were provided to MCOs.  This feedback included: </w:t>
      </w:r>
    </w:p>
    <w:p w14:paraId="1643DF7C" w14:textId="77777777" w:rsidR="005C3D48" w:rsidRPr="00411D9E" w:rsidRDefault="005C3D48" w:rsidP="00A0110E">
      <w:pPr>
        <w:numPr>
          <w:ilvl w:val="0"/>
          <w:numId w:val="8"/>
        </w:numPr>
        <w:contextualSpacing/>
        <w:rPr>
          <w:rFonts w:ascii="Calibri" w:eastAsia="PMingLiU" w:hAnsi="Calibri" w:cs="Arial"/>
          <w:lang w:eastAsia="zh-TW"/>
        </w:rPr>
      </w:pPr>
      <w:r w:rsidRPr="00411D9E">
        <w:rPr>
          <w:rFonts w:ascii="Calibri" w:eastAsia="PMingLiU" w:hAnsi="Calibri" w:cs="Arial"/>
          <w:lang w:eastAsia="zh-TW"/>
        </w:rPr>
        <w:t xml:space="preserve">MCO-specific review findings for each PIP. </w:t>
      </w:r>
    </w:p>
    <w:p w14:paraId="44E1442E" w14:textId="77777777" w:rsidR="005C3D48" w:rsidRPr="00411D9E" w:rsidRDefault="005C3D48" w:rsidP="00A0110E">
      <w:pPr>
        <w:numPr>
          <w:ilvl w:val="0"/>
          <w:numId w:val="8"/>
        </w:numPr>
        <w:contextualSpacing/>
        <w:rPr>
          <w:rFonts w:ascii="Calibri" w:eastAsia="PMingLiU" w:hAnsi="Calibri" w:cs="Arial"/>
          <w:lang w:eastAsia="zh-TW"/>
        </w:rPr>
      </w:pPr>
      <w:r w:rsidRPr="00411D9E">
        <w:rPr>
          <w:rFonts w:ascii="Calibri" w:eastAsia="PMingLiU" w:hAnsi="Calibri" w:cs="Arial"/>
          <w:lang w:eastAsia="zh-TW"/>
        </w:rPr>
        <w:t xml:space="preserve">Conference calls with each MCO to discuss the PIP proposal review findings with key MCO staff assigned to each PIP topic. </w:t>
      </w:r>
    </w:p>
    <w:p w14:paraId="11017207" w14:textId="77777777" w:rsidR="005C3D48" w:rsidRPr="00411D9E" w:rsidRDefault="005C3D48" w:rsidP="00A0110E">
      <w:pPr>
        <w:numPr>
          <w:ilvl w:val="0"/>
          <w:numId w:val="8"/>
        </w:numPr>
        <w:contextualSpacing/>
        <w:rPr>
          <w:rFonts w:ascii="Calibri" w:eastAsia="PMingLiU" w:hAnsi="Calibri" w:cs="Arial"/>
          <w:lang w:eastAsia="zh-TW"/>
        </w:rPr>
      </w:pPr>
      <w:r w:rsidRPr="00411D9E">
        <w:rPr>
          <w:rFonts w:ascii="Calibri" w:eastAsia="PMingLiU" w:hAnsi="Calibri" w:cs="Arial"/>
          <w:lang w:eastAsia="zh-TW"/>
        </w:rPr>
        <w:t>Information to assist MCOs in preparing their next full PIP submission for the Interim Year 2 Update, such as additional instructions regarding collection of the core required measures.</w:t>
      </w:r>
    </w:p>
    <w:p w14:paraId="7F803DCC" w14:textId="77777777" w:rsidR="005C3D48" w:rsidRPr="00411D9E" w:rsidRDefault="005C3D48" w:rsidP="005C3D48">
      <w:pPr>
        <w:rPr>
          <w:rFonts w:ascii="Calibri" w:eastAsia="PMingLiU" w:hAnsi="Calibri" w:cs="Arial"/>
          <w:lang w:eastAsia="zh-TW"/>
        </w:rPr>
      </w:pPr>
    </w:p>
    <w:p w14:paraId="75CFB158" w14:textId="3E4DE231" w:rsidR="005C3D48" w:rsidRPr="00411D9E" w:rsidRDefault="00BA39B8" w:rsidP="005C3D48">
      <w:pPr>
        <w:rPr>
          <w:rFonts w:ascii="Calibri" w:eastAsia="PMingLiU" w:hAnsi="Calibri" w:cs="Arial"/>
        </w:rPr>
      </w:pPr>
      <w:r w:rsidRPr="00411D9E">
        <w:rPr>
          <w:rFonts w:ascii="Calibri" w:eastAsia="PMingLiU" w:hAnsi="Calibri" w:cs="Arial"/>
        </w:rPr>
        <w:t xml:space="preserve">Similar types of feedback were provided for each submission throughout the cycle. MCOs were requested to revise and resubmit their documents to address the feedback and to be reviewed again. PIP-specific calls were held with each MCO that experienced continued difficulty.  Additionally, as needed, PA CHIP discussed ongoing issues with MCOs as part of their regularly scheduled monitoring calls. </w:t>
      </w:r>
      <w:r w:rsidR="005C3D48" w:rsidRPr="00411D9E">
        <w:rPr>
          <w:rFonts w:ascii="Calibri" w:eastAsia="PMingLiU" w:hAnsi="Calibri" w:cs="Arial"/>
        </w:rPr>
        <w:t xml:space="preserve">As discussed earlier, final reports were submitted in July 2021.  Review of these submissions began in October 2021 and ran through February 2022.  Upon review of the submissions, MCOs were provided findings for each PIP with request for clarification/revision as necessary.  MCOs requiring additional discussion and potential modification were contacted and advised via email of any necessary or optional changes that IPRO determined would improve the quality of their overall projects. </w:t>
      </w:r>
    </w:p>
    <w:p w14:paraId="3BD36F16" w14:textId="77777777" w:rsidR="005C3D48" w:rsidRPr="00411D9E" w:rsidRDefault="005C3D48" w:rsidP="005C3D48">
      <w:pPr>
        <w:rPr>
          <w:rFonts w:ascii="Calibri" w:eastAsia="PMingLiU" w:hAnsi="Calibri" w:cs="Arial"/>
        </w:rPr>
      </w:pPr>
      <w:r w:rsidRPr="00411D9E">
        <w:rPr>
          <w:rFonts w:ascii="Calibri" w:eastAsia="PMingLiU" w:hAnsi="Calibri" w:cs="Arial"/>
        </w:rPr>
        <w:t xml:space="preserve"> </w:t>
      </w:r>
    </w:p>
    <w:bookmarkEnd w:id="14"/>
    <w:p w14:paraId="7F8A227D" w14:textId="77777777" w:rsidR="00EE4113" w:rsidRPr="00411D9E" w:rsidRDefault="00EE4113">
      <w:pPr>
        <w:rPr>
          <w:b/>
        </w:rPr>
      </w:pPr>
      <w:r w:rsidRPr="00411D9E">
        <w:rPr>
          <w:b/>
        </w:rPr>
        <w:br w:type="page"/>
      </w:r>
    </w:p>
    <w:p w14:paraId="39596B0C" w14:textId="08BAC0FB" w:rsidR="005C3D48" w:rsidRPr="00411D9E" w:rsidRDefault="005C3D48" w:rsidP="005C3D48">
      <w:pPr>
        <w:rPr>
          <w:b/>
        </w:rPr>
      </w:pPr>
      <w:r w:rsidRPr="00411D9E">
        <w:rPr>
          <w:b/>
        </w:rPr>
        <w:lastRenderedPageBreak/>
        <w:t xml:space="preserve">Improving Developmental Screening Rate in Children Ages 1, 2, and 3 Years </w:t>
      </w:r>
    </w:p>
    <w:sdt>
      <w:sdtPr>
        <w:rPr>
          <w:rFonts w:eastAsiaTheme="minorHAnsi" w:cs="Arial"/>
          <w:lang w:bidi="ar-SA"/>
        </w:rPr>
        <w:id w:val="1102380006"/>
      </w:sdtPr>
      <w:sdtEndPr>
        <w:rPr>
          <w:rFonts w:cstheme="minorBidi"/>
        </w:rPr>
      </w:sdtEndPr>
      <w:sdtContent>
        <w:sdt>
          <w:sdtPr>
            <w:rPr>
              <w:rFonts w:eastAsiaTheme="minorHAnsi" w:cs="Arial"/>
              <w:lang w:bidi="ar-SA"/>
            </w:rPr>
            <w:id w:val="-1158217696"/>
          </w:sdtPr>
          <w:sdtEndPr>
            <w:rPr>
              <w:rFonts w:cstheme="minorBidi"/>
            </w:rPr>
          </w:sdtEndPr>
          <w:sdtContent>
            <w:p w14:paraId="366C6CD9" w14:textId="77777777" w:rsidR="005C3D48" w:rsidRPr="00411D9E" w:rsidRDefault="005C3D48" w:rsidP="005C3D48">
              <w:pPr>
                <w:rPr>
                  <w:rFonts w:cs="Arial"/>
                </w:rPr>
              </w:pPr>
              <w:r w:rsidRPr="00411D9E">
                <w:rPr>
                  <w:rFonts w:cs="Arial"/>
                </w:rPr>
                <w:t xml:space="preserve">In 2018, Highmark provided a discussion of topic rationale which included the potential for meaningful impact on member health, functional status, and satisfaction. At baseline review, it was noted that the topic selection impacts the maximum proportion of members that is feasible, while still reflecting high-volume and high-risk conditions. The discussion also included support of the topic rationale with MCO-specific data and trends, which were utilized to compare to statewide and nationwide benchmarks in assessing reasonability of the topic of Developmental Screening. </w:t>
              </w:r>
            </w:p>
            <w:p w14:paraId="7898913A" w14:textId="77777777" w:rsidR="005C3D48" w:rsidRPr="00411D9E" w:rsidRDefault="005C3D48" w:rsidP="005C3D48">
              <w:pPr>
                <w:rPr>
                  <w:rFonts w:cs="Arial"/>
                </w:rPr>
              </w:pPr>
            </w:p>
            <w:p w14:paraId="10085A74" w14:textId="77777777" w:rsidR="005C3D48" w:rsidRPr="00411D9E" w:rsidRDefault="005C3D48" w:rsidP="005C3D48">
              <w:pPr>
                <w:rPr>
                  <w:rFonts w:cs="Arial"/>
                </w:rPr>
              </w:pPr>
              <w:r w:rsidRPr="00411D9E">
                <w:rPr>
                  <w:rFonts w:cs="Arial"/>
                </w:rPr>
                <w:t>In the plan’s 2020 interim report, it was noted that the report was formatted incorrectly, causing key signatures and other information to be obscured. IPRO recommended that this be addressed, and signatures provided in a revised report.  Additionally, it was also noted that the plan included an excess of information and embedded documents in the report. IPRO noted that this excessive information was at odds with the aim and goals of utilizing the LEAN methodology and recommended that the plan use as little documentation and extended explanations as possible while still providing a report that promotes increased value and fully covers all updates and changes to the project. The plan responded to both recommendations in their revised December 2020 submission.</w:t>
              </w:r>
            </w:p>
            <w:p w14:paraId="2B82DBB3" w14:textId="77777777" w:rsidR="005C3D48" w:rsidRPr="00411D9E" w:rsidRDefault="005C3D48" w:rsidP="005C3D48">
              <w:pPr>
                <w:rPr>
                  <w:rFonts w:cs="Arial"/>
                </w:rPr>
              </w:pPr>
            </w:p>
            <w:p w14:paraId="56332769" w14:textId="77777777" w:rsidR="005C3D48" w:rsidRPr="00411D9E" w:rsidRDefault="005C3D48" w:rsidP="005C3D48">
              <w:pPr>
                <w:rPr>
                  <w:rFonts w:cs="Arial"/>
                </w:rPr>
              </w:pPr>
              <w:r w:rsidRPr="00411D9E">
                <w:rPr>
                  <w:rFonts w:cs="Arial"/>
                </w:rPr>
                <w:t>The aim statement developed by the plan at baseline specified a goal which was bold and feasible, and based upon baseline data and strength of interventions. Additionally, it was noted during 2018 review that the aim specifies three performance indicators for each Highmark HMO, Highmark PPO, and NEPA, to monitor improvement, which correspond to developed goals. Finally, it was also noted that the objectives align the aim and goals with the interventions developed, bringing consistency across the PIP.</w:t>
              </w:r>
            </w:p>
            <w:p w14:paraId="037BC8A1" w14:textId="77777777" w:rsidR="005C3D48" w:rsidRPr="00411D9E" w:rsidRDefault="005C3D48" w:rsidP="005C3D48">
              <w:pPr>
                <w:rPr>
                  <w:rFonts w:cs="Arial"/>
                </w:rPr>
              </w:pPr>
            </w:p>
            <w:p w14:paraId="3ECC8807" w14:textId="77777777" w:rsidR="005C3D48" w:rsidRPr="00411D9E" w:rsidRDefault="005C3D48" w:rsidP="005C3D48">
              <w:pPr>
                <w:rPr>
                  <w:rFonts w:cs="Arial"/>
                </w:rPr>
              </w:pPr>
              <w:r w:rsidRPr="00411D9E">
                <w:rPr>
                  <w:rFonts w:cs="Arial"/>
                </w:rPr>
                <w:t xml:space="preserve">Methodologically, Highmark developed performance indicators in 2018 which measure changes in health status, functional status, and processes of care with strong associations with improved outcomes. These indicators focus across all three of Highmark’s product lines to include HMO, PPO, and NEPA products. Each of these lines will be monitoring their progress throughout the PIP cycle. It was noted in 2018 that only one indicator for each line was selected, and that an additional indicator should be included, per direction from CHIP. The study design for the proposal specifies data collection methods that are valid and data analysis procedures which are reliable. In 2020, the plan was reminded that one of their indicators, the Developmental Screening performance measure, was changed in 2020 to only include one rate utilizing CPT 96110. IPRO recommended that the measure description be revised to reflect these changes in a revised report. The plan addressed this in their revised submission in 2020. Additionally, it was noted by IPRO that one of their indicators did not have a clear numerator, denominator, and rate and that it focused on multiple populations making the indicator confusing and difficult to track. As part of its validation of this PIP, IPRO recommended that this indicator be revised to reflect this. The plan responded by reworking this measure and splitting it out into two reportable rates in their December 2020 revision. </w:t>
              </w:r>
            </w:p>
            <w:p w14:paraId="478B4F95" w14:textId="77777777" w:rsidR="005C3D48" w:rsidRPr="00411D9E" w:rsidRDefault="005C3D48" w:rsidP="005C3D48">
              <w:pPr>
                <w:rPr>
                  <w:rFonts w:cs="Arial"/>
                </w:rPr>
              </w:pPr>
            </w:p>
            <w:p w14:paraId="4678D534" w14:textId="77777777" w:rsidR="005C3D48" w:rsidRPr="00411D9E" w:rsidRDefault="005C3D48" w:rsidP="005C3D48">
              <w:pPr>
                <w:rPr>
                  <w:rFonts w:cs="Arial"/>
                </w:rPr>
              </w:pPr>
              <w:r w:rsidRPr="00411D9E">
                <w:rPr>
                  <w:rFonts w:cs="Arial"/>
                </w:rPr>
                <w:t>In 2018, Highmark performed a barrier analysis which was conducted using Lean Six Sigma Cause and Effect Analysis, including fishbone diagrams, clinical workgroup data, and discussions. Barriers were identified at both the member level and provider level. The MCO developed interventions which were developed as a result of the barrier analysis and included education via telephonic and postcard engagement. It was noted that no barrier analysis and subsequent interventions were developed to address the MCO level, which the MCO addressed and included in their 2019 interim reporting for this project. Rationale for how these indicators will continue to be utilized to track improvement over the course of the PIP was also included.</w:t>
              </w:r>
            </w:p>
            <w:p w14:paraId="24981012" w14:textId="77777777" w:rsidR="005C3D48" w:rsidRPr="00411D9E" w:rsidRDefault="005C3D48" w:rsidP="005C3D48">
              <w:pPr>
                <w:rPr>
                  <w:rFonts w:cs="Arial"/>
                </w:rPr>
              </w:pPr>
            </w:p>
            <w:p w14:paraId="78AD56C1" w14:textId="77777777" w:rsidR="005C3D48" w:rsidRPr="00411D9E" w:rsidRDefault="005C3D48" w:rsidP="005C3D48">
              <w:pPr>
                <w:rPr>
                  <w:rFonts w:cs="Arial"/>
                </w:rPr>
              </w:pPr>
              <w:r w:rsidRPr="00411D9E">
                <w:rPr>
                  <w:rFonts w:cs="Arial"/>
                </w:rPr>
                <w:t>At baseline review, Highmark was asked to provide updated finalized rates for all performance indicators. Additionally, final goals and target rates were requested to be included in the results section to track progress towards goals over time. These were included in the MCO’s 2019 interim report for this project. In 2020, it was noted by IPRO that one of the plan’s indicators had a set goal of “statistically significantly improved” without specifying a rate and IPRO recommended that a rate be specified in the plan’s resubmission. The plan provided updates to this request in their December 2020 revisions.</w:t>
              </w:r>
            </w:p>
            <w:p w14:paraId="2CE6309C" w14:textId="77777777" w:rsidR="005C3D48" w:rsidRPr="00411D9E" w:rsidRDefault="005C3D48" w:rsidP="005C3D48">
              <w:pPr>
                <w:rPr>
                  <w:rFonts w:cs="Arial"/>
                </w:rPr>
              </w:pPr>
            </w:p>
            <w:p w14:paraId="15E3AC50" w14:textId="77777777" w:rsidR="005C3D48" w:rsidRPr="00411D9E" w:rsidRDefault="005C3D48" w:rsidP="005C3D48">
              <w:pPr>
                <w:rPr>
                  <w:rFonts w:cs="Arial"/>
                </w:rPr>
              </w:pPr>
              <w:r w:rsidRPr="00411D9E">
                <w:rPr>
                  <w:rFonts w:cs="Arial"/>
                </w:rPr>
                <w:t xml:space="preserve">Discussion of the success of the PIP to date was included in 2019, with relevant analyses included to note changes in performance indicators, as well as follow up activities that are planned and lessons learned from this stage of the project.  Discussion of rationale for additional interventions was included with acknowledgement that the project has not been </w:t>
              </w:r>
              <w:r w:rsidRPr="00411D9E">
                <w:rPr>
                  <w:rFonts w:cs="Arial"/>
                </w:rPr>
                <w:lastRenderedPageBreak/>
                <w:t xml:space="preserve">completed and there may be additional developments as the project continues. In 2020, as part of its validation of the PIP, IPRO recommended that the plan consider the impacts of the COVID-19 pandemic on the PIP’s interventions as well as final rates reported in 2021 and include this in their discussion, which was addressed in the plan’s resubmission. This guidance provided by IPRO, combined with the compliance designations provided in </w:t>
              </w:r>
              <w:r w:rsidRPr="00411D9E">
                <w:rPr>
                  <w:rFonts w:cs="Arial"/>
                  <w:b/>
                </w:rPr>
                <w:t>Table 1.2</w:t>
              </w:r>
              <w:r w:rsidRPr="00411D9E">
                <w:rPr>
                  <w:rFonts w:cs="Arial"/>
                </w:rPr>
                <w:t>, serves as IPRO’s validation and recommendations to the plan regarding this project.</w:t>
              </w:r>
            </w:p>
            <w:p w14:paraId="5A563228" w14:textId="77777777" w:rsidR="005C3D48" w:rsidRPr="00411D9E" w:rsidRDefault="005C3D48" w:rsidP="005C3D48">
              <w:pPr>
                <w:rPr>
                  <w:rFonts w:cs="Arial"/>
                </w:rPr>
              </w:pPr>
            </w:p>
            <w:p w14:paraId="37CF121B" w14:textId="1290BDE9" w:rsidR="005C3D48" w:rsidRPr="00411D9E" w:rsidRDefault="005C3D48" w:rsidP="005C3D48">
              <w:pPr>
                <w:rPr>
                  <w:rFonts w:cs="Arial"/>
                </w:rPr>
              </w:pPr>
              <w:r w:rsidRPr="00411D9E">
                <w:rPr>
                  <w:rFonts w:cs="Arial"/>
                </w:rPr>
                <w:t xml:space="preserve">In its final report submitted in July 2021, Highmark included final rates as well as historical data throughout the lifetime of the PIP. It was noted that the data provided for the developmental screening indicator for MY 2018 do not match and calculation does not result in the indicated rates. </w:t>
              </w:r>
              <w:r w:rsidR="00BA39B8" w:rsidRPr="00411D9E">
                <w:rPr>
                  <w:rFonts w:cs="Arial"/>
                </w:rPr>
                <w:t xml:space="preserve">Performance improvement could not be evaluated, and the MCO was requested to revise and resubmit. Review of the resubmission was not available at the time of reporting and all compliance designations remained.  </w:t>
              </w:r>
              <w:r w:rsidRPr="00411D9E">
                <w:rPr>
                  <w:rFonts w:cs="Arial"/>
                </w:rPr>
                <w:t xml:space="preserve">For the 2020 interim submission, the plan was advised that there was an update for Indicator 1 in 2020. Since then, the numerator only encompasses children who had a claim with CPT code 96110 by their first, second, or third birthday. The plan previously </w:t>
              </w:r>
              <w:r w:rsidR="00411D9E" w:rsidRPr="00411D9E">
                <w:rPr>
                  <w:rFonts w:cs="Arial"/>
                </w:rPr>
                <w:t>provided an</w:t>
              </w:r>
              <w:r w:rsidRPr="00411D9E">
                <w:rPr>
                  <w:rFonts w:cs="Arial"/>
                </w:rPr>
                <w:t xml:space="preserve"> update to indicator 1 in the revised interim submission, but it has been included in the performance indicator description in the abstract.</w:t>
              </w:r>
              <w:r w:rsidRPr="00411D9E">
                <w:t xml:space="preserve"> </w:t>
              </w:r>
              <w:r w:rsidRPr="00411D9E">
                <w:rPr>
                  <w:rFonts w:cs="Arial"/>
                </w:rPr>
                <w:t>Discussion of rationale for additional interventions was included, noting updates and pivots made in interventions when the plan learned additional information from tracking measures. A discussion was included re</w:t>
              </w:r>
              <w:r w:rsidR="00163995">
                <w:rPr>
                  <w:rFonts w:cs="Arial"/>
                </w:rPr>
                <w:t>garding</w:t>
              </w:r>
              <w:r w:rsidRPr="00411D9E">
                <w:rPr>
                  <w:rFonts w:cs="Arial"/>
                </w:rPr>
                <w:t xml:space="preserve"> the implications of the COVID-19 health crisis, including resulting in a discontinuation of postcards and an increase in member outreach calls.</w:t>
              </w:r>
              <w:r w:rsidR="00EE4113" w:rsidRPr="00411D9E">
                <w:rPr>
                  <w:rFonts w:cs="Arial"/>
                </w:rPr>
                <w:t xml:space="preserve"> </w:t>
              </w:r>
              <w:r w:rsidR="00EE4113" w:rsidRPr="00411D9E">
                <w:rPr>
                  <w:rFonts w:ascii="Calibri" w:eastAsia="PMingLiU" w:hAnsi="Calibri" w:cs="Times New Roman"/>
                  <w:b/>
                  <w:bCs/>
                </w:rPr>
                <w:t>Table A.1.1</w:t>
              </w:r>
              <w:r w:rsidR="00EE4113" w:rsidRPr="00411D9E">
                <w:rPr>
                  <w:rFonts w:ascii="Calibri" w:eastAsia="PMingLiU" w:hAnsi="Calibri" w:cs="Times New Roman"/>
                </w:rPr>
                <w:t xml:space="preserve"> </w:t>
              </w:r>
              <w:r w:rsidR="00EE4113" w:rsidRPr="00411D9E">
                <w:rPr>
                  <w:rFonts w:eastAsiaTheme="minorHAnsi" w:cs="Calibri"/>
                </w:rPr>
                <w:t xml:space="preserve">of the MCO’s interventions for the project can be found in the </w:t>
              </w:r>
              <w:r w:rsidR="00EE4113" w:rsidRPr="00411D9E">
                <w:rPr>
                  <w:rFonts w:eastAsiaTheme="minorHAnsi" w:cs="Calibri"/>
                  <w:b/>
                </w:rPr>
                <w:t>Appendix</w:t>
              </w:r>
              <w:r w:rsidR="00EE4113" w:rsidRPr="00411D9E">
                <w:rPr>
                  <w:rFonts w:eastAsiaTheme="minorHAnsi" w:cs="Calibri"/>
                </w:rPr>
                <w:t xml:space="preserve"> of this report.</w:t>
              </w:r>
            </w:p>
            <w:p w14:paraId="1DF66D07" w14:textId="77777777" w:rsidR="005C3D48" w:rsidRPr="00411D9E" w:rsidRDefault="005C3D48" w:rsidP="005C3D48">
              <w:pPr>
                <w:rPr>
                  <w:rFonts w:cs="Arial"/>
                </w:rPr>
              </w:pPr>
            </w:p>
            <w:p w14:paraId="11C16982" w14:textId="77777777" w:rsidR="005C3D48" w:rsidRPr="00411D9E" w:rsidRDefault="005C3D48" w:rsidP="005C3D48">
              <w:pPr>
                <w:autoSpaceDE w:val="0"/>
                <w:autoSpaceDN w:val="0"/>
                <w:adjustRightInd w:val="0"/>
                <w:rPr>
                  <w:rFonts w:eastAsiaTheme="minorHAnsi" w:cs="Calibri"/>
                </w:rPr>
              </w:pPr>
              <w:r w:rsidRPr="00411D9E">
                <w:rPr>
                  <w:rFonts w:eastAsiaTheme="minorHAnsi" w:cs="Calibri"/>
                </w:rPr>
                <w:t>The following recommendations were identified during the Final Report review process:</w:t>
              </w:r>
            </w:p>
            <w:p w14:paraId="43F94A09" w14:textId="77777777" w:rsidR="005C3D48" w:rsidRPr="00411D9E" w:rsidRDefault="005C3D48" w:rsidP="00A0110E">
              <w:pPr>
                <w:numPr>
                  <w:ilvl w:val="0"/>
                  <w:numId w:val="26"/>
                </w:numPr>
                <w:contextualSpacing/>
                <w:rPr>
                  <w:rFonts w:eastAsiaTheme="minorHAnsi" w:cs="Arial"/>
                  <w:lang w:bidi="ar-SA"/>
                </w:rPr>
              </w:pPr>
              <w:r w:rsidRPr="00411D9E">
                <w:rPr>
                  <w:rFonts w:eastAsiaTheme="minorHAnsi" w:cs="Arial"/>
                  <w:lang w:bidi="ar-SA"/>
                </w:rPr>
                <w:t>It was recommended that Highmark confirm the data and correct the numerators and denominators as applicable for the developmental screening indicator and all indicators across MYs.</w:t>
              </w:r>
            </w:p>
            <w:p w14:paraId="4D9A22BF" w14:textId="77777777" w:rsidR="005C3D48" w:rsidRPr="00411D9E" w:rsidRDefault="005C3D48" w:rsidP="00A0110E">
              <w:pPr>
                <w:numPr>
                  <w:ilvl w:val="0"/>
                  <w:numId w:val="26"/>
                </w:numPr>
                <w:contextualSpacing/>
                <w:rPr>
                  <w:rFonts w:eastAsiaTheme="minorHAnsi" w:cs="Arial"/>
                  <w:lang w:bidi="ar-SA"/>
                </w:rPr>
              </w:pPr>
              <w:r w:rsidRPr="00411D9E">
                <w:rPr>
                  <w:rFonts w:eastAsiaTheme="minorHAnsi" w:cs="Arial"/>
                  <w:lang w:bidi="ar-SA"/>
                </w:rPr>
                <w:t>It is recommended that the MCO update the abstract to acknowledge the change in the developmental screening indicator to only include the CPT code 96110.</w:t>
              </w:r>
            </w:p>
          </w:sdtContent>
        </w:sdt>
      </w:sdtContent>
    </w:sdt>
    <w:p w14:paraId="2D33CD4F" w14:textId="77777777" w:rsidR="005C3D48" w:rsidRPr="00411D9E" w:rsidRDefault="005C3D48" w:rsidP="005C3D48">
      <w:pPr>
        <w:rPr>
          <w:b/>
          <w:highlight w:val="yellow"/>
        </w:rPr>
      </w:pPr>
    </w:p>
    <w:p w14:paraId="375813F6" w14:textId="77777777" w:rsidR="005C3D48" w:rsidRPr="00411D9E" w:rsidRDefault="005C3D48" w:rsidP="005C3D48">
      <w:pPr>
        <w:rPr>
          <w:rFonts w:cs="Arial"/>
        </w:rPr>
      </w:pPr>
      <w:r w:rsidRPr="00411D9E">
        <w:rPr>
          <w:rFonts w:cs="Arial"/>
          <w:b/>
          <w:bCs/>
        </w:rPr>
        <w:t>Improving Blood Lead Screening Rate in Children 2 Years of Age</w:t>
      </w:r>
      <w:r w:rsidRPr="00411D9E">
        <w:rPr>
          <w:rFonts w:cs="Arial"/>
        </w:rPr>
        <w:t xml:space="preserve"> </w:t>
      </w:r>
    </w:p>
    <w:sdt>
      <w:sdtPr>
        <w:rPr>
          <w:rFonts w:eastAsiaTheme="minorHAnsi" w:cs="Arial"/>
          <w:lang w:bidi="ar-SA"/>
        </w:rPr>
        <w:id w:val="-1049525408"/>
      </w:sdtPr>
      <w:sdtEndPr/>
      <w:sdtContent>
        <w:sdt>
          <w:sdtPr>
            <w:rPr>
              <w:rFonts w:eastAsiaTheme="minorHAnsi" w:cs="Arial"/>
              <w:lang w:bidi="ar-SA"/>
            </w:rPr>
            <w:id w:val="483436399"/>
          </w:sdtPr>
          <w:sdtEndPr/>
          <w:sdtContent>
            <w:p w14:paraId="49028A0D" w14:textId="77777777" w:rsidR="005C3D48" w:rsidRPr="00411D9E" w:rsidRDefault="005C3D48" w:rsidP="005C3D48">
              <w:pPr>
                <w:rPr>
                  <w:rFonts w:cs="Arial"/>
                </w:rPr>
              </w:pPr>
              <w:r w:rsidRPr="00411D9E">
                <w:rPr>
                  <w:rFonts w:cs="Arial"/>
                </w:rPr>
                <w:t xml:space="preserve">Highmark provided a discussion of topic rationale in 2018 which included the potential for meaningful impact on member health, functional status, and satisfaction. As noted at baseline review, the topic selection impacts the maximum proportion of members that is feasible, while still reflecting high-volume and high-risk conditions. It was also noted in 2018 that the discussion included support of the topic rationale with MCO-specific data and trends, which were utilized to compare to statewide and nationwide benchmarks in assessing reasonability of the topic of Lead Screening. </w:t>
              </w:r>
            </w:p>
            <w:p w14:paraId="0176EBB8" w14:textId="77777777" w:rsidR="005C3D48" w:rsidRPr="00411D9E" w:rsidRDefault="005C3D48" w:rsidP="005C3D48">
              <w:pPr>
                <w:rPr>
                  <w:rFonts w:cs="Arial"/>
                </w:rPr>
              </w:pPr>
            </w:p>
            <w:p w14:paraId="4A3DA0E6" w14:textId="77777777" w:rsidR="005C3D48" w:rsidRPr="00411D9E" w:rsidRDefault="005C3D48" w:rsidP="005C3D48">
              <w:pPr>
                <w:rPr>
                  <w:rFonts w:cs="Arial"/>
                </w:rPr>
              </w:pPr>
              <w:r w:rsidRPr="00411D9E">
                <w:rPr>
                  <w:rFonts w:cs="Arial"/>
                </w:rPr>
                <w:t>As with the Developmental Screening PIP, in the plan’s 2020 interim report it was noted that the report was formatted incorrectly, causing key signatures and other information to be obscured. IPRO recommended that this be addressed, and signatures provided in a revised report. Additionally, it was noted that the plan included an excess of information and embedded documents in the report. IPRO noted that this excessive information was at odds with the aim and goals of utilizing the LEAN methodology and recommended that the plan use as little documentation and extended explanations as possible while still providing a report that promotes increased value and fully covers all updates and changes to the project. The plan responded to both items in their revised December 2020 submission.</w:t>
              </w:r>
            </w:p>
            <w:p w14:paraId="39527418" w14:textId="77777777" w:rsidR="005C3D48" w:rsidRPr="00411D9E" w:rsidRDefault="005C3D48" w:rsidP="005C3D48">
              <w:pPr>
                <w:rPr>
                  <w:rFonts w:cs="Arial"/>
                </w:rPr>
              </w:pPr>
              <w:r w:rsidRPr="00411D9E">
                <w:rPr>
                  <w:rFonts w:cs="Arial"/>
                </w:rPr>
                <w:br/>
                <w:t>The aim statement developed by the plan at baseline specified a goal which was bold and feasible, and based upon baseline data and strength of interventions. Additionally, the aim specified a performance indicator to monitor improvement, which corresponded to developed goals. At baseline review, it was noted that an additional indicator should be developed to track progress, as is the case with the Developmental Screening PIP, and the MCO provided this indicator during 2019 interim reporting. Rationale for how these indicators should be utilized to track improvement over the course of the PIP was also included. The objectives align the aim and goals with the intervention developed, bringing consistency across the PIP.</w:t>
              </w:r>
            </w:p>
            <w:p w14:paraId="2B3C882C" w14:textId="77777777" w:rsidR="005C3D48" w:rsidRPr="00411D9E" w:rsidRDefault="005C3D48" w:rsidP="005C3D48">
              <w:pPr>
                <w:rPr>
                  <w:rFonts w:cs="Arial"/>
                </w:rPr>
              </w:pPr>
            </w:p>
            <w:p w14:paraId="4C40D674" w14:textId="77777777" w:rsidR="005C3D48" w:rsidRPr="00411D9E" w:rsidRDefault="005C3D48" w:rsidP="005C3D48">
              <w:pPr>
                <w:rPr>
                  <w:rFonts w:cs="Arial"/>
                </w:rPr>
              </w:pPr>
              <w:r w:rsidRPr="00411D9E">
                <w:rPr>
                  <w:rFonts w:cs="Arial"/>
                </w:rPr>
                <w:t>Highmark developed a performance indicator in 2018 which measures changes in health status, functional status, and processes of care with strong associations with improved outcomes. Procedures were highlighted which indicate the data source, measure type, and reliability. The study design, developed in 2018, specified data collection methodology that is valid and data analysis procedures that are logical.</w:t>
              </w:r>
            </w:p>
            <w:p w14:paraId="6E6FEB24" w14:textId="77777777" w:rsidR="005C3D48" w:rsidRPr="00411D9E" w:rsidRDefault="005C3D48" w:rsidP="005C3D48">
              <w:pPr>
                <w:rPr>
                  <w:rFonts w:cs="Arial"/>
                </w:rPr>
              </w:pPr>
            </w:p>
            <w:p w14:paraId="569CBD76" w14:textId="77777777" w:rsidR="005C3D48" w:rsidRPr="00411D9E" w:rsidRDefault="005C3D48" w:rsidP="005C3D48">
              <w:pPr>
                <w:rPr>
                  <w:rFonts w:cs="Arial"/>
                </w:rPr>
              </w:pPr>
              <w:r w:rsidRPr="00411D9E">
                <w:rPr>
                  <w:rFonts w:cs="Arial"/>
                </w:rPr>
                <w:t>In 2020, IPRO recommended that goal statements for three indicators should be revisited and updated, as they specified a completion date of 2018 with final measurement periods in 2019. The plan’s December 2020 resubmission included updated dates to reflect the end of the PIP in 2020. Additionally, it was noted by IPRO that one of their indicators did not have a clear numerator, denominator, and rate and that it focused on multiple populations making the indicator confusing and difficult to track. As part of its validation of this PIP, IPRO recommended that this indicator be revised to reflect this. The plan responded by reworking this measure and splitting it out into two reportable rates in their December 2020 revision.</w:t>
              </w:r>
            </w:p>
            <w:p w14:paraId="561D3B99" w14:textId="77777777" w:rsidR="005C3D48" w:rsidRPr="00411D9E" w:rsidRDefault="005C3D48" w:rsidP="005C3D48">
              <w:pPr>
                <w:rPr>
                  <w:rFonts w:cs="Arial"/>
                </w:rPr>
              </w:pPr>
            </w:p>
            <w:p w14:paraId="3A842D5B" w14:textId="77777777" w:rsidR="005C3D48" w:rsidRPr="00411D9E" w:rsidRDefault="005C3D48" w:rsidP="005C3D48">
              <w:pPr>
                <w:rPr>
                  <w:rFonts w:cs="Arial"/>
                </w:rPr>
              </w:pPr>
              <w:r w:rsidRPr="00411D9E">
                <w:rPr>
                  <w:rFonts w:cs="Arial"/>
                </w:rPr>
                <w:t xml:space="preserve">Barrier analysis was carried out in 2018 utilizing Lean Six Sigma Cause and Effect Analysis, including fishbone diagrams, clinical workgroup data, and discussions. It was noted at baseline review that although all interventions did seem to be developed from the barrier analysis, the MCO should consider expanding the interventions or adding more to address some of the provider level barriers that were outlined in the barrier analysis. In their 2019 interim report, Highmark introduced new interventions that focus on provider, member, and MCO levels. In their 2020 interim report, the plan further clarified barriers at the provider level and updated interventions to reflect this clarification. </w:t>
              </w:r>
            </w:p>
            <w:p w14:paraId="7BCCCE8D" w14:textId="77777777" w:rsidR="005C3D48" w:rsidRPr="00411D9E" w:rsidRDefault="005C3D48" w:rsidP="005C3D48">
              <w:pPr>
                <w:rPr>
                  <w:rFonts w:cs="Arial"/>
                </w:rPr>
              </w:pPr>
            </w:p>
            <w:p w14:paraId="7B1CF6E6" w14:textId="77777777" w:rsidR="005C3D48" w:rsidRPr="00411D9E" w:rsidRDefault="005C3D48" w:rsidP="005C3D48">
              <w:pPr>
                <w:rPr>
                  <w:rFonts w:cs="Arial"/>
                </w:rPr>
              </w:pPr>
              <w:r w:rsidRPr="00411D9E">
                <w:rPr>
                  <w:rFonts w:cs="Arial"/>
                </w:rPr>
                <w:t>Additionally, at baseline review, Highmark was asked to provide updated finalized rates for all performance indicators. Final goals and target rates were also requested to be included in the results section to track progress towards goals over time. Both of these outstanding issues were addressed by the plan in their 2019 interim report. In 2020, one of the MCO’s indicators was noted as needing additional attention; there were missing values for key data and the indicator had a vague goal of “statistically significantly improved”. As part of its validation of this PIP, IPRO recommended that the plan address the missing data and refine the goal for the indicator. Both of these issues were addressed by Highmark in their revised 2020 submission.</w:t>
              </w:r>
            </w:p>
            <w:p w14:paraId="2138C32D" w14:textId="77777777" w:rsidR="005C3D48" w:rsidRPr="00411D9E" w:rsidRDefault="005C3D48" w:rsidP="005C3D48">
              <w:pPr>
                <w:rPr>
                  <w:rFonts w:cs="Arial"/>
                </w:rPr>
              </w:pPr>
            </w:p>
            <w:p w14:paraId="19A4654C" w14:textId="77777777" w:rsidR="005C3D48" w:rsidRPr="00411D9E" w:rsidRDefault="005C3D48" w:rsidP="005C3D48">
              <w:pPr>
                <w:rPr>
                  <w:rFonts w:cs="Arial"/>
                </w:rPr>
              </w:pPr>
              <w:r w:rsidRPr="00411D9E">
                <w:rPr>
                  <w:rFonts w:cs="Arial"/>
                </w:rPr>
                <w:t xml:space="preserve">Discussion of the success of the PIP to date was included, with relevant analyses included to note changes in performance indicators, as well as follow up activities that were planned and lessons learned from this stage of the project. Discussion included review of rates, intervention progress, and acknowledgment for potential change as the project continues through the rest of the timeline. In 2020, the plan also included thorough discussion which included context of potential impacts from the COVID-19 pandemic on interventions and well visits. This guidance provided by IPRO, combined with the compliance designations provided in </w:t>
              </w:r>
              <w:r w:rsidRPr="00411D9E">
                <w:rPr>
                  <w:rFonts w:cs="Arial"/>
                  <w:b/>
                </w:rPr>
                <w:t>Table 1.2</w:t>
              </w:r>
              <w:r w:rsidRPr="00411D9E">
                <w:rPr>
                  <w:rFonts w:cs="Arial"/>
                </w:rPr>
                <w:t>, serves as IPRO’s validation and recommendations to the plan regarding this project.</w:t>
              </w:r>
            </w:p>
            <w:p w14:paraId="52CEE72E" w14:textId="77777777" w:rsidR="005C3D48" w:rsidRPr="00411D9E" w:rsidRDefault="005C3D48" w:rsidP="005C3D48">
              <w:pPr>
                <w:rPr>
                  <w:rFonts w:cs="Arial"/>
                </w:rPr>
              </w:pPr>
            </w:p>
            <w:p w14:paraId="6687AFFE" w14:textId="55D24087" w:rsidR="005C3D48" w:rsidRPr="00411D9E" w:rsidRDefault="005C3D48" w:rsidP="005C3D48">
              <w:pPr>
                <w:rPr>
                  <w:rFonts w:cs="Arial"/>
                </w:rPr>
              </w:pPr>
              <w:r w:rsidRPr="00411D9E">
                <w:rPr>
                  <w:rFonts w:cs="Arial"/>
                </w:rPr>
                <w:t>In its final report submission, Highmark included final rates as well as historical data throughout the lifetime of the PIP. It was noted that the data provided for MY 2017 do not match and calculation does not result in the indicated rates.</w:t>
              </w:r>
              <w:r w:rsidRPr="00411D9E">
                <w:rPr>
                  <w:rFonts w:hAnsi="Calibri"/>
                  <w:color w:val="000000" w:themeColor="dark1"/>
                </w:rPr>
                <w:t xml:space="preserve"> </w:t>
              </w:r>
              <w:r w:rsidR="00BA39B8" w:rsidRPr="00411D9E">
                <w:rPr>
                  <w:rFonts w:cs="Arial"/>
                </w:rPr>
                <w:t xml:space="preserve">Performance improvement could not be evaluated, and the MCO was requested to revise and resubmit. Review of the resubmission was not available at the time of reporting and all compliance designations remained.  </w:t>
              </w:r>
              <w:r w:rsidRPr="00411D9E">
                <w:rPr>
                  <w:rFonts w:cs="Arial"/>
                </w:rPr>
                <w:t xml:space="preserve">Discussion of rationale for additional interventions was included, noting updates and pivots made in interventions when the plan learned additional information from tracking measures. A discussion was included regarding the implications of the COVID-19 health crisis, including resulting in a discontinuation of postcards and an increase in member outreach calls.  The plan also noted that the COVID-19 pandemic caused delays and unwillingness to go to the office for preventative care and as a result, impacted </w:t>
              </w:r>
              <w:r w:rsidR="00163995">
                <w:rPr>
                  <w:rFonts w:cs="Arial"/>
                </w:rPr>
                <w:t>completion</w:t>
              </w:r>
              <w:r w:rsidR="00163995" w:rsidRPr="00411D9E">
                <w:rPr>
                  <w:rFonts w:cs="Arial"/>
                </w:rPr>
                <w:t xml:space="preserve"> </w:t>
              </w:r>
              <w:r w:rsidRPr="00411D9E">
                <w:rPr>
                  <w:rFonts w:cs="Arial"/>
                </w:rPr>
                <w:t>of tests that cannot be performed via Telemedicine.</w:t>
              </w:r>
              <w:r w:rsidR="00EE4113" w:rsidRPr="00411D9E">
                <w:rPr>
                  <w:rFonts w:cs="Arial"/>
                </w:rPr>
                <w:t xml:space="preserve"> </w:t>
              </w:r>
              <w:r w:rsidR="00EE4113" w:rsidRPr="00411D9E">
                <w:rPr>
                  <w:rFonts w:ascii="Calibri" w:eastAsia="PMingLiU" w:hAnsi="Calibri" w:cs="Times New Roman"/>
                  <w:b/>
                  <w:bCs/>
                </w:rPr>
                <w:t>Table A.1.1</w:t>
              </w:r>
              <w:r w:rsidR="00EE4113" w:rsidRPr="00411D9E">
                <w:rPr>
                  <w:rFonts w:ascii="Calibri" w:eastAsia="PMingLiU" w:hAnsi="Calibri" w:cs="Times New Roman"/>
                </w:rPr>
                <w:t xml:space="preserve"> </w:t>
              </w:r>
              <w:r w:rsidR="00EE4113" w:rsidRPr="00411D9E">
                <w:rPr>
                  <w:rFonts w:eastAsiaTheme="minorHAnsi" w:cs="Calibri"/>
                </w:rPr>
                <w:t xml:space="preserve">of the MCO’s interventions for the project can be found in the </w:t>
              </w:r>
              <w:r w:rsidR="00EE4113" w:rsidRPr="00411D9E">
                <w:rPr>
                  <w:rFonts w:eastAsiaTheme="minorHAnsi" w:cs="Calibri"/>
                  <w:b/>
                </w:rPr>
                <w:t>Appendix</w:t>
              </w:r>
              <w:r w:rsidR="00EE4113" w:rsidRPr="00411D9E">
                <w:rPr>
                  <w:rFonts w:eastAsiaTheme="minorHAnsi" w:cs="Calibri"/>
                </w:rPr>
                <w:t xml:space="preserve"> of this report.</w:t>
              </w:r>
            </w:p>
            <w:p w14:paraId="7E778CC5" w14:textId="77777777" w:rsidR="005C3D48" w:rsidRPr="00411D9E" w:rsidRDefault="005C3D48" w:rsidP="005C3D48">
              <w:pPr>
                <w:rPr>
                  <w:rFonts w:cs="Arial"/>
                </w:rPr>
              </w:pPr>
            </w:p>
            <w:p w14:paraId="4B60582D" w14:textId="77777777" w:rsidR="005C3D48" w:rsidRPr="00411D9E" w:rsidRDefault="005C3D48" w:rsidP="005C3D48">
              <w:pPr>
                <w:autoSpaceDE w:val="0"/>
                <w:autoSpaceDN w:val="0"/>
                <w:adjustRightInd w:val="0"/>
                <w:rPr>
                  <w:rFonts w:eastAsiaTheme="minorHAnsi" w:cs="Calibri"/>
                </w:rPr>
              </w:pPr>
              <w:r w:rsidRPr="00411D9E">
                <w:rPr>
                  <w:rFonts w:eastAsiaTheme="minorHAnsi" w:cs="Calibri"/>
                </w:rPr>
                <w:t>The following recommendations were identified during the Final Report review process:</w:t>
              </w:r>
            </w:p>
            <w:p w14:paraId="4A23A4DE" w14:textId="77777777" w:rsidR="005C3D48" w:rsidRPr="00411D9E" w:rsidRDefault="005C3D48" w:rsidP="00A0110E">
              <w:pPr>
                <w:numPr>
                  <w:ilvl w:val="0"/>
                  <w:numId w:val="26"/>
                </w:numPr>
                <w:contextualSpacing/>
                <w:rPr>
                  <w:rFonts w:eastAsiaTheme="minorHAnsi" w:cs="Arial"/>
                  <w:lang w:bidi="ar-SA"/>
                </w:rPr>
              </w:pPr>
              <w:r w:rsidRPr="00411D9E">
                <w:rPr>
                  <w:rFonts w:eastAsiaTheme="minorHAnsi" w:cs="Arial"/>
                  <w:lang w:bidi="ar-SA"/>
                </w:rPr>
                <w:t>It was recommended that Highmark confirm the data and correct the numerators and denominators as applicable for all indicators across MYs.</w:t>
              </w:r>
            </w:p>
          </w:sdtContent>
        </w:sdt>
      </w:sdtContent>
    </w:sdt>
    <w:p w14:paraId="5478AF6A" w14:textId="5B274297" w:rsidR="005C3D48" w:rsidRPr="00411D9E" w:rsidRDefault="00EE4113" w:rsidP="00EE4113">
      <w:pPr>
        <w:pStyle w:val="tableheading"/>
      </w:pPr>
      <w:bookmarkStart w:id="36" w:name="_Toc512521049"/>
      <w:bookmarkStart w:id="37" w:name="_Toc68527458"/>
      <w:bookmarkStart w:id="38" w:name="_Toc99026985"/>
      <w:r w:rsidRPr="00411D9E">
        <w:t>Table 1.2</w:t>
      </w:r>
      <w:r w:rsidR="005C3D48" w:rsidRPr="00411D9E">
        <w:t>: Highmark PPO PIP Compliance Assessments</w:t>
      </w:r>
      <w:bookmarkEnd w:id="36"/>
      <w:r w:rsidR="005C3D48" w:rsidRPr="00411D9E">
        <w:t xml:space="preserve"> – Final Reports</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8"/>
        <w:gridCol w:w="3202"/>
        <w:gridCol w:w="3170"/>
      </w:tblGrid>
      <w:tr w:rsidR="005C3D48" w:rsidRPr="00411D9E" w14:paraId="5D0BD39E" w14:textId="77777777" w:rsidTr="00EE4113">
        <w:trPr>
          <w:trHeight w:val="288"/>
          <w:tblHeader/>
        </w:trPr>
        <w:tc>
          <w:tcPr>
            <w:tcW w:w="2047" w:type="pct"/>
            <w:shd w:val="clear" w:color="auto" w:fill="5F497A"/>
            <w:noWrap/>
            <w:tcMar>
              <w:top w:w="17" w:type="dxa"/>
              <w:left w:w="58" w:type="dxa"/>
              <w:bottom w:w="0" w:type="dxa"/>
              <w:right w:w="58" w:type="dxa"/>
            </w:tcMar>
            <w:vAlign w:val="center"/>
          </w:tcPr>
          <w:p w14:paraId="34EE5C63" w14:textId="77777777" w:rsidR="005C3D48" w:rsidRPr="00411D9E" w:rsidRDefault="005C3D48" w:rsidP="00EE4113">
            <w:pPr>
              <w:ind w:left="72"/>
              <w:rPr>
                <w:rFonts w:eastAsia="Arial Unicode MS" w:cs="Arial"/>
                <w:b/>
                <w:bCs/>
                <w:color w:val="FFFFFF" w:themeColor="background1"/>
              </w:rPr>
            </w:pPr>
            <w:r w:rsidRPr="00411D9E">
              <w:rPr>
                <w:rFonts w:cs="Arial"/>
                <w:b/>
                <w:bCs/>
                <w:color w:val="FFFFFF" w:themeColor="background1"/>
              </w:rPr>
              <w:t xml:space="preserve">Review Element </w:t>
            </w:r>
          </w:p>
        </w:tc>
        <w:tc>
          <w:tcPr>
            <w:tcW w:w="1484" w:type="pct"/>
            <w:shd w:val="clear" w:color="auto" w:fill="5F497A"/>
            <w:noWrap/>
            <w:tcMar>
              <w:top w:w="17" w:type="dxa"/>
              <w:left w:w="58" w:type="dxa"/>
              <w:bottom w:w="0" w:type="dxa"/>
              <w:right w:w="58" w:type="dxa"/>
            </w:tcMar>
            <w:vAlign w:val="center"/>
          </w:tcPr>
          <w:p w14:paraId="375B0481" w14:textId="77777777" w:rsidR="005C3D48" w:rsidRPr="00411D9E" w:rsidRDefault="005C3D48" w:rsidP="00EE4113">
            <w:pPr>
              <w:jc w:val="center"/>
              <w:rPr>
                <w:rFonts w:eastAsia="Arial Unicode MS" w:cs="Arial"/>
                <w:b/>
                <w:bCs/>
                <w:color w:val="FFFFFF" w:themeColor="background1"/>
              </w:rPr>
            </w:pPr>
            <w:r w:rsidRPr="00411D9E">
              <w:rPr>
                <w:rFonts w:cs="Arial"/>
                <w:b/>
                <w:bCs/>
                <w:color w:val="FFFFFF" w:themeColor="background1"/>
              </w:rPr>
              <w:t>Improving Developmental Screening Rate in Children Ages 1, 2, and 3 Years</w:t>
            </w:r>
          </w:p>
        </w:tc>
        <w:tc>
          <w:tcPr>
            <w:tcW w:w="1469" w:type="pct"/>
            <w:shd w:val="clear" w:color="auto" w:fill="5F497A"/>
            <w:noWrap/>
            <w:tcMar>
              <w:top w:w="17" w:type="dxa"/>
              <w:left w:w="58" w:type="dxa"/>
              <w:bottom w:w="0" w:type="dxa"/>
              <w:right w:w="58" w:type="dxa"/>
            </w:tcMar>
            <w:vAlign w:val="center"/>
          </w:tcPr>
          <w:p w14:paraId="39C887BB" w14:textId="77777777" w:rsidR="005C3D48" w:rsidRPr="00411D9E" w:rsidRDefault="005C3D48" w:rsidP="00EE4113">
            <w:pPr>
              <w:jc w:val="center"/>
              <w:rPr>
                <w:rFonts w:eastAsia="Arial Unicode MS" w:cs="Arial"/>
                <w:b/>
                <w:bCs/>
                <w:color w:val="FFFFFF" w:themeColor="background1"/>
              </w:rPr>
            </w:pPr>
            <w:r w:rsidRPr="00411D9E">
              <w:rPr>
                <w:rFonts w:cs="Arial"/>
                <w:b/>
                <w:bCs/>
                <w:color w:val="FFFFFF" w:themeColor="background1"/>
              </w:rPr>
              <w:t>Improving Blood Lead Screening Rate in Children 2 Years of Age</w:t>
            </w:r>
          </w:p>
        </w:tc>
      </w:tr>
      <w:tr w:rsidR="005C3D48" w:rsidRPr="00411D9E" w14:paraId="2E20AF54" w14:textId="77777777" w:rsidTr="00EE4113">
        <w:trPr>
          <w:trHeight w:val="288"/>
        </w:trPr>
        <w:tc>
          <w:tcPr>
            <w:tcW w:w="2047" w:type="pct"/>
            <w:tcMar>
              <w:top w:w="17" w:type="dxa"/>
              <w:left w:w="58" w:type="dxa"/>
              <w:bottom w:w="0" w:type="dxa"/>
              <w:right w:w="58" w:type="dxa"/>
            </w:tcMar>
            <w:vAlign w:val="center"/>
          </w:tcPr>
          <w:p w14:paraId="29C24791"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t>Element 1. Project Topic/Rationale</w:t>
            </w:r>
          </w:p>
        </w:tc>
        <w:tc>
          <w:tcPr>
            <w:tcW w:w="1484" w:type="pct"/>
            <w:shd w:val="clear" w:color="auto" w:fill="auto"/>
            <w:tcMar>
              <w:top w:w="17" w:type="dxa"/>
              <w:left w:w="58" w:type="dxa"/>
              <w:bottom w:w="0" w:type="dxa"/>
              <w:right w:w="58" w:type="dxa"/>
            </w:tcMar>
            <w:vAlign w:val="center"/>
          </w:tcPr>
          <w:p w14:paraId="1D40401F" w14:textId="7E024D50" w:rsidR="005C3D48" w:rsidRPr="00411D9E" w:rsidRDefault="00E45F45" w:rsidP="00EE4113">
            <w:pPr>
              <w:jc w:val="center"/>
              <w:rPr>
                <w:rFonts w:eastAsia="Arial Unicode MS" w:cs="Arial"/>
              </w:rPr>
            </w:pPr>
            <w:r>
              <w:rPr>
                <w:rFonts w:eastAsia="Arial Unicode MS" w:cs="Arial"/>
              </w:rPr>
              <w:t>Partially Met</w:t>
            </w:r>
          </w:p>
        </w:tc>
        <w:tc>
          <w:tcPr>
            <w:tcW w:w="1469" w:type="pct"/>
            <w:shd w:val="clear" w:color="auto" w:fill="auto"/>
            <w:tcMar>
              <w:top w:w="17" w:type="dxa"/>
              <w:left w:w="58" w:type="dxa"/>
              <w:bottom w:w="0" w:type="dxa"/>
              <w:right w:w="58" w:type="dxa"/>
            </w:tcMar>
            <w:vAlign w:val="center"/>
          </w:tcPr>
          <w:p w14:paraId="44E8B2D0" w14:textId="395CE0D6" w:rsidR="005C3D48" w:rsidRPr="00411D9E" w:rsidRDefault="00E45F45" w:rsidP="00EE4113">
            <w:pPr>
              <w:jc w:val="center"/>
              <w:rPr>
                <w:rFonts w:eastAsia="Arial Unicode MS" w:cs="Arial"/>
              </w:rPr>
            </w:pPr>
            <w:r>
              <w:rPr>
                <w:rFonts w:eastAsia="Arial Unicode MS" w:cs="Arial"/>
              </w:rPr>
              <w:t>Partially Met</w:t>
            </w:r>
          </w:p>
        </w:tc>
      </w:tr>
      <w:tr w:rsidR="005C3D48" w:rsidRPr="00411D9E" w14:paraId="31551B6B" w14:textId="77777777" w:rsidTr="00EE4113">
        <w:trPr>
          <w:trHeight w:val="288"/>
        </w:trPr>
        <w:tc>
          <w:tcPr>
            <w:tcW w:w="2047" w:type="pct"/>
            <w:tcMar>
              <w:top w:w="17" w:type="dxa"/>
              <w:left w:w="58" w:type="dxa"/>
              <w:bottom w:w="0" w:type="dxa"/>
              <w:right w:w="58" w:type="dxa"/>
            </w:tcMar>
            <w:vAlign w:val="center"/>
          </w:tcPr>
          <w:p w14:paraId="36F2F438"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lastRenderedPageBreak/>
              <w:t>Element 2. Aim</w:t>
            </w:r>
          </w:p>
        </w:tc>
        <w:tc>
          <w:tcPr>
            <w:tcW w:w="1484" w:type="pct"/>
            <w:shd w:val="clear" w:color="auto" w:fill="auto"/>
            <w:tcMar>
              <w:top w:w="17" w:type="dxa"/>
              <w:left w:w="58" w:type="dxa"/>
              <w:bottom w:w="0" w:type="dxa"/>
              <w:right w:w="58" w:type="dxa"/>
            </w:tcMar>
            <w:vAlign w:val="center"/>
          </w:tcPr>
          <w:p w14:paraId="218FE5DB" w14:textId="77777777" w:rsidR="005C3D48" w:rsidRPr="00411D9E" w:rsidRDefault="005C3D48" w:rsidP="00EE4113">
            <w:pPr>
              <w:jc w:val="center"/>
            </w:pPr>
            <w:r w:rsidRPr="00411D9E">
              <w:t>Met</w:t>
            </w:r>
          </w:p>
        </w:tc>
        <w:tc>
          <w:tcPr>
            <w:tcW w:w="1469" w:type="pct"/>
            <w:shd w:val="clear" w:color="auto" w:fill="auto"/>
            <w:tcMar>
              <w:top w:w="17" w:type="dxa"/>
              <w:left w:w="58" w:type="dxa"/>
              <w:bottom w:w="0" w:type="dxa"/>
              <w:right w:w="58" w:type="dxa"/>
            </w:tcMar>
            <w:vAlign w:val="center"/>
          </w:tcPr>
          <w:p w14:paraId="2871D069" w14:textId="77777777" w:rsidR="005C3D48" w:rsidRPr="00411D9E" w:rsidRDefault="005C3D48" w:rsidP="00EE4113">
            <w:pPr>
              <w:jc w:val="center"/>
            </w:pPr>
            <w:r w:rsidRPr="00411D9E">
              <w:t>Met</w:t>
            </w:r>
          </w:p>
        </w:tc>
      </w:tr>
      <w:tr w:rsidR="005C3D48" w:rsidRPr="00411D9E" w14:paraId="600A167A" w14:textId="77777777" w:rsidTr="00EE4113">
        <w:trPr>
          <w:trHeight w:val="288"/>
        </w:trPr>
        <w:tc>
          <w:tcPr>
            <w:tcW w:w="2047" w:type="pct"/>
            <w:tcMar>
              <w:top w:w="17" w:type="dxa"/>
              <w:left w:w="58" w:type="dxa"/>
              <w:bottom w:w="0" w:type="dxa"/>
              <w:right w:w="58" w:type="dxa"/>
            </w:tcMar>
            <w:vAlign w:val="center"/>
          </w:tcPr>
          <w:p w14:paraId="2909B875"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t>Element 3. Methodology</w:t>
            </w:r>
          </w:p>
        </w:tc>
        <w:tc>
          <w:tcPr>
            <w:tcW w:w="1484" w:type="pct"/>
            <w:shd w:val="clear" w:color="auto" w:fill="auto"/>
            <w:tcMar>
              <w:top w:w="17" w:type="dxa"/>
              <w:left w:w="58" w:type="dxa"/>
              <w:bottom w:w="0" w:type="dxa"/>
              <w:right w:w="58" w:type="dxa"/>
            </w:tcMar>
            <w:vAlign w:val="center"/>
          </w:tcPr>
          <w:p w14:paraId="74F61926" w14:textId="77777777" w:rsidR="005C3D48" w:rsidRPr="00411D9E" w:rsidRDefault="005C3D48" w:rsidP="00EE4113">
            <w:pPr>
              <w:jc w:val="center"/>
            </w:pPr>
            <w:r w:rsidRPr="00411D9E">
              <w:t>Met</w:t>
            </w:r>
          </w:p>
        </w:tc>
        <w:tc>
          <w:tcPr>
            <w:tcW w:w="1469" w:type="pct"/>
            <w:shd w:val="clear" w:color="auto" w:fill="auto"/>
            <w:tcMar>
              <w:top w:w="17" w:type="dxa"/>
              <w:left w:w="58" w:type="dxa"/>
              <w:bottom w:w="0" w:type="dxa"/>
              <w:right w:w="58" w:type="dxa"/>
            </w:tcMar>
            <w:vAlign w:val="center"/>
          </w:tcPr>
          <w:p w14:paraId="202FACEF" w14:textId="77777777" w:rsidR="005C3D48" w:rsidRPr="00411D9E" w:rsidRDefault="005C3D48" w:rsidP="00EE4113">
            <w:pPr>
              <w:jc w:val="center"/>
            </w:pPr>
            <w:r w:rsidRPr="00411D9E">
              <w:t>Met</w:t>
            </w:r>
          </w:p>
        </w:tc>
      </w:tr>
      <w:tr w:rsidR="005C3D48" w:rsidRPr="00411D9E" w14:paraId="20B96DA8" w14:textId="77777777" w:rsidTr="00EE4113">
        <w:trPr>
          <w:trHeight w:val="288"/>
        </w:trPr>
        <w:tc>
          <w:tcPr>
            <w:tcW w:w="2047" w:type="pct"/>
            <w:tcMar>
              <w:top w:w="17" w:type="dxa"/>
              <w:left w:w="58" w:type="dxa"/>
              <w:bottom w:w="0" w:type="dxa"/>
              <w:right w:w="58" w:type="dxa"/>
            </w:tcMar>
            <w:vAlign w:val="center"/>
          </w:tcPr>
          <w:p w14:paraId="7E0D355C"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t>Element 4. Barrier Analysis</w:t>
            </w:r>
          </w:p>
        </w:tc>
        <w:tc>
          <w:tcPr>
            <w:tcW w:w="1484" w:type="pct"/>
            <w:shd w:val="clear" w:color="auto" w:fill="auto"/>
            <w:tcMar>
              <w:top w:w="17" w:type="dxa"/>
              <w:left w:w="58" w:type="dxa"/>
              <w:bottom w:w="0" w:type="dxa"/>
              <w:right w:w="58" w:type="dxa"/>
            </w:tcMar>
            <w:vAlign w:val="center"/>
          </w:tcPr>
          <w:p w14:paraId="5BC511F7" w14:textId="77777777" w:rsidR="005C3D48" w:rsidRPr="00411D9E" w:rsidRDefault="005C3D48" w:rsidP="00EE4113">
            <w:pPr>
              <w:jc w:val="center"/>
            </w:pPr>
            <w:r w:rsidRPr="00411D9E">
              <w:t>Met</w:t>
            </w:r>
          </w:p>
        </w:tc>
        <w:tc>
          <w:tcPr>
            <w:tcW w:w="1469" w:type="pct"/>
            <w:shd w:val="clear" w:color="auto" w:fill="auto"/>
            <w:tcMar>
              <w:top w:w="17" w:type="dxa"/>
              <w:left w:w="58" w:type="dxa"/>
              <w:bottom w:w="0" w:type="dxa"/>
              <w:right w:w="58" w:type="dxa"/>
            </w:tcMar>
            <w:vAlign w:val="center"/>
          </w:tcPr>
          <w:p w14:paraId="324F2133" w14:textId="77777777" w:rsidR="005C3D48" w:rsidRPr="00411D9E" w:rsidRDefault="005C3D48" w:rsidP="00EE4113">
            <w:pPr>
              <w:jc w:val="center"/>
            </w:pPr>
            <w:r w:rsidRPr="00411D9E">
              <w:t>Met</w:t>
            </w:r>
          </w:p>
        </w:tc>
      </w:tr>
      <w:tr w:rsidR="005C3D48" w:rsidRPr="00411D9E" w14:paraId="262AE3EA" w14:textId="77777777" w:rsidTr="00EE4113">
        <w:trPr>
          <w:trHeight w:val="288"/>
        </w:trPr>
        <w:tc>
          <w:tcPr>
            <w:tcW w:w="2047" w:type="pct"/>
            <w:tcMar>
              <w:top w:w="17" w:type="dxa"/>
              <w:left w:w="58" w:type="dxa"/>
              <w:bottom w:w="0" w:type="dxa"/>
              <w:right w:w="58" w:type="dxa"/>
            </w:tcMar>
            <w:vAlign w:val="center"/>
          </w:tcPr>
          <w:p w14:paraId="04B08E7E"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t>Element 5. Robust Interventions</w:t>
            </w:r>
          </w:p>
        </w:tc>
        <w:tc>
          <w:tcPr>
            <w:tcW w:w="1484" w:type="pct"/>
            <w:tcBorders>
              <w:bottom w:val="single" w:sz="4" w:space="0" w:color="auto"/>
            </w:tcBorders>
            <w:shd w:val="clear" w:color="auto" w:fill="auto"/>
            <w:tcMar>
              <w:top w:w="17" w:type="dxa"/>
              <w:left w:w="58" w:type="dxa"/>
              <w:bottom w:w="0" w:type="dxa"/>
              <w:right w:w="58" w:type="dxa"/>
            </w:tcMar>
            <w:vAlign w:val="center"/>
          </w:tcPr>
          <w:p w14:paraId="04571DB1" w14:textId="3B2A4570" w:rsidR="005C3D48" w:rsidRPr="00411D9E" w:rsidRDefault="00E45F45" w:rsidP="00EE4113">
            <w:pPr>
              <w:jc w:val="center"/>
            </w:pPr>
            <w:r>
              <w:t>Partially Met</w:t>
            </w:r>
          </w:p>
        </w:tc>
        <w:tc>
          <w:tcPr>
            <w:tcW w:w="1469" w:type="pct"/>
            <w:tcBorders>
              <w:bottom w:val="single" w:sz="4" w:space="0" w:color="auto"/>
            </w:tcBorders>
            <w:shd w:val="clear" w:color="auto" w:fill="auto"/>
            <w:tcMar>
              <w:top w:w="17" w:type="dxa"/>
              <w:left w:w="58" w:type="dxa"/>
              <w:bottom w:w="0" w:type="dxa"/>
              <w:right w:w="58" w:type="dxa"/>
            </w:tcMar>
            <w:vAlign w:val="center"/>
          </w:tcPr>
          <w:p w14:paraId="1D1ABF55" w14:textId="5FB6AF67" w:rsidR="005C3D48" w:rsidRPr="00411D9E" w:rsidRDefault="00E45F45" w:rsidP="00EE4113">
            <w:pPr>
              <w:jc w:val="center"/>
            </w:pPr>
            <w:r>
              <w:t>Partially Met</w:t>
            </w:r>
          </w:p>
        </w:tc>
      </w:tr>
      <w:tr w:rsidR="005C3D48" w:rsidRPr="00411D9E" w14:paraId="5E0E658A" w14:textId="77777777" w:rsidTr="00EE4113">
        <w:trPr>
          <w:trHeight w:val="288"/>
        </w:trPr>
        <w:tc>
          <w:tcPr>
            <w:tcW w:w="2047" w:type="pct"/>
            <w:shd w:val="clear" w:color="auto" w:fill="auto"/>
            <w:tcMar>
              <w:top w:w="17" w:type="dxa"/>
              <w:left w:w="58" w:type="dxa"/>
              <w:bottom w:w="0" w:type="dxa"/>
              <w:right w:w="58" w:type="dxa"/>
            </w:tcMar>
            <w:vAlign w:val="center"/>
          </w:tcPr>
          <w:p w14:paraId="56765F26"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t>Element 6. Results Table</w:t>
            </w:r>
          </w:p>
        </w:tc>
        <w:tc>
          <w:tcPr>
            <w:tcW w:w="1484" w:type="pct"/>
            <w:shd w:val="clear" w:color="auto" w:fill="auto"/>
            <w:tcMar>
              <w:top w:w="17" w:type="dxa"/>
              <w:left w:w="58" w:type="dxa"/>
              <w:bottom w:w="0" w:type="dxa"/>
              <w:right w:w="58" w:type="dxa"/>
            </w:tcMar>
            <w:vAlign w:val="center"/>
          </w:tcPr>
          <w:p w14:paraId="162D182A" w14:textId="77777777" w:rsidR="005C3D48" w:rsidRPr="00411D9E" w:rsidRDefault="005C3D48" w:rsidP="00EE4113">
            <w:pPr>
              <w:jc w:val="center"/>
              <w:rPr>
                <w:rFonts w:eastAsia="Arial Unicode MS" w:cs="Arial"/>
              </w:rPr>
            </w:pPr>
            <w:r w:rsidRPr="00411D9E">
              <w:rPr>
                <w:rFonts w:eastAsia="Arial Unicode MS" w:cs="Arial"/>
              </w:rPr>
              <w:t>Met</w:t>
            </w:r>
          </w:p>
        </w:tc>
        <w:tc>
          <w:tcPr>
            <w:tcW w:w="1469" w:type="pct"/>
            <w:shd w:val="clear" w:color="auto" w:fill="auto"/>
            <w:tcMar>
              <w:top w:w="17" w:type="dxa"/>
              <w:left w:w="58" w:type="dxa"/>
              <w:bottom w:w="0" w:type="dxa"/>
              <w:right w:w="58" w:type="dxa"/>
            </w:tcMar>
            <w:vAlign w:val="center"/>
          </w:tcPr>
          <w:p w14:paraId="5B04B130" w14:textId="7E73FAD3" w:rsidR="005C3D48" w:rsidRPr="00411D9E" w:rsidRDefault="00E45F45" w:rsidP="00EE4113">
            <w:pPr>
              <w:jc w:val="center"/>
              <w:rPr>
                <w:rFonts w:eastAsia="Arial Unicode MS" w:cs="Arial"/>
              </w:rPr>
            </w:pPr>
            <w:r>
              <w:rPr>
                <w:rFonts w:eastAsia="Arial Unicode MS" w:cs="Arial"/>
              </w:rPr>
              <w:t>Partially Met</w:t>
            </w:r>
          </w:p>
        </w:tc>
      </w:tr>
      <w:tr w:rsidR="005C3D48" w:rsidRPr="00411D9E" w14:paraId="1923D9FA" w14:textId="77777777" w:rsidTr="00EE4113">
        <w:trPr>
          <w:trHeight w:val="288"/>
        </w:trPr>
        <w:tc>
          <w:tcPr>
            <w:tcW w:w="2047" w:type="pct"/>
            <w:shd w:val="clear" w:color="auto" w:fill="auto"/>
            <w:tcMar>
              <w:top w:w="17" w:type="dxa"/>
              <w:left w:w="58" w:type="dxa"/>
              <w:bottom w:w="0" w:type="dxa"/>
              <w:right w:w="58" w:type="dxa"/>
            </w:tcMar>
            <w:vAlign w:val="center"/>
          </w:tcPr>
          <w:p w14:paraId="695A3692" w14:textId="77777777" w:rsidR="005C3D48" w:rsidRPr="00411D9E" w:rsidRDefault="005C3D48" w:rsidP="00EE4113">
            <w:pPr>
              <w:ind w:left="331"/>
              <w:contextualSpacing/>
              <w:jc w:val="left"/>
              <w:rPr>
                <w:rFonts w:ascii="Calibri" w:eastAsia="PMingLiU" w:hAnsi="Calibri" w:cs="Times New Roman"/>
                <w:lang w:bidi="ar-SA"/>
              </w:rPr>
            </w:pPr>
            <w:r w:rsidRPr="00411D9E">
              <w:rPr>
                <w:rFonts w:ascii="Calibri" w:eastAsia="PMingLiU" w:hAnsi="Calibri" w:cs="Times New Roman"/>
                <w:lang w:bidi="ar-SA"/>
              </w:rPr>
              <w:t>Element 7. Discussion and Validity of Reported Improvement</w:t>
            </w:r>
          </w:p>
        </w:tc>
        <w:tc>
          <w:tcPr>
            <w:tcW w:w="1484" w:type="pct"/>
            <w:shd w:val="clear" w:color="auto" w:fill="auto"/>
            <w:tcMar>
              <w:top w:w="17" w:type="dxa"/>
              <w:left w:w="58" w:type="dxa"/>
              <w:bottom w:w="0" w:type="dxa"/>
              <w:right w:w="58" w:type="dxa"/>
            </w:tcMar>
            <w:vAlign w:val="center"/>
          </w:tcPr>
          <w:p w14:paraId="44EC7E44" w14:textId="77777777" w:rsidR="005C3D48" w:rsidRPr="00411D9E" w:rsidRDefault="005C3D48" w:rsidP="00EE4113">
            <w:pPr>
              <w:jc w:val="center"/>
              <w:rPr>
                <w:rFonts w:eastAsia="Arial Unicode MS" w:cs="Arial"/>
              </w:rPr>
            </w:pPr>
            <w:r w:rsidRPr="00411D9E">
              <w:rPr>
                <w:rFonts w:eastAsia="Arial Unicode MS" w:cs="Arial"/>
              </w:rPr>
              <w:t>Met</w:t>
            </w:r>
          </w:p>
        </w:tc>
        <w:tc>
          <w:tcPr>
            <w:tcW w:w="1469" w:type="pct"/>
            <w:shd w:val="clear" w:color="auto" w:fill="auto"/>
            <w:tcMar>
              <w:top w:w="17" w:type="dxa"/>
              <w:left w:w="58" w:type="dxa"/>
              <w:bottom w:w="0" w:type="dxa"/>
              <w:right w:w="58" w:type="dxa"/>
            </w:tcMar>
            <w:vAlign w:val="center"/>
          </w:tcPr>
          <w:p w14:paraId="3FB4E0E0" w14:textId="77777777" w:rsidR="005C3D48" w:rsidRPr="00411D9E" w:rsidRDefault="005C3D48" w:rsidP="00EE4113">
            <w:pPr>
              <w:jc w:val="center"/>
              <w:rPr>
                <w:rFonts w:eastAsia="Arial Unicode MS" w:cs="Arial"/>
              </w:rPr>
            </w:pPr>
            <w:r w:rsidRPr="00411D9E">
              <w:rPr>
                <w:rFonts w:eastAsia="Arial Unicode MS" w:cs="Arial"/>
              </w:rPr>
              <w:t>Met</w:t>
            </w:r>
          </w:p>
        </w:tc>
      </w:tr>
    </w:tbl>
    <w:p w14:paraId="3C16643E" w14:textId="67297625" w:rsidR="005C3D48" w:rsidRPr="00411D9E" w:rsidRDefault="00167E64" w:rsidP="00A60B24">
      <w:pPr>
        <w:rPr>
          <w:sz w:val="20"/>
          <w:szCs w:val="20"/>
        </w:rPr>
      </w:pPr>
      <w:r w:rsidRPr="00411D9E">
        <w:rPr>
          <w:sz w:val="20"/>
          <w:szCs w:val="20"/>
        </w:rPr>
        <w:t>PIP: performance improvement project.</w:t>
      </w:r>
    </w:p>
    <w:p w14:paraId="2625E064" w14:textId="77777777" w:rsidR="005243E4" w:rsidRPr="00411D9E" w:rsidRDefault="005243E4">
      <w:pPr>
        <w:rPr>
          <w:rFonts w:asciiTheme="majorHAnsi" w:eastAsiaTheme="majorEastAsia" w:hAnsiTheme="majorHAnsi" w:cstheme="majorBidi"/>
          <w:b/>
          <w:bCs/>
          <w:color w:val="365F91" w:themeColor="accent1" w:themeShade="BF"/>
          <w:sz w:val="28"/>
          <w:szCs w:val="28"/>
        </w:rPr>
      </w:pPr>
      <w:bookmarkStart w:id="39" w:name="_Toc70508371"/>
      <w:r w:rsidRPr="00411D9E">
        <w:br w:type="page"/>
      </w:r>
    </w:p>
    <w:p w14:paraId="496EEAD4" w14:textId="6F18D164" w:rsidR="005C3D48" w:rsidRPr="00411D9E" w:rsidRDefault="005C3D48" w:rsidP="005C3D48">
      <w:pPr>
        <w:pStyle w:val="Heading1"/>
        <w:spacing w:before="0"/>
      </w:pPr>
      <w:bookmarkStart w:id="40" w:name="_Toc99026944"/>
      <w:r w:rsidRPr="00411D9E">
        <w:lastRenderedPageBreak/>
        <w:t>II: Performance Measures and CAHPS Survey</w:t>
      </w:r>
      <w:bookmarkEnd w:id="39"/>
      <w:bookmarkEnd w:id="40"/>
      <w:r w:rsidRPr="00411D9E">
        <w:rPr>
          <w:lang w:eastAsia="zh-TW"/>
        </w:rPr>
        <w:t xml:space="preserve"> </w:t>
      </w:r>
    </w:p>
    <w:p w14:paraId="3F339611" w14:textId="686049A6" w:rsidR="005C3D48" w:rsidRPr="00411D9E" w:rsidRDefault="00BA39B8" w:rsidP="005C3D48">
      <w:pPr>
        <w:pStyle w:val="Heading2"/>
      </w:pPr>
      <w:bookmarkStart w:id="41" w:name="_Toc99026945"/>
      <w:r w:rsidRPr="00411D9E">
        <w:t>Objectives</w:t>
      </w:r>
      <w:bookmarkEnd w:id="41"/>
    </w:p>
    <w:p w14:paraId="3910D5DB" w14:textId="77777777" w:rsidR="005C3D48" w:rsidRPr="00411D9E" w:rsidRDefault="005C3D48" w:rsidP="005C3D48">
      <w:pPr>
        <w:spacing w:before="200"/>
        <w:jc w:val="left"/>
      </w:pPr>
      <w:bookmarkStart w:id="42" w:name="_Toc441484443"/>
      <w:bookmarkStart w:id="43" w:name="_Toc442200315"/>
      <w:bookmarkStart w:id="44" w:name="_Toc68527459"/>
      <w:r w:rsidRPr="00411D9E">
        <w:t xml:space="preserve">IPRO validated PA-specific performance measures and </w:t>
      </w:r>
      <w:r w:rsidRPr="00411D9E">
        <w:rPr>
          <w:rFonts w:cs="Arial"/>
        </w:rPr>
        <w:t>HEDIS</w:t>
      </w:r>
      <w:r w:rsidRPr="00411D9E">
        <w:t xml:space="preserve"> data for each of the CHIP MCOs.</w:t>
      </w:r>
    </w:p>
    <w:p w14:paraId="55E8F791" w14:textId="77777777" w:rsidR="005C3D48" w:rsidRPr="00411D9E" w:rsidRDefault="005C3D48" w:rsidP="005C3D48"/>
    <w:p w14:paraId="656E5AAD" w14:textId="77777777" w:rsidR="005C3D48" w:rsidRPr="00411D9E" w:rsidRDefault="005C3D48" w:rsidP="005C3D48">
      <w:r w:rsidRPr="00411D9E">
        <w:t xml:space="preserve">The MCOs were provided with final specifications for the PA Performance Measures in May 2021. Source code, raw data, and rate sheets were submitted by the MCOs to IPRO for review in 2021. IPRO conducted an initial validation of each measure including source code review and provided each MCO with formal written feedback. The MCOs were then given the opportunity for resubmission, if necessary, with a limit of four total submissions. Additional resubmissions required discussion with and approval from DHS. Pseudo code was reviewed by IPRO. Raw data were also reviewed for reasonability, and IPRO ran validation code against these data to validate that the final reported rates were accurate. Additionally, MCOs were provided with comparisons to the previous year’s rates and were requested to provide explanations for highlighted differences. Differences were highlighted for rates that were statistically significant and displayed at least a 3-percentage point difference in observed rates. </w:t>
      </w:r>
    </w:p>
    <w:p w14:paraId="5599995B" w14:textId="77777777" w:rsidR="005C3D48" w:rsidRPr="00411D9E" w:rsidRDefault="005C3D48" w:rsidP="005C3D48"/>
    <w:p w14:paraId="009D113A" w14:textId="77777777" w:rsidR="005C3D48" w:rsidRPr="00411D9E" w:rsidRDefault="005C3D48" w:rsidP="005C3D48">
      <w:r w:rsidRPr="00411D9E">
        <w:t>HEDIS MY 2020 measures were validated through a standard HEDIS compliance audit of each MCO. This audit includes pre-onsite review of the HEDIS Roadmap, onsite interviews with staff and a review of systems, and post-onsite validation of the Interactive Data Submission System (IDSS). HEDIS MY 2020 audit activities were performed virtually due to the public health emergency. A Final Audit Report was submitted to NCQA for each MCO per NCQA guidelines in July following completion of audit activities. Because the PA-specific performance measures rely on the same systems and staff, no separate review was necessary for validation of PA-specific measures. IPRO conducts a thorough review and validation of source code, data, and submitted rates for the PA-specific measures.</w:t>
      </w:r>
    </w:p>
    <w:p w14:paraId="24AA9764" w14:textId="77777777" w:rsidR="005C3D48" w:rsidRPr="00411D9E" w:rsidRDefault="005C3D48" w:rsidP="005C3D48"/>
    <w:p w14:paraId="3F7EAF72" w14:textId="77777777" w:rsidR="005C3D48" w:rsidRPr="00411D9E" w:rsidRDefault="005C3D48" w:rsidP="005C3D48">
      <w:r w:rsidRPr="00411D9E">
        <w:t xml:space="preserve">Evaluation of MCO performance is based on both PA-specific performance measures and selected </w:t>
      </w:r>
      <w:r w:rsidRPr="00411D9E">
        <w:rPr>
          <w:rFonts w:cs="Arial"/>
        </w:rPr>
        <w:t>HEDIS</w:t>
      </w:r>
      <w:r w:rsidRPr="00411D9E">
        <w:t xml:space="preserve"> measures for the EQR. A list of the performance measures included in this year’s EQR report is presented in </w:t>
      </w:r>
      <w:r w:rsidRPr="00411D9E">
        <w:rPr>
          <w:b/>
        </w:rPr>
        <w:t>Table 2.1</w:t>
      </w:r>
      <w:r w:rsidRPr="00411D9E">
        <w:t>.</w:t>
      </w:r>
      <w:bookmarkStart w:id="45" w:name="_Toc37422479"/>
      <w:bookmarkEnd w:id="42"/>
      <w:bookmarkEnd w:id="43"/>
    </w:p>
    <w:p w14:paraId="7A1D7EC4" w14:textId="77777777" w:rsidR="005C3D48" w:rsidRPr="00411D9E" w:rsidRDefault="005C3D48" w:rsidP="005C3D48">
      <w:pPr>
        <w:pStyle w:val="tableheading"/>
      </w:pPr>
      <w:bookmarkStart w:id="46" w:name="_Toc70508409"/>
      <w:bookmarkStart w:id="47" w:name="_Toc99026986"/>
      <w:bookmarkEnd w:id="45"/>
      <w:r w:rsidRPr="00411D9E">
        <w:t>Table 2.1: Performance Measure Groupings</w:t>
      </w:r>
      <w:bookmarkEnd w:id="44"/>
      <w:bookmarkEnd w:id="46"/>
      <w:bookmarkEnd w:id="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98"/>
        <w:gridCol w:w="9692"/>
      </w:tblGrid>
      <w:tr w:rsidR="005C3D48" w:rsidRPr="00411D9E" w14:paraId="0BE2F222" w14:textId="77777777" w:rsidTr="00BC297A">
        <w:trPr>
          <w:cantSplit/>
          <w:trHeight w:val="20"/>
          <w:tblHeader/>
          <w:jc w:val="center"/>
        </w:trPr>
        <w:tc>
          <w:tcPr>
            <w:tcW w:w="509" w:type="pct"/>
            <w:shd w:val="clear" w:color="auto" w:fill="5F497A" w:themeFill="accent4" w:themeFillShade="BF"/>
          </w:tcPr>
          <w:p w14:paraId="58951F56" w14:textId="77777777" w:rsidR="005C3D48" w:rsidRPr="00411D9E" w:rsidRDefault="005C3D48" w:rsidP="00FF262E">
            <w:pPr>
              <w:jc w:val="left"/>
              <w:rPr>
                <w:rFonts w:eastAsia="Times New Roman" w:cstheme="minorHAnsi"/>
                <w:b/>
                <w:bCs/>
                <w:color w:val="FFFFFF" w:themeColor="background1"/>
              </w:rPr>
            </w:pPr>
            <w:r w:rsidRPr="00411D9E">
              <w:rPr>
                <w:rFonts w:eastAsia="Times New Roman" w:cstheme="minorHAnsi"/>
                <w:b/>
                <w:bCs/>
                <w:color w:val="FFFFFF" w:themeColor="background1"/>
              </w:rPr>
              <w:t>Source</w:t>
            </w:r>
          </w:p>
        </w:tc>
        <w:tc>
          <w:tcPr>
            <w:tcW w:w="4491" w:type="pct"/>
            <w:shd w:val="clear" w:color="auto" w:fill="5F497A" w:themeFill="accent4" w:themeFillShade="BF"/>
          </w:tcPr>
          <w:p w14:paraId="6BE00313" w14:textId="77777777" w:rsidR="005C3D48" w:rsidRPr="00411D9E" w:rsidRDefault="005C3D48" w:rsidP="00FF262E">
            <w:pPr>
              <w:jc w:val="left"/>
              <w:rPr>
                <w:rFonts w:eastAsia="Times New Roman" w:cstheme="minorHAnsi"/>
                <w:b/>
                <w:bCs/>
                <w:color w:val="FFFFFF" w:themeColor="background1"/>
              </w:rPr>
            </w:pPr>
            <w:r w:rsidRPr="00411D9E">
              <w:rPr>
                <w:rFonts w:eastAsia="Times New Roman" w:cstheme="minorHAnsi"/>
                <w:b/>
                <w:bCs/>
                <w:color w:val="FFFFFF" w:themeColor="background1"/>
              </w:rPr>
              <w:t>Measures</w:t>
            </w:r>
          </w:p>
        </w:tc>
      </w:tr>
      <w:tr w:rsidR="005C3D48" w:rsidRPr="00411D9E" w14:paraId="02DEEBDE" w14:textId="77777777" w:rsidTr="00BC297A">
        <w:trPr>
          <w:cantSplit/>
          <w:trHeight w:val="20"/>
          <w:jc w:val="center"/>
        </w:trPr>
        <w:tc>
          <w:tcPr>
            <w:tcW w:w="5000" w:type="pct"/>
            <w:gridSpan w:val="2"/>
            <w:shd w:val="clear" w:color="auto" w:fill="CCC0D9" w:themeFill="accent4" w:themeFillTint="66"/>
            <w:vAlign w:val="center"/>
          </w:tcPr>
          <w:p w14:paraId="1C6FAA24" w14:textId="77777777" w:rsidR="005C3D48" w:rsidRPr="00411D9E" w:rsidRDefault="005C3D48" w:rsidP="00FF262E">
            <w:pPr>
              <w:rPr>
                <w:rFonts w:cstheme="minorHAnsi"/>
                <w:color w:val="000000" w:themeColor="text1"/>
              </w:rPr>
            </w:pPr>
            <w:bookmarkStart w:id="48" w:name="_Toc319061123"/>
            <w:bookmarkStart w:id="49" w:name="_Toc384162329"/>
            <w:bookmarkStart w:id="50" w:name="_Toc417036743"/>
            <w:bookmarkStart w:id="51" w:name="_Toc447022724"/>
            <w:bookmarkStart w:id="52" w:name="_Toc447022859"/>
            <w:bookmarkStart w:id="53" w:name="_Toc447023159"/>
            <w:bookmarkStart w:id="54" w:name="_Toc447033103"/>
            <w:bookmarkStart w:id="55" w:name="_Toc447033224"/>
            <w:bookmarkStart w:id="56" w:name="_Toc447033735"/>
            <w:bookmarkStart w:id="57" w:name="_Toc447034002"/>
            <w:bookmarkStart w:id="58" w:name="_Toc447034818"/>
            <w:bookmarkStart w:id="59" w:name="_Toc447725850"/>
            <w:bookmarkStart w:id="60" w:name="_Toc449099969"/>
            <w:r w:rsidRPr="00411D9E">
              <w:rPr>
                <w:rFonts w:cstheme="minorHAnsi"/>
                <w:color w:val="000000" w:themeColor="text1"/>
              </w:rPr>
              <w:t>Access/Availability to Care</w:t>
            </w:r>
            <w:bookmarkEnd w:id="48"/>
            <w:bookmarkEnd w:id="49"/>
            <w:bookmarkEnd w:id="50"/>
            <w:bookmarkEnd w:id="51"/>
            <w:bookmarkEnd w:id="52"/>
            <w:bookmarkEnd w:id="53"/>
            <w:bookmarkEnd w:id="54"/>
            <w:bookmarkEnd w:id="55"/>
            <w:bookmarkEnd w:id="56"/>
            <w:bookmarkEnd w:id="57"/>
            <w:bookmarkEnd w:id="58"/>
            <w:bookmarkEnd w:id="59"/>
            <w:bookmarkEnd w:id="60"/>
          </w:p>
        </w:tc>
      </w:tr>
      <w:tr w:rsidR="005C3D48" w:rsidRPr="00411D9E" w14:paraId="442CE637" w14:textId="77777777" w:rsidTr="00BC297A">
        <w:trPr>
          <w:cantSplit/>
          <w:trHeight w:val="20"/>
          <w:jc w:val="center"/>
        </w:trPr>
        <w:tc>
          <w:tcPr>
            <w:tcW w:w="509" w:type="pct"/>
            <w:vAlign w:val="center"/>
          </w:tcPr>
          <w:p w14:paraId="3D0B4D62"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75A4891C" w14:textId="77777777" w:rsidR="005C3D48" w:rsidRPr="00411D9E" w:rsidRDefault="005C3D48" w:rsidP="00FF262E">
            <w:pPr>
              <w:jc w:val="left"/>
              <w:rPr>
                <w:rFonts w:eastAsia="Times New Roman" w:cstheme="minorHAnsi"/>
              </w:rPr>
            </w:pPr>
            <w:r w:rsidRPr="00411D9E">
              <w:rPr>
                <w:rFonts w:eastAsia="Times New Roman" w:cstheme="minorHAnsi"/>
              </w:rPr>
              <w:t xml:space="preserve">Contraceptive Care for All Women (Age 15–20 years): Most/Moderately Effective </w:t>
            </w:r>
          </w:p>
        </w:tc>
      </w:tr>
      <w:tr w:rsidR="005C3D48" w:rsidRPr="00411D9E" w14:paraId="19BA25D3" w14:textId="77777777" w:rsidTr="00BC297A">
        <w:trPr>
          <w:cantSplit/>
          <w:trHeight w:val="20"/>
          <w:jc w:val="center"/>
        </w:trPr>
        <w:tc>
          <w:tcPr>
            <w:tcW w:w="509" w:type="pct"/>
            <w:vAlign w:val="center"/>
          </w:tcPr>
          <w:p w14:paraId="0988AD51"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5B6DAE07" w14:textId="77777777" w:rsidR="005C3D48" w:rsidRPr="00411D9E" w:rsidRDefault="005C3D48" w:rsidP="00FF262E">
            <w:pPr>
              <w:jc w:val="left"/>
              <w:rPr>
                <w:rFonts w:eastAsia="Times New Roman" w:cstheme="minorHAnsi"/>
              </w:rPr>
            </w:pPr>
            <w:r w:rsidRPr="00411D9E">
              <w:rPr>
                <w:rFonts w:eastAsia="Times New Roman" w:cstheme="minorHAnsi"/>
              </w:rPr>
              <w:t xml:space="preserve">Contraceptive Care for All Women (Age 15–20 years): LARC </w:t>
            </w:r>
          </w:p>
        </w:tc>
      </w:tr>
      <w:tr w:rsidR="005C3D48" w:rsidRPr="00411D9E" w14:paraId="5951D310" w14:textId="77777777" w:rsidTr="00BC297A">
        <w:trPr>
          <w:cantSplit/>
          <w:trHeight w:val="20"/>
          <w:jc w:val="center"/>
        </w:trPr>
        <w:tc>
          <w:tcPr>
            <w:tcW w:w="509" w:type="pct"/>
            <w:vAlign w:val="center"/>
          </w:tcPr>
          <w:p w14:paraId="1549DCFB"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4DAF4E0B" w14:textId="77777777" w:rsidR="005C3D48" w:rsidRPr="00411D9E" w:rsidRDefault="005C3D48" w:rsidP="00FF262E">
            <w:pPr>
              <w:jc w:val="left"/>
              <w:rPr>
                <w:rFonts w:eastAsia="Times New Roman" w:cstheme="minorHAnsi"/>
              </w:rPr>
            </w:pPr>
            <w:r w:rsidRPr="00411D9E">
              <w:rPr>
                <w:rFonts w:eastAsia="Times New Roman" w:cstheme="minorHAnsi"/>
              </w:rPr>
              <w:t xml:space="preserve">Contraceptive Care for Postpartum Women (Age 15–20 years): Most/Moderately Effective—3 days </w:t>
            </w:r>
          </w:p>
        </w:tc>
      </w:tr>
      <w:tr w:rsidR="005C3D48" w:rsidRPr="00411D9E" w14:paraId="51300147" w14:textId="77777777" w:rsidTr="00BC297A">
        <w:trPr>
          <w:cantSplit/>
          <w:trHeight w:val="20"/>
          <w:jc w:val="center"/>
        </w:trPr>
        <w:tc>
          <w:tcPr>
            <w:tcW w:w="509" w:type="pct"/>
            <w:vAlign w:val="center"/>
          </w:tcPr>
          <w:p w14:paraId="331AE933"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2A7121F2" w14:textId="77777777" w:rsidR="005C3D48" w:rsidRPr="00411D9E" w:rsidRDefault="005C3D48" w:rsidP="00FF262E">
            <w:pPr>
              <w:jc w:val="left"/>
              <w:rPr>
                <w:rFonts w:eastAsia="Times New Roman" w:cstheme="minorHAnsi"/>
              </w:rPr>
            </w:pPr>
            <w:r w:rsidRPr="00411D9E">
              <w:rPr>
                <w:rFonts w:eastAsia="Times New Roman" w:cstheme="minorHAnsi"/>
              </w:rPr>
              <w:t xml:space="preserve">Contraceptive Care for Postpartum Women (Age 15–20 years): Most/Moderately Effective—60 days </w:t>
            </w:r>
          </w:p>
        </w:tc>
      </w:tr>
      <w:tr w:rsidR="005C3D48" w:rsidRPr="00411D9E" w14:paraId="38BD046E" w14:textId="77777777" w:rsidTr="00BC297A">
        <w:trPr>
          <w:cantSplit/>
          <w:trHeight w:val="20"/>
          <w:jc w:val="center"/>
        </w:trPr>
        <w:tc>
          <w:tcPr>
            <w:tcW w:w="509" w:type="pct"/>
            <w:vAlign w:val="center"/>
          </w:tcPr>
          <w:p w14:paraId="39ADDBC2"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5DD46895" w14:textId="77777777" w:rsidR="005C3D48" w:rsidRPr="00411D9E" w:rsidRDefault="005C3D48" w:rsidP="00FF262E">
            <w:pPr>
              <w:jc w:val="left"/>
              <w:rPr>
                <w:rFonts w:eastAsia="Times New Roman" w:cstheme="minorHAnsi"/>
              </w:rPr>
            </w:pPr>
            <w:r w:rsidRPr="00411D9E">
              <w:rPr>
                <w:rFonts w:eastAsia="Times New Roman" w:cstheme="minorHAnsi"/>
              </w:rPr>
              <w:t xml:space="preserve">Contraceptive Care for Postpartum Women (Age 15–20 years): LARC—3 days </w:t>
            </w:r>
          </w:p>
        </w:tc>
      </w:tr>
      <w:tr w:rsidR="005C3D48" w:rsidRPr="00411D9E" w14:paraId="69F84093" w14:textId="77777777" w:rsidTr="00BC297A">
        <w:trPr>
          <w:cantSplit/>
          <w:trHeight w:val="20"/>
          <w:jc w:val="center"/>
        </w:trPr>
        <w:tc>
          <w:tcPr>
            <w:tcW w:w="509" w:type="pct"/>
            <w:vAlign w:val="center"/>
          </w:tcPr>
          <w:p w14:paraId="465FC3CE"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62E7997D" w14:textId="77777777" w:rsidR="005C3D48" w:rsidRPr="00411D9E" w:rsidRDefault="005C3D48" w:rsidP="00FF262E">
            <w:pPr>
              <w:jc w:val="left"/>
              <w:rPr>
                <w:rFonts w:eastAsia="Times New Roman" w:cstheme="minorHAnsi"/>
              </w:rPr>
            </w:pPr>
            <w:r w:rsidRPr="00411D9E">
              <w:rPr>
                <w:rFonts w:eastAsia="Times New Roman" w:cstheme="minorHAnsi"/>
              </w:rPr>
              <w:t xml:space="preserve">Contraceptive Care for Postpartum Women (Age 15–20 years): LARC—60 days </w:t>
            </w:r>
          </w:p>
        </w:tc>
      </w:tr>
      <w:tr w:rsidR="005C3D48" w:rsidRPr="00411D9E" w14:paraId="729D6B59" w14:textId="77777777" w:rsidTr="00BC297A">
        <w:trPr>
          <w:cantSplit/>
          <w:trHeight w:val="20"/>
          <w:jc w:val="center"/>
        </w:trPr>
        <w:tc>
          <w:tcPr>
            <w:tcW w:w="509" w:type="pct"/>
            <w:vAlign w:val="center"/>
          </w:tcPr>
          <w:p w14:paraId="73D24461"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4963C8A" w14:textId="77777777" w:rsidR="005C3D48" w:rsidRPr="00411D9E" w:rsidRDefault="005C3D48" w:rsidP="00FF262E">
            <w:pPr>
              <w:jc w:val="left"/>
              <w:rPr>
                <w:rFonts w:eastAsia="Times New Roman" w:cstheme="minorHAnsi"/>
              </w:rPr>
            </w:pPr>
            <w:r w:rsidRPr="00411D9E">
              <w:rPr>
                <w:rFonts w:eastAsia="Times New Roman" w:cstheme="minorHAnsi"/>
              </w:rPr>
              <w:t>Pharmacotherapy for Opioid Use Disorder (16–19 years)</w:t>
            </w:r>
          </w:p>
        </w:tc>
      </w:tr>
      <w:tr w:rsidR="005C3D48" w:rsidRPr="00411D9E" w14:paraId="63F25E6A" w14:textId="77777777" w:rsidTr="00BC297A">
        <w:trPr>
          <w:cantSplit/>
          <w:trHeight w:val="20"/>
          <w:jc w:val="center"/>
        </w:trPr>
        <w:tc>
          <w:tcPr>
            <w:tcW w:w="5000" w:type="pct"/>
            <w:gridSpan w:val="2"/>
            <w:shd w:val="clear" w:color="auto" w:fill="CCC0D9" w:themeFill="accent4" w:themeFillTint="66"/>
            <w:vAlign w:val="center"/>
          </w:tcPr>
          <w:p w14:paraId="1C2C20C8" w14:textId="77777777" w:rsidR="005C3D48" w:rsidRPr="00411D9E" w:rsidRDefault="005C3D48" w:rsidP="00FF262E">
            <w:pPr>
              <w:rPr>
                <w:rFonts w:cstheme="minorHAnsi"/>
                <w:color w:val="000000" w:themeColor="text1"/>
              </w:rPr>
            </w:pPr>
            <w:bookmarkStart w:id="61" w:name="_Toc319061124"/>
            <w:bookmarkStart w:id="62" w:name="_Toc384162330"/>
            <w:bookmarkStart w:id="63" w:name="_Toc417036744"/>
            <w:bookmarkStart w:id="64" w:name="_Toc447022725"/>
            <w:bookmarkStart w:id="65" w:name="_Toc447022860"/>
            <w:bookmarkStart w:id="66" w:name="_Toc447023160"/>
            <w:bookmarkStart w:id="67" w:name="_Toc447033104"/>
            <w:bookmarkStart w:id="68" w:name="_Toc447033225"/>
            <w:bookmarkStart w:id="69" w:name="_Toc447033736"/>
            <w:bookmarkStart w:id="70" w:name="_Toc447034003"/>
            <w:bookmarkStart w:id="71" w:name="_Toc447034819"/>
            <w:bookmarkStart w:id="72" w:name="_Toc447725851"/>
            <w:bookmarkStart w:id="73" w:name="_Toc449099970"/>
            <w:r w:rsidRPr="00411D9E">
              <w:rPr>
                <w:rFonts w:cstheme="minorHAnsi"/>
                <w:color w:val="000000" w:themeColor="text1"/>
              </w:rPr>
              <w:t>Well-Care Visits and Immunizations</w:t>
            </w:r>
            <w:bookmarkEnd w:id="61"/>
            <w:bookmarkEnd w:id="62"/>
            <w:bookmarkEnd w:id="63"/>
            <w:bookmarkEnd w:id="64"/>
            <w:bookmarkEnd w:id="65"/>
            <w:bookmarkEnd w:id="66"/>
            <w:bookmarkEnd w:id="67"/>
            <w:bookmarkEnd w:id="68"/>
            <w:bookmarkEnd w:id="69"/>
            <w:bookmarkEnd w:id="70"/>
            <w:bookmarkEnd w:id="71"/>
            <w:bookmarkEnd w:id="72"/>
            <w:bookmarkEnd w:id="73"/>
          </w:p>
        </w:tc>
      </w:tr>
      <w:tr w:rsidR="005C3D48" w:rsidRPr="00411D9E" w14:paraId="1225B9BE" w14:textId="77777777" w:rsidTr="00BC297A">
        <w:trPr>
          <w:cantSplit/>
          <w:trHeight w:val="20"/>
          <w:jc w:val="center"/>
        </w:trPr>
        <w:tc>
          <w:tcPr>
            <w:tcW w:w="509" w:type="pct"/>
            <w:vAlign w:val="center"/>
          </w:tcPr>
          <w:p w14:paraId="641CE677"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3C25AE4"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Children/Adolescents—Body Mass Index Percentile (Age 3–11 years)</w:t>
            </w:r>
          </w:p>
        </w:tc>
      </w:tr>
      <w:tr w:rsidR="005C3D48" w:rsidRPr="00411D9E" w14:paraId="41C93D41" w14:textId="77777777" w:rsidTr="00BC297A">
        <w:trPr>
          <w:cantSplit/>
          <w:trHeight w:val="20"/>
          <w:jc w:val="center"/>
        </w:trPr>
        <w:tc>
          <w:tcPr>
            <w:tcW w:w="509" w:type="pct"/>
            <w:vAlign w:val="center"/>
          </w:tcPr>
          <w:p w14:paraId="4C536A7D"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7292DA7"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Children/Adolescents—Body Mass Index Percentile (Age 12–17 years)</w:t>
            </w:r>
          </w:p>
        </w:tc>
      </w:tr>
      <w:tr w:rsidR="005C3D48" w:rsidRPr="00411D9E" w14:paraId="77169546" w14:textId="77777777" w:rsidTr="00BC297A">
        <w:trPr>
          <w:cantSplit/>
          <w:trHeight w:val="20"/>
          <w:jc w:val="center"/>
        </w:trPr>
        <w:tc>
          <w:tcPr>
            <w:tcW w:w="509" w:type="pct"/>
            <w:vAlign w:val="center"/>
          </w:tcPr>
          <w:p w14:paraId="603FBB6E"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8065C7B"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Children/Adolescents—Body Mass Index Percentile (Total)</w:t>
            </w:r>
          </w:p>
        </w:tc>
      </w:tr>
      <w:tr w:rsidR="005C3D48" w:rsidRPr="00411D9E" w14:paraId="19CDAD89" w14:textId="77777777" w:rsidTr="00BC297A">
        <w:trPr>
          <w:cantSplit/>
          <w:trHeight w:val="20"/>
          <w:jc w:val="center"/>
        </w:trPr>
        <w:tc>
          <w:tcPr>
            <w:tcW w:w="509" w:type="pct"/>
            <w:vAlign w:val="center"/>
          </w:tcPr>
          <w:p w14:paraId="3869A048"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736BBC1" w14:textId="77777777" w:rsidR="005C3D48" w:rsidRPr="00411D9E" w:rsidRDefault="005C3D48" w:rsidP="00FF262E">
            <w:pPr>
              <w:jc w:val="left"/>
              <w:rPr>
                <w:rFonts w:eastAsia="Times New Roman" w:cstheme="minorHAnsi"/>
                <w:bCs/>
              </w:rPr>
            </w:pPr>
            <w:r w:rsidRPr="00411D9E">
              <w:rPr>
                <w:rFonts w:eastAsia="Times New Roman" w:cstheme="minorHAnsi"/>
                <w:bCs/>
              </w:rPr>
              <w:t xml:space="preserve">Weight Assessment and Counseling for Nutrition and Physical Activity for Children/Adolescents—Counseling for Nutrition (Age 3–11 years) </w:t>
            </w:r>
          </w:p>
        </w:tc>
      </w:tr>
      <w:tr w:rsidR="005C3D48" w:rsidRPr="00411D9E" w14:paraId="5B29604B" w14:textId="77777777" w:rsidTr="00BC297A">
        <w:trPr>
          <w:cantSplit/>
          <w:trHeight w:val="20"/>
          <w:jc w:val="center"/>
        </w:trPr>
        <w:tc>
          <w:tcPr>
            <w:tcW w:w="509" w:type="pct"/>
            <w:vAlign w:val="center"/>
          </w:tcPr>
          <w:p w14:paraId="0287331F"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7C0D147"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Children/Adolescents—Counseling for Nutrition (Age 12–17 years)</w:t>
            </w:r>
          </w:p>
        </w:tc>
      </w:tr>
      <w:tr w:rsidR="005C3D48" w:rsidRPr="00411D9E" w14:paraId="6C1EA137" w14:textId="77777777" w:rsidTr="00BC297A">
        <w:trPr>
          <w:cantSplit/>
          <w:trHeight w:val="20"/>
          <w:jc w:val="center"/>
        </w:trPr>
        <w:tc>
          <w:tcPr>
            <w:tcW w:w="509" w:type="pct"/>
            <w:vAlign w:val="center"/>
          </w:tcPr>
          <w:p w14:paraId="5D60035F"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76E4374"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Children/Adolescents—Counseling for Nutrition (Total)</w:t>
            </w:r>
          </w:p>
        </w:tc>
      </w:tr>
      <w:tr w:rsidR="005C3D48" w:rsidRPr="00411D9E" w14:paraId="311EB91B" w14:textId="77777777" w:rsidTr="00BC297A">
        <w:trPr>
          <w:cantSplit/>
          <w:trHeight w:val="20"/>
          <w:jc w:val="center"/>
        </w:trPr>
        <w:tc>
          <w:tcPr>
            <w:tcW w:w="509" w:type="pct"/>
            <w:vAlign w:val="center"/>
          </w:tcPr>
          <w:p w14:paraId="6E1BA048"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4E0DA2D"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Children/Adolescents—Physical Activity (Age 3–11 years)</w:t>
            </w:r>
          </w:p>
        </w:tc>
      </w:tr>
      <w:tr w:rsidR="005C3D48" w:rsidRPr="00411D9E" w14:paraId="4F55404F" w14:textId="77777777" w:rsidTr="00BC297A">
        <w:trPr>
          <w:cantSplit/>
          <w:trHeight w:val="20"/>
          <w:jc w:val="center"/>
        </w:trPr>
        <w:tc>
          <w:tcPr>
            <w:tcW w:w="509" w:type="pct"/>
            <w:vAlign w:val="center"/>
          </w:tcPr>
          <w:p w14:paraId="02B0029A" w14:textId="77777777" w:rsidR="005C3D48" w:rsidRPr="00411D9E" w:rsidRDefault="005C3D48" w:rsidP="00FF262E">
            <w:pPr>
              <w:jc w:val="center"/>
              <w:rPr>
                <w:rFonts w:cstheme="minorHAnsi"/>
              </w:rPr>
            </w:pPr>
            <w:r w:rsidRPr="00411D9E">
              <w:rPr>
                <w:rFonts w:cstheme="minorHAnsi"/>
              </w:rPr>
              <w:lastRenderedPageBreak/>
              <w:t>HEDIS</w:t>
            </w:r>
          </w:p>
        </w:tc>
        <w:tc>
          <w:tcPr>
            <w:tcW w:w="4491" w:type="pct"/>
            <w:vAlign w:val="center"/>
          </w:tcPr>
          <w:p w14:paraId="35606D7E"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Children/Adolescents—Physical Activity (Age 12–17 years)</w:t>
            </w:r>
          </w:p>
        </w:tc>
      </w:tr>
      <w:tr w:rsidR="005C3D48" w:rsidRPr="00411D9E" w14:paraId="6701A026" w14:textId="77777777" w:rsidTr="00BC297A">
        <w:trPr>
          <w:cantSplit/>
          <w:trHeight w:val="20"/>
          <w:jc w:val="center"/>
        </w:trPr>
        <w:tc>
          <w:tcPr>
            <w:tcW w:w="509" w:type="pct"/>
            <w:vAlign w:val="center"/>
          </w:tcPr>
          <w:p w14:paraId="1490F6C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8574513" w14:textId="77777777" w:rsidR="005C3D48" w:rsidRPr="00411D9E" w:rsidRDefault="005C3D48" w:rsidP="00FF262E">
            <w:pPr>
              <w:jc w:val="left"/>
              <w:rPr>
                <w:rFonts w:eastAsia="Times New Roman" w:cstheme="minorHAnsi"/>
                <w:bCs/>
              </w:rPr>
            </w:pPr>
            <w:r w:rsidRPr="00411D9E">
              <w:rPr>
                <w:rFonts w:eastAsia="Times New Roman" w:cstheme="minorHAnsi"/>
                <w:bCs/>
              </w:rPr>
              <w:t>Weight assessment and Counseling for Nutrition and Physical Activity for Children/Adolescents—Physical Activity (Total)</w:t>
            </w:r>
          </w:p>
        </w:tc>
      </w:tr>
      <w:tr w:rsidR="005C3D48" w:rsidRPr="00411D9E" w14:paraId="5923ADFF" w14:textId="77777777" w:rsidTr="00BC297A">
        <w:trPr>
          <w:cantSplit/>
          <w:trHeight w:val="20"/>
          <w:jc w:val="center"/>
        </w:trPr>
        <w:tc>
          <w:tcPr>
            <w:tcW w:w="509" w:type="pct"/>
            <w:vAlign w:val="center"/>
          </w:tcPr>
          <w:p w14:paraId="4469BF20"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7D608FE"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2—DTaP</w:t>
            </w:r>
          </w:p>
        </w:tc>
      </w:tr>
      <w:tr w:rsidR="005C3D48" w:rsidRPr="00411D9E" w14:paraId="643EFC6E" w14:textId="77777777" w:rsidTr="00BC297A">
        <w:trPr>
          <w:cantSplit/>
          <w:trHeight w:val="20"/>
          <w:jc w:val="center"/>
        </w:trPr>
        <w:tc>
          <w:tcPr>
            <w:tcW w:w="509" w:type="pct"/>
            <w:vAlign w:val="center"/>
          </w:tcPr>
          <w:p w14:paraId="48D6F28B"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9238F57"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2—IPV</w:t>
            </w:r>
          </w:p>
        </w:tc>
      </w:tr>
      <w:tr w:rsidR="005C3D48" w:rsidRPr="00411D9E" w14:paraId="5F962669" w14:textId="77777777" w:rsidTr="00BC297A">
        <w:trPr>
          <w:cantSplit/>
          <w:trHeight w:val="20"/>
          <w:jc w:val="center"/>
        </w:trPr>
        <w:tc>
          <w:tcPr>
            <w:tcW w:w="509" w:type="pct"/>
            <w:vAlign w:val="center"/>
          </w:tcPr>
          <w:p w14:paraId="5F6703AA"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E048CB1"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2—MMR</w:t>
            </w:r>
          </w:p>
        </w:tc>
      </w:tr>
      <w:tr w:rsidR="005C3D48" w:rsidRPr="00411D9E" w14:paraId="1851AD81" w14:textId="77777777" w:rsidTr="00BC297A">
        <w:trPr>
          <w:cantSplit/>
          <w:trHeight w:val="20"/>
          <w:jc w:val="center"/>
        </w:trPr>
        <w:tc>
          <w:tcPr>
            <w:tcW w:w="509" w:type="pct"/>
            <w:vAlign w:val="center"/>
          </w:tcPr>
          <w:p w14:paraId="1E4C684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44864D8" w14:textId="426A6CE2" w:rsidR="005C3D48" w:rsidRPr="00411D9E" w:rsidRDefault="005C3D48" w:rsidP="00FF262E">
            <w:pPr>
              <w:jc w:val="left"/>
              <w:rPr>
                <w:rFonts w:eastAsia="Times New Roman" w:cstheme="minorHAnsi"/>
              </w:rPr>
            </w:pPr>
            <w:r w:rsidRPr="00411D9E">
              <w:rPr>
                <w:rFonts w:eastAsia="Times New Roman" w:cstheme="minorHAnsi"/>
              </w:rPr>
              <w:t>Childhood Immunization Status by Age 2—</w:t>
            </w:r>
            <w:proofErr w:type="spellStart"/>
            <w:r w:rsidR="00E45F45">
              <w:rPr>
                <w:rFonts w:eastAsia="Times New Roman" w:cstheme="minorHAnsi"/>
              </w:rPr>
              <w:t>HiB</w:t>
            </w:r>
            <w:proofErr w:type="spellEnd"/>
          </w:p>
        </w:tc>
      </w:tr>
      <w:tr w:rsidR="005C3D48" w:rsidRPr="00411D9E" w14:paraId="701B4EBF" w14:textId="77777777" w:rsidTr="00BC297A">
        <w:trPr>
          <w:cantSplit/>
          <w:trHeight w:val="20"/>
          <w:jc w:val="center"/>
        </w:trPr>
        <w:tc>
          <w:tcPr>
            <w:tcW w:w="509" w:type="pct"/>
            <w:vAlign w:val="center"/>
          </w:tcPr>
          <w:p w14:paraId="1079EB3C"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0420735"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2—Hepatitis B</w:t>
            </w:r>
          </w:p>
        </w:tc>
      </w:tr>
      <w:tr w:rsidR="005C3D48" w:rsidRPr="00411D9E" w14:paraId="3489F633" w14:textId="77777777" w:rsidTr="00BC297A">
        <w:trPr>
          <w:cantSplit/>
          <w:trHeight w:val="20"/>
          <w:jc w:val="center"/>
        </w:trPr>
        <w:tc>
          <w:tcPr>
            <w:tcW w:w="509" w:type="pct"/>
            <w:vAlign w:val="center"/>
          </w:tcPr>
          <w:p w14:paraId="62A8F510"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6CE5470"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2—VZV</w:t>
            </w:r>
          </w:p>
        </w:tc>
      </w:tr>
      <w:tr w:rsidR="005C3D48" w:rsidRPr="00411D9E" w14:paraId="10F86175" w14:textId="77777777" w:rsidTr="00BC297A">
        <w:trPr>
          <w:cantSplit/>
          <w:trHeight w:val="20"/>
          <w:jc w:val="center"/>
        </w:trPr>
        <w:tc>
          <w:tcPr>
            <w:tcW w:w="509" w:type="pct"/>
            <w:vAlign w:val="center"/>
          </w:tcPr>
          <w:p w14:paraId="2BB6CE2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F0EAC65"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2—Pneumococcal Conjugate</w:t>
            </w:r>
          </w:p>
        </w:tc>
      </w:tr>
      <w:tr w:rsidR="005C3D48" w:rsidRPr="00411D9E" w14:paraId="097957CF" w14:textId="77777777" w:rsidTr="00BC297A">
        <w:trPr>
          <w:cantSplit/>
          <w:trHeight w:val="20"/>
          <w:jc w:val="center"/>
        </w:trPr>
        <w:tc>
          <w:tcPr>
            <w:tcW w:w="509" w:type="pct"/>
            <w:vAlign w:val="center"/>
          </w:tcPr>
          <w:p w14:paraId="23BF72EA"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2A83156"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2—Hepatitis A</w:t>
            </w:r>
          </w:p>
        </w:tc>
      </w:tr>
      <w:tr w:rsidR="005C3D48" w:rsidRPr="00411D9E" w14:paraId="23283A47" w14:textId="77777777" w:rsidTr="00BC297A">
        <w:trPr>
          <w:cantSplit/>
          <w:trHeight w:val="20"/>
          <w:jc w:val="center"/>
        </w:trPr>
        <w:tc>
          <w:tcPr>
            <w:tcW w:w="509" w:type="pct"/>
            <w:vAlign w:val="center"/>
          </w:tcPr>
          <w:p w14:paraId="0F2A5016"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54F02B8"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2—Rotavirus</w:t>
            </w:r>
          </w:p>
        </w:tc>
      </w:tr>
      <w:tr w:rsidR="005C3D48" w:rsidRPr="00411D9E" w14:paraId="5002D6FC" w14:textId="77777777" w:rsidTr="00BC297A">
        <w:trPr>
          <w:cantSplit/>
          <w:trHeight w:val="20"/>
          <w:jc w:val="center"/>
        </w:trPr>
        <w:tc>
          <w:tcPr>
            <w:tcW w:w="509" w:type="pct"/>
            <w:vAlign w:val="center"/>
          </w:tcPr>
          <w:p w14:paraId="59508777"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169B9A0" w14:textId="77777777" w:rsidR="005C3D48" w:rsidRPr="00411D9E" w:rsidRDefault="005C3D48" w:rsidP="00FF262E">
            <w:pPr>
              <w:jc w:val="left"/>
              <w:rPr>
                <w:rFonts w:eastAsia="Times New Roman" w:cstheme="minorHAnsi"/>
              </w:rPr>
            </w:pPr>
            <w:r w:rsidRPr="00411D9E">
              <w:rPr>
                <w:rFonts w:eastAsia="Times New Roman" w:cstheme="minorHAnsi"/>
              </w:rPr>
              <w:t>Childhood Immunization Status by Age 2—Influenza</w:t>
            </w:r>
          </w:p>
        </w:tc>
      </w:tr>
      <w:tr w:rsidR="005C3D48" w:rsidRPr="00411D9E" w14:paraId="26B53565" w14:textId="77777777" w:rsidTr="00BC297A">
        <w:trPr>
          <w:cantSplit/>
          <w:trHeight w:val="20"/>
          <w:jc w:val="center"/>
        </w:trPr>
        <w:tc>
          <w:tcPr>
            <w:tcW w:w="509" w:type="pct"/>
            <w:vAlign w:val="center"/>
          </w:tcPr>
          <w:p w14:paraId="17FE73AB"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7A81834"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2</w:t>
            </w:r>
          </w:p>
        </w:tc>
      </w:tr>
      <w:tr w:rsidR="005C3D48" w:rsidRPr="00411D9E" w14:paraId="36CAA8CD" w14:textId="77777777" w:rsidTr="00BC297A">
        <w:trPr>
          <w:cantSplit/>
          <w:trHeight w:val="20"/>
          <w:jc w:val="center"/>
        </w:trPr>
        <w:tc>
          <w:tcPr>
            <w:tcW w:w="509" w:type="pct"/>
            <w:vAlign w:val="center"/>
          </w:tcPr>
          <w:p w14:paraId="10CE2781"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FCE4219"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3</w:t>
            </w:r>
          </w:p>
        </w:tc>
      </w:tr>
      <w:tr w:rsidR="005C3D48" w:rsidRPr="00411D9E" w14:paraId="1679F56C" w14:textId="77777777" w:rsidTr="00BC297A">
        <w:trPr>
          <w:cantSplit/>
          <w:trHeight w:val="20"/>
          <w:jc w:val="center"/>
        </w:trPr>
        <w:tc>
          <w:tcPr>
            <w:tcW w:w="509" w:type="pct"/>
            <w:vAlign w:val="center"/>
          </w:tcPr>
          <w:p w14:paraId="17BA93A5"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BBEEC3E"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4</w:t>
            </w:r>
          </w:p>
        </w:tc>
      </w:tr>
      <w:tr w:rsidR="005C3D48" w:rsidRPr="00411D9E" w14:paraId="65424E64" w14:textId="77777777" w:rsidTr="00BC297A">
        <w:trPr>
          <w:cantSplit/>
          <w:trHeight w:val="20"/>
          <w:jc w:val="center"/>
        </w:trPr>
        <w:tc>
          <w:tcPr>
            <w:tcW w:w="509" w:type="pct"/>
            <w:vAlign w:val="center"/>
          </w:tcPr>
          <w:p w14:paraId="5FC8DD1D"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7D79A2C"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5</w:t>
            </w:r>
          </w:p>
        </w:tc>
      </w:tr>
      <w:tr w:rsidR="005C3D48" w:rsidRPr="00411D9E" w14:paraId="2A1D6CBB" w14:textId="77777777" w:rsidTr="00BC297A">
        <w:trPr>
          <w:cantSplit/>
          <w:trHeight w:val="20"/>
          <w:jc w:val="center"/>
        </w:trPr>
        <w:tc>
          <w:tcPr>
            <w:tcW w:w="509" w:type="pct"/>
            <w:vAlign w:val="center"/>
          </w:tcPr>
          <w:p w14:paraId="3BC64C50"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16A67D0"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6</w:t>
            </w:r>
          </w:p>
        </w:tc>
      </w:tr>
      <w:tr w:rsidR="005C3D48" w:rsidRPr="00411D9E" w14:paraId="7FDA8BAC" w14:textId="77777777" w:rsidTr="00BC297A">
        <w:trPr>
          <w:cantSplit/>
          <w:trHeight w:val="20"/>
          <w:jc w:val="center"/>
        </w:trPr>
        <w:tc>
          <w:tcPr>
            <w:tcW w:w="509" w:type="pct"/>
            <w:vAlign w:val="center"/>
          </w:tcPr>
          <w:p w14:paraId="45E1176D"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74C941A"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7</w:t>
            </w:r>
          </w:p>
        </w:tc>
      </w:tr>
      <w:tr w:rsidR="005C3D48" w:rsidRPr="00411D9E" w14:paraId="1E96AA8E" w14:textId="77777777" w:rsidTr="00BC297A">
        <w:trPr>
          <w:cantSplit/>
          <w:trHeight w:val="20"/>
          <w:jc w:val="center"/>
        </w:trPr>
        <w:tc>
          <w:tcPr>
            <w:tcW w:w="509" w:type="pct"/>
            <w:vAlign w:val="center"/>
          </w:tcPr>
          <w:p w14:paraId="7E2D4AB4"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A97DA19"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8</w:t>
            </w:r>
          </w:p>
        </w:tc>
      </w:tr>
      <w:tr w:rsidR="005C3D48" w:rsidRPr="00411D9E" w14:paraId="7D643A9C" w14:textId="77777777" w:rsidTr="00BC297A">
        <w:trPr>
          <w:cantSplit/>
          <w:trHeight w:val="20"/>
          <w:jc w:val="center"/>
        </w:trPr>
        <w:tc>
          <w:tcPr>
            <w:tcW w:w="509" w:type="pct"/>
            <w:vAlign w:val="center"/>
          </w:tcPr>
          <w:p w14:paraId="1519C947"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94B6B68"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9</w:t>
            </w:r>
          </w:p>
        </w:tc>
      </w:tr>
      <w:tr w:rsidR="005C3D48" w:rsidRPr="00411D9E" w14:paraId="7707366F" w14:textId="77777777" w:rsidTr="00BC297A">
        <w:trPr>
          <w:cantSplit/>
          <w:trHeight w:val="20"/>
          <w:jc w:val="center"/>
        </w:trPr>
        <w:tc>
          <w:tcPr>
            <w:tcW w:w="509" w:type="pct"/>
            <w:vAlign w:val="center"/>
          </w:tcPr>
          <w:p w14:paraId="09297DF8"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7D239FC" w14:textId="77777777" w:rsidR="005C3D48" w:rsidRPr="00411D9E" w:rsidRDefault="005C3D48" w:rsidP="00FF262E">
            <w:pPr>
              <w:jc w:val="left"/>
              <w:rPr>
                <w:rFonts w:eastAsia="Times New Roman" w:cstheme="minorHAnsi"/>
              </w:rPr>
            </w:pPr>
            <w:r w:rsidRPr="00411D9E">
              <w:rPr>
                <w:rFonts w:eastAsia="Times New Roman" w:cstheme="minorHAnsi"/>
              </w:rPr>
              <w:t>Childhood Immunizations Status by Age 2—Combo 10</w:t>
            </w:r>
          </w:p>
        </w:tc>
      </w:tr>
      <w:tr w:rsidR="005C3D48" w:rsidRPr="00411D9E" w14:paraId="1F1A33C6" w14:textId="77777777" w:rsidTr="00BC297A">
        <w:trPr>
          <w:cantSplit/>
          <w:trHeight w:val="20"/>
          <w:jc w:val="center"/>
        </w:trPr>
        <w:tc>
          <w:tcPr>
            <w:tcW w:w="509" w:type="pct"/>
            <w:vAlign w:val="center"/>
          </w:tcPr>
          <w:p w14:paraId="6AC041DF"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CAC0A76" w14:textId="77777777" w:rsidR="005C3D48" w:rsidRPr="00411D9E" w:rsidRDefault="005C3D48" w:rsidP="00FF262E">
            <w:pPr>
              <w:jc w:val="left"/>
              <w:rPr>
                <w:rFonts w:eastAsia="Times New Roman" w:cstheme="minorHAnsi"/>
                <w:bCs/>
              </w:rPr>
            </w:pPr>
            <w:r w:rsidRPr="00411D9E">
              <w:rPr>
                <w:rFonts w:eastAsia="Times New Roman" w:cstheme="minorHAnsi"/>
                <w:bCs/>
              </w:rPr>
              <w:t>Immunizations for Adolescents—Meningococcal</w:t>
            </w:r>
          </w:p>
        </w:tc>
      </w:tr>
      <w:tr w:rsidR="005C3D48" w:rsidRPr="00411D9E" w14:paraId="214E61AC" w14:textId="77777777" w:rsidTr="00BC297A">
        <w:trPr>
          <w:cantSplit/>
          <w:trHeight w:val="20"/>
          <w:jc w:val="center"/>
        </w:trPr>
        <w:tc>
          <w:tcPr>
            <w:tcW w:w="509" w:type="pct"/>
            <w:vAlign w:val="center"/>
          </w:tcPr>
          <w:p w14:paraId="4B4103C7"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83AC2C3" w14:textId="77777777" w:rsidR="005C3D48" w:rsidRPr="00411D9E" w:rsidRDefault="005C3D48" w:rsidP="00FF262E">
            <w:pPr>
              <w:jc w:val="left"/>
              <w:rPr>
                <w:rFonts w:eastAsia="Times New Roman" w:cstheme="minorHAnsi"/>
                <w:bCs/>
              </w:rPr>
            </w:pPr>
            <w:r w:rsidRPr="00411D9E">
              <w:rPr>
                <w:rFonts w:eastAsia="Times New Roman" w:cstheme="minorHAnsi"/>
                <w:bCs/>
              </w:rPr>
              <w:t>Immunizations for Adolescents—Tdap</w:t>
            </w:r>
          </w:p>
        </w:tc>
      </w:tr>
      <w:tr w:rsidR="005C3D48" w:rsidRPr="00411D9E" w14:paraId="10EC169D" w14:textId="77777777" w:rsidTr="00BC297A">
        <w:trPr>
          <w:cantSplit/>
          <w:trHeight w:val="20"/>
          <w:jc w:val="center"/>
        </w:trPr>
        <w:tc>
          <w:tcPr>
            <w:tcW w:w="509" w:type="pct"/>
            <w:vAlign w:val="center"/>
          </w:tcPr>
          <w:p w14:paraId="5705CB1D"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44E0A41" w14:textId="77777777" w:rsidR="005C3D48" w:rsidRPr="00411D9E" w:rsidRDefault="005C3D48" w:rsidP="00FF262E">
            <w:pPr>
              <w:jc w:val="left"/>
              <w:rPr>
                <w:rFonts w:eastAsia="Times New Roman" w:cstheme="minorHAnsi"/>
                <w:bCs/>
              </w:rPr>
            </w:pPr>
            <w:r w:rsidRPr="00411D9E">
              <w:rPr>
                <w:rFonts w:eastAsia="Times New Roman" w:cstheme="minorHAnsi"/>
                <w:bCs/>
              </w:rPr>
              <w:t>Immunizations for Adolescents—HPV</w:t>
            </w:r>
          </w:p>
        </w:tc>
      </w:tr>
      <w:tr w:rsidR="005C3D48" w:rsidRPr="00411D9E" w14:paraId="04AB4C95" w14:textId="77777777" w:rsidTr="00BC297A">
        <w:trPr>
          <w:cantSplit/>
          <w:trHeight w:val="20"/>
          <w:jc w:val="center"/>
        </w:trPr>
        <w:tc>
          <w:tcPr>
            <w:tcW w:w="509" w:type="pct"/>
            <w:vAlign w:val="center"/>
          </w:tcPr>
          <w:p w14:paraId="4C2C44F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595DF5CB" w14:textId="77777777" w:rsidR="005C3D48" w:rsidRPr="00411D9E" w:rsidRDefault="005C3D48" w:rsidP="00FF262E">
            <w:pPr>
              <w:jc w:val="left"/>
              <w:rPr>
                <w:rFonts w:eastAsia="Times New Roman" w:cstheme="minorHAnsi"/>
                <w:bCs/>
              </w:rPr>
            </w:pPr>
            <w:r w:rsidRPr="00411D9E">
              <w:rPr>
                <w:rFonts w:eastAsia="Times New Roman" w:cstheme="minorHAnsi"/>
                <w:bCs/>
              </w:rPr>
              <w:t>Immunizations for Adolescents—Combination 1</w:t>
            </w:r>
          </w:p>
        </w:tc>
      </w:tr>
      <w:tr w:rsidR="005C3D48" w:rsidRPr="00411D9E" w14:paraId="7A25DCBF" w14:textId="77777777" w:rsidTr="00BC297A">
        <w:trPr>
          <w:cantSplit/>
          <w:trHeight w:val="20"/>
          <w:jc w:val="center"/>
        </w:trPr>
        <w:tc>
          <w:tcPr>
            <w:tcW w:w="509" w:type="pct"/>
            <w:vAlign w:val="center"/>
          </w:tcPr>
          <w:p w14:paraId="3AA5AFD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156CDE8" w14:textId="77777777" w:rsidR="005C3D48" w:rsidRPr="00411D9E" w:rsidRDefault="005C3D48" w:rsidP="00FF262E">
            <w:pPr>
              <w:jc w:val="left"/>
              <w:rPr>
                <w:rFonts w:eastAsia="Times New Roman" w:cstheme="minorHAnsi"/>
                <w:bCs/>
              </w:rPr>
            </w:pPr>
            <w:r w:rsidRPr="00411D9E">
              <w:rPr>
                <w:rFonts w:eastAsia="Times New Roman" w:cstheme="minorHAnsi"/>
                <w:bCs/>
              </w:rPr>
              <w:t>Immunizations for Adolescents—Combination 2</w:t>
            </w:r>
          </w:p>
        </w:tc>
      </w:tr>
      <w:tr w:rsidR="005C3D48" w:rsidRPr="00411D9E" w14:paraId="760E6534" w14:textId="77777777" w:rsidTr="00BC297A">
        <w:trPr>
          <w:cantSplit/>
          <w:trHeight w:val="20"/>
          <w:jc w:val="center"/>
        </w:trPr>
        <w:tc>
          <w:tcPr>
            <w:tcW w:w="509" w:type="pct"/>
            <w:vAlign w:val="center"/>
          </w:tcPr>
          <w:p w14:paraId="199296AF"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7AB6A01" w14:textId="77777777" w:rsidR="005C3D48" w:rsidRPr="00411D9E" w:rsidRDefault="005C3D48" w:rsidP="00FF262E">
            <w:pPr>
              <w:jc w:val="left"/>
              <w:rPr>
                <w:rFonts w:eastAsia="Times New Roman" w:cstheme="minorHAnsi"/>
              </w:rPr>
            </w:pPr>
            <w:r w:rsidRPr="00411D9E">
              <w:rPr>
                <w:rFonts w:eastAsia="Times New Roman" w:cstheme="minorHAnsi"/>
              </w:rPr>
              <w:t>Well-Child Visits in the First 15 Months of Life (</w:t>
            </w:r>
            <w:r w:rsidRPr="00411D9E">
              <w:rPr>
                <w:rFonts w:eastAsia="Times New Roman" w:cstheme="minorHAnsi"/>
                <w:u w:val="single"/>
              </w:rPr>
              <w:t>&gt;</w:t>
            </w:r>
            <w:r w:rsidRPr="00411D9E">
              <w:rPr>
                <w:rFonts w:eastAsia="Times New Roman" w:cstheme="minorHAnsi"/>
              </w:rPr>
              <w:t xml:space="preserve"> 6 Visits)</w:t>
            </w:r>
          </w:p>
        </w:tc>
      </w:tr>
      <w:tr w:rsidR="005C3D48" w:rsidRPr="00411D9E" w14:paraId="3EB00804" w14:textId="77777777" w:rsidTr="00BC297A">
        <w:trPr>
          <w:cantSplit/>
          <w:trHeight w:val="20"/>
          <w:jc w:val="center"/>
        </w:trPr>
        <w:tc>
          <w:tcPr>
            <w:tcW w:w="509" w:type="pct"/>
            <w:vAlign w:val="center"/>
          </w:tcPr>
          <w:p w14:paraId="214D689D"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1B31817" w14:textId="77777777" w:rsidR="005C3D48" w:rsidRPr="00411D9E" w:rsidRDefault="005C3D48" w:rsidP="00FF262E">
            <w:pPr>
              <w:rPr>
                <w:rFonts w:eastAsia="Times New Roman" w:cstheme="minorHAnsi"/>
              </w:rPr>
            </w:pPr>
            <w:r w:rsidRPr="00411D9E">
              <w:rPr>
                <w:rFonts w:eastAsia="Times New Roman" w:cstheme="minorHAnsi"/>
              </w:rPr>
              <w:t>Well-Child Visits in the First 30 Months of Life (</w:t>
            </w:r>
            <w:r w:rsidRPr="00411D9E">
              <w:rPr>
                <w:rFonts w:eastAsia="Times New Roman" w:cstheme="minorHAnsi"/>
                <w:u w:val="single"/>
              </w:rPr>
              <w:t>&gt;</w:t>
            </w:r>
            <w:r w:rsidRPr="003110EC">
              <w:rPr>
                <w:rFonts w:eastAsia="Times New Roman" w:cstheme="minorHAnsi"/>
              </w:rPr>
              <w:t xml:space="preserve"> 2 visits)</w:t>
            </w:r>
          </w:p>
        </w:tc>
      </w:tr>
      <w:tr w:rsidR="005C3D48" w:rsidRPr="00411D9E" w14:paraId="084E5AED" w14:textId="77777777" w:rsidTr="00BC297A">
        <w:trPr>
          <w:cantSplit/>
          <w:trHeight w:val="20"/>
          <w:jc w:val="center"/>
        </w:trPr>
        <w:tc>
          <w:tcPr>
            <w:tcW w:w="509" w:type="pct"/>
            <w:vAlign w:val="center"/>
          </w:tcPr>
          <w:p w14:paraId="02305D3F" w14:textId="77777777" w:rsidR="005C3D48" w:rsidRPr="00411D9E" w:rsidRDefault="005C3D48" w:rsidP="00FF262E">
            <w:pPr>
              <w:jc w:val="center"/>
              <w:rPr>
                <w:rFonts w:cstheme="minorHAnsi"/>
              </w:rPr>
            </w:pPr>
            <w:bookmarkStart w:id="74" w:name="_Hlk94702970"/>
            <w:r w:rsidRPr="00411D9E">
              <w:rPr>
                <w:rFonts w:cstheme="minorHAnsi"/>
              </w:rPr>
              <w:t>HEDIS</w:t>
            </w:r>
          </w:p>
        </w:tc>
        <w:tc>
          <w:tcPr>
            <w:tcW w:w="4491" w:type="pct"/>
            <w:vAlign w:val="center"/>
          </w:tcPr>
          <w:p w14:paraId="1475DA8F" w14:textId="77777777" w:rsidR="005C3D48" w:rsidRPr="00411D9E" w:rsidRDefault="005C3D48" w:rsidP="00FF262E">
            <w:pPr>
              <w:rPr>
                <w:rFonts w:eastAsia="Times New Roman" w:cstheme="minorHAnsi"/>
              </w:rPr>
            </w:pPr>
            <w:r w:rsidRPr="00411D9E">
              <w:rPr>
                <w:rFonts w:eastAsia="Times New Roman" w:cstheme="minorHAnsi"/>
              </w:rPr>
              <w:t>Child and Adolescent Well-Care Visits (3-11 years)</w:t>
            </w:r>
          </w:p>
        </w:tc>
      </w:tr>
      <w:bookmarkEnd w:id="74"/>
      <w:tr w:rsidR="005C3D48" w:rsidRPr="00411D9E" w14:paraId="17F95571" w14:textId="77777777" w:rsidTr="00BC297A">
        <w:trPr>
          <w:cantSplit/>
          <w:trHeight w:val="20"/>
          <w:jc w:val="center"/>
        </w:trPr>
        <w:tc>
          <w:tcPr>
            <w:tcW w:w="509" w:type="pct"/>
            <w:vAlign w:val="center"/>
          </w:tcPr>
          <w:p w14:paraId="4102D857"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5325BD2" w14:textId="77777777" w:rsidR="005C3D48" w:rsidRPr="00411D9E" w:rsidRDefault="005C3D48" w:rsidP="00FF262E">
            <w:pPr>
              <w:rPr>
                <w:rFonts w:eastAsia="Times New Roman" w:cstheme="minorHAnsi"/>
              </w:rPr>
            </w:pPr>
            <w:r w:rsidRPr="00411D9E">
              <w:rPr>
                <w:rFonts w:eastAsia="Times New Roman" w:cstheme="minorHAnsi"/>
              </w:rPr>
              <w:t>Child and Adolescent Well-Care Visits (12-17 years)</w:t>
            </w:r>
          </w:p>
        </w:tc>
      </w:tr>
      <w:tr w:rsidR="005C3D48" w:rsidRPr="00411D9E" w14:paraId="39A0099D" w14:textId="77777777" w:rsidTr="00BC297A">
        <w:trPr>
          <w:cantSplit/>
          <w:trHeight w:val="20"/>
          <w:jc w:val="center"/>
        </w:trPr>
        <w:tc>
          <w:tcPr>
            <w:tcW w:w="509" w:type="pct"/>
            <w:vAlign w:val="center"/>
          </w:tcPr>
          <w:p w14:paraId="534F94D6"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F0DA5D8" w14:textId="77777777" w:rsidR="005C3D48" w:rsidRPr="00411D9E" w:rsidRDefault="005C3D48" w:rsidP="00FF262E">
            <w:pPr>
              <w:rPr>
                <w:rFonts w:eastAsia="Times New Roman" w:cstheme="minorHAnsi"/>
              </w:rPr>
            </w:pPr>
            <w:r w:rsidRPr="00411D9E">
              <w:rPr>
                <w:rFonts w:eastAsia="Times New Roman" w:cstheme="minorHAnsi"/>
              </w:rPr>
              <w:t>Child and Adolescent Well-Care Visits (18-19 years)</w:t>
            </w:r>
          </w:p>
        </w:tc>
      </w:tr>
      <w:tr w:rsidR="005C3D48" w:rsidRPr="00411D9E" w14:paraId="63983C5F" w14:textId="77777777" w:rsidTr="00BC297A">
        <w:trPr>
          <w:cantSplit/>
          <w:trHeight w:val="20"/>
          <w:jc w:val="center"/>
        </w:trPr>
        <w:tc>
          <w:tcPr>
            <w:tcW w:w="509" w:type="pct"/>
            <w:vAlign w:val="center"/>
          </w:tcPr>
          <w:p w14:paraId="4B9DA41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9AC5726" w14:textId="77777777" w:rsidR="005C3D48" w:rsidRPr="00411D9E" w:rsidRDefault="005C3D48" w:rsidP="00FF262E">
            <w:pPr>
              <w:rPr>
                <w:rFonts w:eastAsia="Times New Roman" w:cstheme="minorHAnsi"/>
              </w:rPr>
            </w:pPr>
            <w:r w:rsidRPr="00411D9E">
              <w:rPr>
                <w:rFonts w:eastAsia="Times New Roman" w:cstheme="minorHAnsi"/>
              </w:rPr>
              <w:t>Child and Adolescent Well-Care Visits (3-19 years)</w:t>
            </w:r>
          </w:p>
        </w:tc>
      </w:tr>
      <w:tr w:rsidR="005C3D48" w:rsidRPr="00411D9E" w14:paraId="56B48996" w14:textId="77777777" w:rsidTr="00BC297A">
        <w:trPr>
          <w:cantSplit/>
          <w:trHeight w:val="20"/>
          <w:jc w:val="center"/>
        </w:trPr>
        <w:tc>
          <w:tcPr>
            <w:tcW w:w="5000" w:type="pct"/>
            <w:gridSpan w:val="2"/>
            <w:shd w:val="clear" w:color="auto" w:fill="CCC0D9" w:themeFill="accent4" w:themeFillTint="66"/>
            <w:vAlign w:val="center"/>
          </w:tcPr>
          <w:p w14:paraId="6250F42F" w14:textId="77777777" w:rsidR="005C3D48" w:rsidRPr="00411D9E" w:rsidRDefault="005C3D48" w:rsidP="00FF262E">
            <w:pPr>
              <w:rPr>
                <w:rFonts w:cstheme="minorHAnsi"/>
                <w:color w:val="000000" w:themeColor="text1"/>
              </w:rPr>
            </w:pPr>
            <w:bookmarkStart w:id="75" w:name="_Toc319061125"/>
            <w:bookmarkStart w:id="76" w:name="_Toc384162331"/>
            <w:bookmarkStart w:id="77" w:name="_Toc417036745"/>
            <w:bookmarkStart w:id="78" w:name="_Toc447022726"/>
            <w:bookmarkStart w:id="79" w:name="_Toc447022861"/>
            <w:bookmarkStart w:id="80" w:name="_Toc447023161"/>
            <w:bookmarkStart w:id="81" w:name="_Toc447033105"/>
            <w:bookmarkStart w:id="82" w:name="_Toc447033226"/>
            <w:bookmarkStart w:id="83" w:name="_Toc447033737"/>
            <w:bookmarkStart w:id="84" w:name="_Toc447034004"/>
            <w:bookmarkStart w:id="85" w:name="_Toc447034820"/>
            <w:bookmarkStart w:id="86" w:name="_Toc447725852"/>
            <w:bookmarkStart w:id="87" w:name="_Toc449099971"/>
            <w:r w:rsidRPr="00411D9E">
              <w:rPr>
                <w:rFonts w:cstheme="minorHAnsi"/>
                <w:color w:val="000000" w:themeColor="text1"/>
              </w:rPr>
              <w:t>Early and Periodic Screening, Diagnostic and Treatment (EPSDT): Screenings and Follow–up</w:t>
            </w:r>
            <w:bookmarkEnd w:id="75"/>
            <w:bookmarkEnd w:id="76"/>
            <w:bookmarkEnd w:id="77"/>
            <w:bookmarkEnd w:id="78"/>
            <w:bookmarkEnd w:id="79"/>
            <w:bookmarkEnd w:id="80"/>
            <w:bookmarkEnd w:id="81"/>
            <w:bookmarkEnd w:id="82"/>
            <w:bookmarkEnd w:id="83"/>
            <w:bookmarkEnd w:id="84"/>
            <w:bookmarkEnd w:id="85"/>
            <w:bookmarkEnd w:id="86"/>
            <w:bookmarkEnd w:id="87"/>
          </w:p>
        </w:tc>
      </w:tr>
      <w:tr w:rsidR="005C3D48" w:rsidRPr="00411D9E" w14:paraId="01378A00" w14:textId="77777777" w:rsidTr="00BC297A">
        <w:trPr>
          <w:cantSplit/>
          <w:trHeight w:val="20"/>
          <w:jc w:val="center"/>
        </w:trPr>
        <w:tc>
          <w:tcPr>
            <w:tcW w:w="509" w:type="pct"/>
            <w:vAlign w:val="center"/>
          </w:tcPr>
          <w:p w14:paraId="670F298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BB8879E" w14:textId="77777777" w:rsidR="005C3D48" w:rsidRPr="00411D9E" w:rsidRDefault="005C3D48" w:rsidP="00FF262E">
            <w:pPr>
              <w:jc w:val="left"/>
              <w:rPr>
                <w:rFonts w:eastAsia="Times New Roman" w:cstheme="minorHAnsi"/>
              </w:rPr>
            </w:pPr>
            <w:r w:rsidRPr="00411D9E">
              <w:rPr>
                <w:rFonts w:eastAsia="Times New Roman" w:cstheme="minorHAnsi"/>
              </w:rPr>
              <w:t xml:space="preserve">Lead Screening in Children (Age 2 years) </w:t>
            </w:r>
          </w:p>
        </w:tc>
      </w:tr>
      <w:tr w:rsidR="005C3D48" w:rsidRPr="00411D9E" w14:paraId="3FFF53F4" w14:textId="77777777" w:rsidTr="00BC297A">
        <w:trPr>
          <w:cantSplit/>
          <w:trHeight w:val="20"/>
          <w:jc w:val="center"/>
        </w:trPr>
        <w:tc>
          <w:tcPr>
            <w:tcW w:w="509" w:type="pct"/>
            <w:vAlign w:val="center"/>
          </w:tcPr>
          <w:p w14:paraId="4AB5CE0F"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BAEE7CC" w14:textId="77777777" w:rsidR="005C3D48" w:rsidRPr="00411D9E" w:rsidRDefault="005C3D48" w:rsidP="00FF262E">
            <w:pPr>
              <w:jc w:val="left"/>
              <w:rPr>
                <w:rFonts w:eastAsia="Times New Roman" w:cstheme="minorHAnsi"/>
                <w:bCs/>
              </w:rPr>
            </w:pPr>
            <w:r w:rsidRPr="00411D9E">
              <w:rPr>
                <w:rFonts w:eastAsia="Times New Roman" w:cstheme="minorHAnsi"/>
                <w:bCs/>
              </w:rPr>
              <w:t>Chlamydia Screening in Women (16</w:t>
            </w:r>
            <w:r w:rsidRPr="00411D9E">
              <w:rPr>
                <w:rFonts w:eastAsia="Times New Roman" w:cstheme="minorHAnsi"/>
              </w:rPr>
              <w:t>–</w:t>
            </w:r>
            <w:r w:rsidRPr="00411D9E">
              <w:rPr>
                <w:rFonts w:eastAsia="Times New Roman" w:cstheme="minorHAnsi"/>
                <w:bCs/>
              </w:rPr>
              <w:t>20 years)</w:t>
            </w:r>
          </w:p>
        </w:tc>
      </w:tr>
      <w:tr w:rsidR="005C3D48" w:rsidRPr="00411D9E" w14:paraId="7768EFCB" w14:textId="77777777" w:rsidTr="00BC297A">
        <w:trPr>
          <w:cantSplit/>
          <w:trHeight w:val="20"/>
          <w:jc w:val="center"/>
        </w:trPr>
        <w:tc>
          <w:tcPr>
            <w:tcW w:w="509" w:type="pct"/>
            <w:vAlign w:val="center"/>
          </w:tcPr>
          <w:p w14:paraId="32846953" w14:textId="77777777" w:rsidR="005C3D48" w:rsidRPr="00411D9E" w:rsidRDefault="005C3D48" w:rsidP="00FF262E">
            <w:pPr>
              <w:jc w:val="center"/>
              <w:rPr>
                <w:rFonts w:eastAsia="Times New Roman" w:cstheme="minorHAnsi"/>
                <w:bCs/>
              </w:rPr>
            </w:pPr>
            <w:r w:rsidRPr="00411D9E">
              <w:rPr>
                <w:rFonts w:eastAsia="Times New Roman" w:cstheme="minorHAnsi"/>
                <w:bCs/>
              </w:rPr>
              <w:t>PA EQR</w:t>
            </w:r>
          </w:p>
        </w:tc>
        <w:tc>
          <w:tcPr>
            <w:tcW w:w="4491" w:type="pct"/>
            <w:vAlign w:val="center"/>
          </w:tcPr>
          <w:p w14:paraId="1CC973B7" w14:textId="77777777" w:rsidR="005C3D48" w:rsidRPr="00411D9E" w:rsidRDefault="005C3D48" w:rsidP="00FF262E">
            <w:pPr>
              <w:jc w:val="left"/>
              <w:rPr>
                <w:rFonts w:eastAsia="Times New Roman" w:cstheme="minorHAnsi"/>
                <w:bCs/>
              </w:rPr>
            </w:pPr>
            <w:r w:rsidRPr="00411D9E">
              <w:rPr>
                <w:rFonts w:eastAsia="Times New Roman" w:cstheme="minorHAnsi"/>
                <w:bCs/>
              </w:rPr>
              <w:t>Developmental Screening in the First Three Years of Life—Total</w:t>
            </w:r>
          </w:p>
        </w:tc>
      </w:tr>
      <w:tr w:rsidR="005C3D48" w:rsidRPr="00411D9E" w14:paraId="7CC51E4F" w14:textId="77777777" w:rsidTr="00BC297A">
        <w:trPr>
          <w:cantSplit/>
          <w:trHeight w:val="20"/>
          <w:jc w:val="center"/>
        </w:trPr>
        <w:tc>
          <w:tcPr>
            <w:tcW w:w="509" w:type="pct"/>
            <w:vAlign w:val="center"/>
          </w:tcPr>
          <w:p w14:paraId="0FC4476B" w14:textId="77777777" w:rsidR="005C3D48" w:rsidRPr="00411D9E" w:rsidRDefault="005C3D48" w:rsidP="00FF262E">
            <w:pPr>
              <w:jc w:val="center"/>
              <w:rPr>
                <w:rFonts w:eastAsia="Times New Roman" w:cstheme="minorHAnsi"/>
                <w:bCs/>
              </w:rPr>
            </w:pPr>
            <w:r w:rsidRPr="00411D9E">
              <w:rPr>
                <w:rFonts w:eastAsia="Times New Roman" w:cstheme="minorHAnsi"/>
                <w:bCs/>
              </w:rPr>
              <w:t>PA EQR</w:t>
            </w:r>
          </w:p>
        </w:tc>
        <w:tc>
          <w:tcPr>
            <w:tcW w:w="4491" w:type="pct"/>
            <w:vAlign w:val="center"/>
          </w:tcPr>
          <w:p w14:paraId="77F49355" w14:textId="77777777" w:rsidR="005C3D48" w:rsidRPr="00411D9E" w:rsidRDefault="005C3D48" w:rsidP="00FF262E">
            <w:pPr>
              <w:jc w:val="left"/>
              <w:rPr>
                <w:rFonts w:eastAsia="Times New Roman" w:cstheme="minorHAnsi"/>
                <w:bCs/>
              </w:rPr>
            </w:pPr>
            <w:r w:rsidRPr="00411D9E">
              <w:rPr>
                <w:rFonts w:eastAsia="Times New Roman" w:cstheme="minorHAnsi"/>
                <w:bCs/>
              </w:rPr>
              <w:t>Developmental Screening in the First Three Years of Life—1 year</w:t>
            </w:r>
          </w:p>
        </w:tc>
      </w:tr>
      <w:tr w:rsidR="005C3D48" w:rsidRPr="00411D9E" w14:paraId="6221EC0C" w14:textId="77777777" w:rsidTr="00BC297A">
        <w:trPr>
          <w:cantSplit/>
          <w:trHeight w:val="20"/>
          <w:jc w:val="center"/>
        </w:trPr>
        <w:tc>
          <w:tcPr>
            <w:tcW w:w="509" w:type="pct"/>
            <w:vAlign w:val="center"/>
          </w:tcPr>
          <w:p w14:paraId="3128B569" w14:textId="77777777" w:rsidR="005C3D48" w:rsidRPr="00411D9E" w:rsidRDefault="005C3D48" w:rsidP="00FF262E">
            <w:pPr>
              <w:jc w:val="center"/>
              <w:rPr>
                <w:rFonts w:eastAsia="Times New Roman" w:cstheme="minorHAnsi"/>
                <w:bCs/>
              </w:rPr>
            </w:pPr>
            <w:r w:rsidRPr="00411D9E">
              <w:rPr>
                <w:rFonts w:eastAsia="Times New Roman" w:cstheme="minorHAnsi"/>
                <w:bCs/>
              </w:rPr>
              <w:t>PA EQR</w:t>
            </w:r>
          </w:p>
        </w:tc>
        <w:tc>
          <w:tcPr>
            <w:tcW w:w="4491" w:type="pct"/>
            <w:vAlign w:val="center"/>
          </w:tcPr>
          <w:p w14:paraId="01C4489A" w14:textId="77777777" w:rsidR="005C3D48" w:rsidRPr="00411D9E" w:rsidRDefault="005C3D48" w:rsidP="00FF262E">
            <w:pPr>
              <w:jc w:val="left"/>
              <w:rPr>
                <w:rFonts w:eastAsia="Times New Roman" w:cstheme="minorHAnsi"/>
                <w:bCs/>
              </w:rPr>
            </w:pPr>
            <w:r w:rsidRPr="00411D9E">
              <w:rPr>
                <w:rFonts w:eastAsia="Times New Roman" w:cstheme="minorHAnsi"/>
                <w:bCs/>
              </w:rPr>
              <w:t>Developmental Screening in the First Three Years of Life—2 years</w:t>
            </w:r>
          </w:p>
        </w:tc>
      </w:tr>
      <w:tr w:rsidR="005C3D48" w:rsidRPr="00411D9E" w14:paraId="18EFA7E2" w14:textId="77777777" w:rsidTr="00BC297A">
        <w:trPr>
          <w:cantSplit/>
          <w:trHeight w:val="20"/>
          <w:jc w:val="center"/>
        </w:trPr>
        <w:tc>
          <w:tcPr>
            <w:tcW w:w="509" w:type="pct"/>
            <w:vAlign w:val="center"/>
          </w:tcPr>
          <w:p w14:paraId="4A6979BA" w14:textId="77777777" w:rsidR="005C3D48" w:rsidRPr="00411D9E" w:rsidRDefault="005C3D48" w:rsidP="00FF262E">
            <w:pPr>
              <w:jc w:val="center"/>
              <w:rPr>
                <w:rFonts w:eastAsia="Times New Roman" w:cstheme="minorHAnsi"/>
                <w:bCs/>
              </w:rPr>
            </w:pPr>
            <w:r w:rsidRPr="00411D9E">
              <w:rPr>
                <w:rFonts w:eastAsia="Times New Roman" w:cstheme="minorHAnsi"/>
                <w:bCs/>
              </w:rPr>
              <w:t>PA EQR</w:t>
            </w:r>
          </w:p>
        </w:tc>
        <w:tc>
          <w:tcPr>
            <w:tcW w:w="4491" w:type="pct"/>
            <w:vAlign w:val="center"/>
          </w:tcPr>
          <w:p w14:paraId="4B6FBE98" w14:textId="77777777" w:rsidR="005C3D48" w:rsidRPr="00411D9E" w:rsidRDefault="005C3D48" w:rsidP="00FF262E">
            <w:pPr>
              <w:jc w:val="left"/>
              <w:rPr>
                <w:rFonts w:eastAsia="Times New Roman" w:cstheme="minorHAnsi"/>
                <w:bCs/>
              </w:rPr>
            </w:pPr>
            <w:r w:rsidRPr="00411D9E">
              <w:rPr>
                <w:rFonts w:eastAsia="Times New Roman" w:cstheme="minorHAnsi"/>
                <w:bCs/>
              </w:rPr>
              <w:t>Developmental Screening in the First Three Years of Life—3 years</w:t>
            </w:r>
          </w:p>
        </w:tc>
      </w:tr>
      <w:tr w:rsidR="005C3D48" w:rsidRPr="00411D9E" w14:paraId="1703A920" w14:textId="77777777" w:rsidTr="00BC297A">
        <w:trPr>
          <w:cantSplit/>
          <w:trHeight w:val="20"/>
          <w:jc w:val="center"/>
        </w:trPr>
        <w:tc>
          <w:tcPr>
            <w:tcW w:w="509" w:type="pct"/>
            <w:vAlign w:val="center"/>
          </w:tcPr>
          <w:p w14:paraId="3D085AB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48C5774" w14:textId="77777777" w:rsidR="005C3D48" w:rsidRPr="00411D9E" w:rsidRDefault="005C3D48" w:rsidP="00FF262E">
            <w:pPr>
              <w:jc w:val="left"/>
              <w:rPr>
                <w:rFonts w:eastAsia="Times New Roman" w:cstheme="minorHAnsi"/>
                <w:bCs/>
              </w:rPr>
            </w:pPr>
            <w:r w:rsidRPr="00411D9E">
              <w:rPr>
                <w:rFonts w:eastAsia="Times New Roman" w:cstheme="minorHAnsi"/>
                <w:bCs/>
              </w:rPr>
              <w:t>Follow-up Care for Children Prescribed Attention Deficit Hyperactivity Disorder (ADHD)—Initiation Phase</w:t>
            </w:r>
          </w:p>
        </w:tc>
      </w:tr>
      <w:tr w:rsidR="005C3D48" w:rsidRPr="00411D9E" w14:paraId="5BA5CA69" w14:textId="77777777" w:rsidTr="00BC297A">
        <w:trPr>
          <w:cantSplit/>
          <w:trHeight w:val="20"/>
          <w:jc w:val="center"/>
        </w:trPr>
        <w:tc>
          <w:tcPr>
            <w:tcW w:w="509" w:type="pct"/>
            <w:vAlign w:val="center"/>
          </w:tcPr>
          <w:p w14:paraId="027BFC0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97F81DC" w14:textId="77777777" w:rsidR="005C3D48" w:rsidRPr="00411D9E" w:rsidRDefault="005C3D48" w:rsidP="00FF262E">
            <w:pPr>
              <w:jc w:val="left"/>
              <w:rPr>
                <w:rFonts w:eastAsia="Times New Roman" w:cstheme="minorHAnsi"/>
                <w:bCs/>
              </w:rPr>
            </w:pPr>
            <w:r w:rsidRPr="00411D9E">
              <w:rPr>
                <w:rFonts w:eastAsia="Times New Roman" w:cstheme="minorHAnsi"/>
                <w:bCs/>
              </w:rPr>
              <w:t>Follow-up Care for Children Prescribed Attention Deficit Hyperactivity Disorder (ADHD) Medication—Continuation and Maintenance Phase</w:t>
            </w:r>
          </w:p>
        </w:tc>
      </w:tr>
      <w:tr w:rsidR="005C3D48" w:rsidRPr="00411D9E" w14:paraId="3F1B94AA" w14:textId="77777777" w:rsidTr="00BC297A">
        <w:trPr>
          <w:cantSplit/>
          <w:trHeight w:val="20"/>
          <w:jc w:val="center"/>
        </w:trPr>
        <w:tc>
          <w:tcPr>
            <w:tcW w:w="509" w:type="pct"/>
            <w:vAlign w:val="center"/>
          </w:tcPr>
          <w:p w14:paraId="025307CC"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65ED4EE" w14:textId="77777777" w:rsidR="005C3D48" w:rsidRPr="00411D9E" w:rsidRDefault="005C3D48" w:rsidP="00FF262E">
            <w:pPr>
              <w:jc w:val="left"/>
              <w:rPr>
                <w:rFonts w:eastAsia="Times New Roman" w:cstheme="minorHAnsi"/>
              </w:rPr>
            </w:pPr>
            <w:r w:rsidRPr="00411D9E">
              <w:rPr>
                <w:rFonts w:eastAsia="Times New Roman" w:cstheme="minorHAnsi"/>
              </w:rPr>
              <w:t>Follow-up Care After Hospitalization for Mental Illness—7 Days</w:t>
            </w:r>
          </w:p>
        </w:tc>
      </w:tr>
      <w:tr w:rsidR="005C3D48" w:rsidRPr="00411D9E" w14:paraId="664ABAFE" w14:textId="77777777" w:rsidTr="00BC297A">
        <w:trPr>
          <w:cantSplit/>
          <w:trHeight w:val="20"/>
          <w:jc w:val="center"/>
        </w:trPr>
        <w:tc>
          <w:tcPr>
            <w:tcW w:w="509" w:type="pct"/>
            <w:vAlign w:val="center"/>
          </w:tcPr>
          <w:p w14:paraId="20232550"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F5B2295" w14:textId="77777777" w:rsidR="005C3D48" w:rsidRPr="00411D9E" w:rsidRDefault="005C3D48" w:rsidP="00FF262E">
            <w:pPr>
              <w:jc w:val="left"/>
              <w:rPr>
                <w:rFonts w:eastAsia="Times New Roman" w:cstheme="minorHAnsi"/>
              </w:rPr>
            </w:pPr>
            <w:r w:rsidRPr="00411D9E">
              <w:rPr>
                <w:rFonts w:eastAsia="Times New Roman" w:cstheme="minorHAnsi"/>
              </w:rPr>
              <w:t>Follow-up Care After Hospitalization for Mental Illness—30 Days</w:t>
            </w:r>
          </w:p>
        </w:tc>
      </w:tr>
      <w:tr w:rsidR="005C3D48" w:rsidRPr="00411D9E" w14:paraId="0744FD88" w14:textId="77777777" w:rsidTr="00BC297A">
        <w:trPr>
          <w:cantSplit/>
          <w:trHeight w:val="20"/>
          <w:jc w:val="center"/>
        </w:trPr>
        <w:tc>
          <w:tcPr>
            <w:tcW w:w="509" w:type="pct"/>
            <w:vAlign w:val="center"/>
          </w:tcPr>
          <w:p w14:paraId="5BF48EB1"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50131622" w14:textId="77777777" w:rsidR="005C3D48" w:rsidRPr="00411D9E" w:rsidRDefault="005C3D48" w:rsidP="00FF262E">
            <w:pPr>
              <w:jc w:val="left"/>
              <w:rPr>
                <w:rFonts w:cstheme="minorHAnsi"/>
              </w:rPr>
            </w:pPr>
            <w:r w:rsidRPr="00411D9E">
              <w:rPr>
                <w:rFonts w:cstheme="minorHAnsi"/>
              </w:rPr>
              <w:t>Follow-up After High-Intensity Care for Substance Use Disorder—30 days (13–17 years)</w:t>
            </w:r>
          </w:p>
        </w:tc>
      </w:tr>
      <w:tr w:rsidR="005C3D48" w:rsidRPr="00411D9E" w14:paraId="659EF8B9" w14:textId="77777777" w:rsidTr="00BC297A">
        <w:trPr>
          <w:cantSplit/>
          <w:trHeight w:val="20"/>
          <w:jc w:val="center"/>
        </w:trPr>
        <w:tc>
          <w:tcPr>
            <w:tcW w:w="509" w:type="pct"/>
            <w:vAlign w:val="center"/>
          </w:tcPr>
          <w:p w14:paraId="7CBF027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6CDF0E2" w14:textId="77777777" w:rsidR="005C3D48" w:rsidRPr="00411D9E" w:rsidRDefault="005C3D48" w:rsidP="00FF262E">
            <w:pPr>
              <w:jc w:val="left"/>
              <w:rPr>
                <w:rFonts w:cstheme="minorHAnsi"/>
              </w:rPr>
            </w:pPr>
            <w:r w:rsidRPr="00411D9E">
              <w:rPr>
                <w:rFonts w:cstheme="minorHAnsi"/>
              </w:rPr>
              <w:t>Follow-up After High-Intensity Care for Substance Use Disorder—30 days (18–19 years)</w:t>
            </w:r>
          </w:p>
        </w:tc>
      </w:tr>
      <w:tr w:rsidR="005C3D48" w:rsidRPr="00411D9E" w14:paraId="51E538BA" w14:textId="77777777" w:rsidTr="00BC297A">
        <w:trPr>
          <w:cantSplit/>
          <w:trHeight w:val="20"/>
          <w:jc w:val="center"/>
        </w:trPr>
        <w:tc>
          <w:tcPr>
            <w:tcW w:w="509" w:type="pct"/>
            <w:vAlign w:val="center"/>
          </w:tcPr>
          <w:p w14:paraId="1EB8BD4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0413D9B" w14:textId="77777777" w:rsidR="005C3D48" w:rsidRPr="00411D9E" w:rsidRDefault="005C3D48" w:rsidP="00FF262E">
            <w:pPr>
              <w:jc w:val="left"/>
              <w:rPr>
                <w:rFonts w:cstheme="minorHAnsi"/>
              </w:rPr>
            </w:pPr>
            <w:r w:rsidRPr="00411D9E">
              <w:rPr>
                <w:rFonts w:cstheme="minorHAnsi"/>
              </w:rPr>
              <w:t>Follow-up After High-Intensity Care for Substance Use Disorder—30 days (Total)</w:t>
            </w:r>
          </w:p>
        </w:tc>
      </w:tr>
      <w:tr w:rsidR="005C3D48" w:rsidRPr="00411D9E" w14:paraId="7328A160" w14:textId="77777777" w:rsidTr="00BC297A">
        <w:trPr>
          <w:cantSplit/>
          <w:trHeight w:val="20"/>
          <w:jc w:val="center"/>
        </w:trPr>
        <w:tc>
          <w:tcPr>
            <w:tcW w:w="509" w:type="pct"/>
            <w:vAlign w:val="center"/>
          </w:tcPr>
          <w:p w14:paraId="61BE141B" w14:textId="77777777" w:rsidR="005C3D48" w:rsidRPr="00411D9E" w:rsidRDefault="005C3D48" w:rsidP="00FF262E">
            <w:pPr>
              <w:jc w:val="center"/>
              <w:rPr>
                <w:rFonts w:cstheme="minorHAnsi"/>
              </w:rPr>
            </w:pPr>
            <w:r w:rsidRPr="00411D9E">
              <w:rPr>
                <w:rFonts w:cstheme="minorHAnsi"/>
              </w:rPr>
              <w:lastRenderedPageBreak/>
              <w:t>HEDIS</w:t>
            </w:r>
          </w:p>
        </w:tc>
        <w:tc>
          <w:tcPr>
            <w:tcW w:w="4491" w:type="pct"/>
            <w:vAlign w:val="center"/>
          </w:tcPr>
          <w:p w14:paraId="54163629" w14:textId="77777777" w:rsidR="005C3D48" w:rsidRPr="00411D9E" w:rsidRDefault="005C3D48" w:rsidP="00FF262E">
            <w:pPr>
              <w:jc w:val="left"/>
              <w:rPr>
                <w:rFonts w:cstheme="minorHAnsi"/>
              </w:rPr>
            </w:pPr>
            <w:r w:rsidRPr="00411D9E">
              <w:rPr>
                <w:rFonts w:cstheme="minorHAnsi"/>
              </w:rPr>
              <w:t>Follow-up After High-Intensity Care for Substance Use Disorder—7 days (13–17 years)</w:t>
            </w:r>
          </w:p>
        </w:tc>
      </w:tr>
      <w:tr w:rsidR="005C3D48" w:rsidRPr="00411D9E" w14:paraId="1BDA97EC" w14:textId="77777777" w:rsidTr="00BC297A">
        <w:trPr>
          <w:cantSplit/>
          <w:trHeight w:val="20"/>
          <w:jc w:val="center"/>
        </w:trPr>
        <w:tc>
          <w:tcPr>
            <w:tcW w:w="509" w:type="pct"/>
            <w:vAlign w:val="center"/>
          </w:tcPr>
          <w:p w14:paraId="78C3E1F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DC00DB5" w14:textId="77777777" w:rsidR="005C3D48" w:rsidRPr="00411D9E" w:rsidRDefault="005C3D48" w:rsidP="00FF262E">
            <w:pPr>
              <w:jc w:val="left"/>
              <w:rPr>
                <w:rFonts w:cstheme="minorHAnsi"/>
              </w:rPr>
            </w:pPr>
            <w:r w:rsidRPr="00411D9E">
              <w:rPr>
                <w:rFonts w:cstheme="minorHAnsi"/>
              </w:rPr>
              <w:t>Follow-up After High-Intensity Care for Substance Use Disorder—7 days (18–19 years)</w:t>
            </w:r>
          </w:p>
        </w:tc>
      </w:tr>
      <w:tr w:rsidR="005C3D48" w:rsidRPr="00411D9E" w14:paraId="7A21F061" w14:textId="77777777" w:rsidTr="00BC297A">
        <w:trPr>
          <w:cantSplit/>
          <w:trHeight w:val="20"/>
          <w:jc w:val="center"/>
        </w:trPr>
        <w:tc>
          <w:tcPr>
            <w:tcW w:w="509" w:type="pct"/>
            <w:vAlign w:val="center"/>
          </w:tcPr>
          <w:p w14:paraId="2C02F0EF"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7E1BD25" w14:textId="77777777" w:rsidR="005C3D48" w:rsidRPr="00411D9E" w:rsidRDefault="005C3D48" w:rsidP="00FF262E">
            <w:pPr>
              <w:jc w:val="left"/>
              <w:rPr>
                <w:rFonts w:cstheme="minorHAnsi"/>
              </w:rPr>
            </w:pPr>
            <w:r w:rsidRPr="00411D9E">
              <w:rPr>
                <w:rFonts w:cstheme="minorHAnsi"/>
              </w:rPr>
              <w:t>Follow-up After High-Intensity Care for Substance Use Disorder—7 days (Total)</w:t>
            </w:r>
          </w:p>
        </w:tc>
      </w:tr>
      <w:tr w:rsidR="005C3D48" w:rsidRPr="00411D9E" w14:paraId="0F15E11C" w14:textId="77777777" w:rsidTr="00BC297A">
        <w:trPr>
          <w:cantSplit/>
          <w:trHeight w:val="20"/>
          <w:jc w:val="center"/>
        </w:trPr>
        <w:tc>
          <w:tcPr>
            <w:tcW w:w="5000" w:type="pct"/>
            <w:gridSpan w:val="2"/>
            <w:shd w:val="clear" w:color="auto" w:fill="CCC0D9" w:themeFill="accent4" w:themeFillTint="66"/>
          </w:tcPr>
          <w:p w14:paraId="030FC56F" w14:textId="77777777" w:rsidR="005C3D48" w:rsidRPr="00411D9E" w:rsidRDefault="005C3D48" w:rsidP="00FF262E">
            <w:pPr>
              <w:rPr>
                <w:rFonts w:cstheme="minorHAnsi"/>
                <w:color w:val="000000" w:themeColor="text1"/>
              </w:rPr>
            </w:pPr>
            <w:r w:rsidRPr="00411D9E">
              <w:rPr>
                <w:rFonts w:cstheme="minorHAnsi"/>
                <w:color w:val="000000" w:themeColor="text1"/>
              </w:rPr>
              <w:t>Dental Care for Children</w:t>
            </w:r>
          </w:p>
        </w:tc>
      </w:tr>
      <w:tr w:rsidR="005C3D48" w:rsidRPr="00411D9E" w14:paraId="1DAC8E7E" w14:textId="77777777" w:rsidTr="00BC297A">
        <w:trPr>
          <w:cantSplit/>
          <w:trHeight w:val="20"/>
          <w:jc w:val="center"/>
        </w:trPr>
        <w:tc>
          <w:tcPr>
            <w:tcW w:w="509" w:type="pct"/>
            <w:vAlign w:val="center"/>
          </w:tcPr>
          <w:p w14:paraId="5569A1FA"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5077C425" w14:textId="77777777" w:rsidR="005C3D48" w:rsidRPr="00411D9E" w:rsidRDefault="005C3D48" w:rsidP="00FF262E">
            <w:pPr>
              <w:jc w:val="left"/>
              <w:rPr>
                <w:rFonts w:eastAsia="Times New Roman" w:cstheme="minorHAnsi"/>
              </w:rPr>
            </w:pPr>
            <w:r w:rsidRPr="00411D9E">
              <w:rPr>
                <w:rFonts w:eastAsia="Times New Roman" w:cstheme="minorHAnsi"/>
              </w:rPr>
              <w:t>Annual Dental Visit (2–3 Years)</w:t>
            </w:r>
          </w:p>
        </w:tc>
      </w:tr>
      <w:tr w:rsidR="005C3D48" w:rsidRPr="00411D9E" w14:paraId="1DB75CE3" w14:textId="77777777" w:rsidTr="00BC297A">
        <w:trPr>
          <w:cantSplit/>
          <w:trHeight w:val="20"/>
          <w:jc w:val="center"/>
        </w:trPr>
        <w:tc>
          <w:tcPr>
            <w:tcW w:w="509" w:type="pct"/>
            <w:vAlign w:val="center"/>
          </w:tcPr>
          <w:p w14:paraId="7FE34373"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4C9F7E26" w14:textId="77777777" w:rsidR="005C3D48" w:rsidRPr="00411D9E" w:rsidRDefault="005C3D48" w:rsidP="00FF262E">
            <w:pPr>
              <w:jc w:val="left"/>
              <w:rPr>
                <w:rFonts w:eastAsia="Times New Roman" w:cstheme="minorHAnsi"/>
              </w:rPr>
            </w:pPr>
            <w:r w:rsidRPr="00411D9E">
              <w:rPr>
                <w:rFonts w:eastAsia="Times New Roman" w:cstheme="minorHAnsi"/>
              </w:rPr>
              <w:t>Annual Dental Visit (4–6 Years)</w:t>
            </w:r>
          </w:p>
        </w:tc>
      </w:tr>
      <w:tr w:rsidR="005C3D48" w:rsidRPr="00411D9E" w14:paraId="1840BA3E" w14:textId="77777777" w:rsidTr="00BC297A">
        <w:trPr>
          <w:cantSplit/>
          <w:trHeight w:val="20"/>
          <w:jc w:val="center"/>
        </w:trPr>
        <w:tc>
          <w:tcPr>
            <w:tcW w:w="509" w:type="pct"/>
            <w:vAlign w:val="center"/>
          </w:tcPr>
          <w:p w14:paraId="1E732537"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42678406" w14:textId="77777777" w:rsidR="005C3D48" w:rsidRPr="00411D9E" w:rsidRDefault="005C3D48" w:rsidP="00FF262E">
            <w:pPr>
              <w:jc w:val="left"/>
              <w:rPr>
                <w:rFonts w:eastAsia="Times New Roman" w:cstheme="minorHAnsi"/>
              </w:rPr>
            </w:pPr>
            <w:r w:rsidRPr="00411D9E">
              <w:rPr>
                <w:rFonts w:eastAsia="Times New Roman" w:cstheme="minorHAnsi"/>
              </w:rPr>
              <w:t>Annual Dental Visit (7–10 Years)</w:t>
            </w:r>
          </w:p>
        </w:tc>
      </w:tr>
      <w:tr w:rsidR="005C3D48" w:rsidRPr="00411D9E" w14:paraId="09F1A888" w14:textId="77777777" w:rsidTr="00BC297A">
        <w:trPr>
          <w:cantSplit/>
          <w:trHeight w:val="20"/>
          <w:jc w:val="center"/>
        </w:trPr>
        <w:tc>
          <w:tcPr>
            <w:tcW w:w="509" w:type="pct"/>
            <w:vAlign w:val="center"/>
          </w:tcPr>
          <w:p w14:paraId="06358AC2"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4F18EAB9" w14:textId="77777777" w:rsidR="005C3D48" w:rsidRPr="00411D9E" w:rsidRDefault="005C3D48" w:rsidP="00FF262E">
            <w:pPr>
              <w:jc w:val="left"/>
              <w:rPr>
                <w:rFonts w:eastAsia="Times New Roman" w:cstheme="minorHAnsi"/>
              </w:rPr>
            </w:pPr>
            <w:r w:rsidRPr="00411D9E">
              <w:rPr>
                <w:rFonts w:eastAsia="Times New Roman" w:cstheme="minorHAnsi"/>
              </w:rPr>
              <w:t>Annual Dental Visit (11–14 Years)</w:t>
            </w:r>
          </w:p>
        </w:tc>
      </w:tr>
      <w:tr w:rsidR="005C3D48" w:rsidRPr="00411D9E" w14:paraId="06BBF98F" w14:textId="77777777" w:rsidTr="00BC297A">
        <w:trPr>
          <w:cantSplit/>
          <w:trHeight w:val="20"/>
          <w:jc w:val="center"/>
        </w:trPr>
        <w:tc>
          <w:tcPr>
            <w:tcW w:w="509" w:type="pct"/>
            <w:vAlign w:val="center"/>
          </w:tcPr>
          <w:p w14:paraId="16DB1D69"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6F03FADE" w14:textId="77777777" w:rsidR="005C3D48" w:rsidRPr="00411D9E" w:rsidRDefault="005C3D48" w:rsidP="00FF262E">
            <w:pPr>
              <w:jc w:val="left"/>
              <w:rPr>
                <w:rFonts w:eastAsia="Times New Roman" w:cstheme="minorHAnsi"/>
              </w:rPr>
            </w:pPr>
            <w:r w:rsidRPr="00411D9E">
              <w:rPr>
                <w:rFonts w:eastAsia="Times New Roman" w:cstheme="minorHAnsi"/>
              </w:rPr>
              <w:t>Annual Dental Visit (15–18 Years)</w:t>
            </w:r>
          </w:p>
        </w:tc>
      </w:tr>
      <w:tr w:rsidR="005C3D48" w:rsidRPr="00411D9E" w14:paraId="6DD37EB9" w14:textId="77777777" w:rsidTr="00BC297A">
        <w:trPr>
          <w:cantSplit/>
          <w:trHeight w:val="20"/>
          <w:jc w:val="center"/>
        </w:trPr>
        <w:tc>
          <w:tcPr>
            <w:tcW w:w="509" w:type="pct"/>
            <w:vAlign w:val="center"/>
          </w:tcPr>
          <w:p w14:paraId="74618D6E"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5D7BB4CA" w14:textId="07637394" w:rsidR="005C3D48" w:rsidRPr="00411D9E" w:rsidRDefault="005C3D48" w:rsidP="00FF262E">
            <w:pPr>
              <w:jc w:val="left"/>
              <w:rPr>
                <w:rFonts w:eastAsia="Times New Roman" w:cstheme="minorHAnsi"/>
              </w:rPr>
            </w:pPr>
            <w:r w:rsidRPr="00411D9E">
              <w:rPr>
                <w:rFonts w:eastAsia="Times New Roman" w:cstheme="minorHAnsi"/>
              </w:rPr>
              <w:t>Annual Dental Visit (19</w:t>
            </w:r>
            <w:r w:rsidR="00E45F45">
              <w:rPr>
                <w:rFonts w:eastAsia="Times New Roman" w:cstheme="minorHAnsi"/>
              </w:rPr>
              <w:t xml:space="preserve"> Years)</w:t>
            </w:r>
          </w:p>
        </w:tc>
      </w:tr>
      <w:tr w:rsidR="005C3D48" w:rsidRPr="00411D9E" w14:paraId="47F1474A" w14:textId="77777777" w:rsidTr="00BC297A">
        <w:trPr>
          <w:cantSplit/>
          <w:trHeight w:val="20"/>
          <w:jc w:val="center"/>
        </w:trPr>
        <w:tc>
          <w:tcPr>
            <w:tcW w:w="509" w:type="pct"/>
            <w:vAlign w:val="center"/>
          </w:tcPr>
          <w:p w14:paraId="65B17B23" w14:textId="77777777" w:rsidR="005C3D48" w:rsidRPr="00411D9E" w:rsidRDefault="005C3D48" w:rsidP="00FF262E">
            <w:pPr>
              <w:jc w:val="center"/>
              <w:rPr>
                <w:rFonts w:eastAsia="Times New Roman" w:cstheme="minorHAnsi"/>
              </w:rPr>
            </w:pPr>
            <w:r w:rsidRPr="00411D9E">
              <w:rPr>
                <w:rFonts w:cstheme="minorHAnsi"/>
              </w:rPr>
              <w:t>HEDIS</w:t>
            </w:r>
          </w:p>
        </w:tc>
        <w:tc>
          <w:tcPr>
            <w:tcW w:w="4491" w:type="pct"/>
            <w:vAlign w:val="center"/>
          </w:tcPr>
          <w:p w14:paraId="64CDD856" w14:textId="77777777" w:rsidR="005C3D48" w:rsidRPr="00411D9E" w:rsidRDefault="005C3D48" w:rsidP="00FF262E">
            <w:pPr>
              <w:jc w:val="left"/>
              <w:rPr>
                <w:rFonts w:eastAsia="Times New Roman" w:cstheme="minorHAnsi"/>
              </w:rPr>
            </w:pPr>
            <w:r w:rsidRPr="00411D9E">
              <w:rPr>
                <w:rFonts w:eastAsia="Times New Roman" w:cstheme="minorHAnsi"/>
              </w:rPr>
              <w:t>Annual Dental Visit (Total)</w:t>
            </w:r>
          </w:p>
        </w:tc>
      </w:tr>
      <w:tr w:rsidR="005C3D48" w:rsidRPr="00411D9E" w14:paraId="0D1ACE49" w14:textId="77777777" w:rsidTr="00BC297A">
        <w:trPr>
          <w:cantSplit/>
          <w:trHeight w:val="20"/>
          <w:jc w:val="center"/>
        </w:trPr>
        <w:tc>
          <w:tcPr>
            <w:tcW w:w="509" w:type="pct"/>
            <w:vAlign w:val="center"/>
          </w:tcPr>
          <w:p w14:paraId="0E48B8E1"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16E93ECC" w14:textId="77777777" w:rsidR="005C3D48" w:rsidRPr="00411D9E" w:rsidRDefault="005C3D48" w:rsidP="00FF262E">
            <w:pPr>
              <w:jc w:val="left"/>
              <w:rPr>
                <w:rFonts w:eastAsia="Times New Roman" w:cstheme="minorHAnsi"/>
              </w:rPr>
            </w:pPr>
            <w:r w:rsidRPr="00411D9E">
              <w:rPr>
                <w:rFonts w:eastAsia="Times New Roman" w:cstheme="minorHAnsi"/>
              </w:rPr>
              <w:t>Sealant Receipt on Permanent First Molars (</w:t>
            </w:r>
            <w:r w:rsidRPr="003110EC">
              <w:rPr>
                <w:rFonts w:eastAsia="Times New Roman" w:cstheme="minorHAnsi"/>
                <w:u w:val="single"/>
              </w:rPr>
              <w:t>&gt;</w:t>
            </w:r>
            <w:r w:rsidRPr="00411D9E">
              <w:rPr>
                <w:rFonts w:eastAsia="Times New Roman" w:cstheme="minorHAnsi"/>
              </w:rPr>
              <w:t xml:space="preserve"> 1 molar)</w:t>
            </w:r>
          </w:p>
        </w:tc>
      </w:tr>
      <w:tr w:rsidR="005C3D48" w:rsidRPr="00411D9E" w14:paraId="521DACD4" w14:textId="77777777" w:rsidTr="00BC297A">
        <w:trPr>
          <w:cantSplit/>
          <w:trHeight w:val="20"/>
          <w:jc w:val="center"/>
        </w:trPr>
        <w:tc>
          <w:tcPr>
            <w:tcW w:w="509" w:type="pct"/>
            <w:vAlign w:val="center"/>
          </w:tcPr>
          <w:p w14:paraId="58688682"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3CFD07B6" w14:textId="77777777" w:rsidR="005C3D48" w:rsidRPr="00411D9E" w:rsidRDefault="005C3D48" w:rsidP="00FF262E">
            <w:pPr>
              <w:jc w:val="left"/>
              <w:rPr>
                <w:rFonts w:eastAsia="Times New Roman" w:cstheme="minorHAnsi"/>
              </w:rPr>
            </w:pPr>
            <w:r w:rsidRPr="00411D9E">
              <w:rPr>
                <w:rFonts w:eastAsia="Times New Roman" w:cstheme="minorHAnsi"/>
              </w:rPr>
              <w:t>Sealant Receipt on Permanent First Molars (All 4 molars)</w:t>
            </w:r>
          </w:p>
        </w:tc>
      </w:tr>
      <w:tr w:rsidR="005C3D48" w:rsidRPr="00411D9E" w14:paraId="5101FF81" w14:textId="77777777" w:rsidTr="00BC297A">
        <w:trPr>
          <w:cantSplit/>
          <w:trHeight w:val="20"/>
          <w:jc w:val="center"/>
        </w:trPr>
        <w:tc>
          <w:tcPr>
            <w:tcW w:w="5000" w:type="pct"/>
            <w:gridSpan w:val="2"/>
            <w:shd w:val="clear" w:color="auto" w:fill="CCC0D9" w:themeFill="accent4" w:themeFillTint="66"/>
          </w:tcPr>
          <w:p w14:paraId="577C2771" w14:textId="77777777" w:rsidR="005C3D48" w:rsidRPr="00411D9E" w:rsidRDefault="005C3D48" w:rsidP="00FF262E">
            <w:pPr>
              <w:rPr>
                <w:rFonts w:cstheme="minorHAnsi"/>
                <w:color w:val="000000" w:themeColor="text1"/>
              </w:rPr>
            </w:pPr>
            <w:r w:rsidRPr="00411D9E">
              <w:rPr>
                <w:rFonts w:cstheme="minorHAnsi"/>
                <w:color w:val="000000" w:themeColor="text1"/>
              </w:rPr>
              <w:t>Respiratory Conditions</w:t>
            </w:r>
          </w:p>
        </w:tc>
      </w:tr>
      <w:tr w:rsidR="005C3D48" w:rsidRPr="00411D9E" w14:paraId="25E1AE7C" w14:textId="77777777" w:rsidTr="00BC297A">
        <w:trPr>
          <w:cantSplit/>
          <w:trHeight w:val="20"/>
          <w:jc w:val="center"/>
        </w:trPr>
        <w:tc>
          <w:tcPr>
            <w:tcW w:w="509" w:type="pct"/>
            <w:vAlign w:val="center"/>
          </w:tcPr>
          <w:p w14:paraId="54B3CF74"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12A7BF2" w14:textId="77777777" w:rsidR="005C3D48" w:rsidRPr="00411D9E" w:rsidRDefault="005C3D48" w:rsidP="00FF262E">
            <w:pPr>
              <w:jc w:val="left"/>
              <w:rPr>
                <w:rFonts w:eastAsia="Times New Roman" w:cstheme="minorHAnsi"/>
              </w:rPr>
            </w:pPr>
            <w:r w:rsidRPr="00411D9E">
              <w:rPr>
                <w:rFonts w:eastAsia="Times New Roman" w:cstheme="minorHAnsi"/>
              </w:rPr>
              <w:t>Appropriate Testing for Pharyngitis (Ages 3–17 years)</w:t>
            </w:r>
          </w:p>
        </w:tc>
      </w:tr>
      <w:tr w:rsidR="005C3D48" w:rsidRPr="00411D9E" w14:paraId="16317174" w14:textId="77777777" w:rsidTr="00BC297A">
        <w:trPr>
          <w:cantSplit/>
          <w:trHeight w:val="20"/>
          <w:jc w:val="center"/>
        </w:trPr>
        <w:tc>
          <w:tcPr>
            <w:tcW w:w="509" w:type="pct"/>
            <w:vAlign w:val="center"/>
          </w:tcPr>
          <w:p w14:paraId="5DEF8E08"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A28B195" w14:textId="77777777" w:rsidR="005C3D48" w:rsidRPr="00411D9E" w:rsidRDefault="005C3D48" w:rsidP="00FF262E">
            <w:pPr>
              <w:jc w:val="left"/>
              <w:rPr>
                <w:rFonts w:eastAsia="Times New Roman" w:cstheme="minorHAnsi"/>
              </w:rPr>
            </w:pPr>
            <w:r w:rsidRPr="00411D9E">
              <w:rPr>
                <w:rFonts w:eastAsia="Times New Roman" w:cstheme="minorHAnsi"/>
              </w:rPr>
              <w:t>Appropriate Testing for Pharyngitis (Ages 18 years)</w:t>
            </w:r>
          </w:p>
        </w:tc>
      </w:tr>
      <w:tr w:rsidR="005C3D48" w:rsidRPr="00411D9E" w14:paraId="44C298B2" w14:textId="77777777" w:rsidTr="00BC297A">
        <w:trPr>
          <w:cantSplit/>
          <w:trHeight w:val="20"/>
          <w:jc w:val="center"/>
        </w:trPr>
        <w:tc>
          <w:tcPr>
            <w:tcW w:w="509" w:type="pct"/>
            <w:vAlign w:val="center"/>
          </w:tcPr>
          <w:p w14:paraId="01DA3E3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C90A97B" w14:textId="77777777" w:rsidR="005C3D48" w:rsidRPr="00411D9E" w:rsidRDefault="005C3D48" w:rsidP="00FF262E">
            <w:pPr>
              <w:jc w:val="left"/>
              <w:rPr>
                <w:rFonts w:eastAsia="Times New Roman" w:cstheme="minorHAnsi"/>
              </w:rPr>
            </w:pPr>
            <w:r w:rsidRPr="00411D9E">
              <w:rPr>
                <w:rFonts w:eastAsia="Times New Roman" w:cstheme="minorHAnsi"/>
              </w:rPr>
              <w:t>Appropriate Testing for Pharyngitis (Total)</w:t>
            </w:r>
          </w:p>
        </w:tc>
      </w:tr>
      <w:tr w:rsidR="005C3D48" w:rsidRPr="00411D9E" w14:paraId="3C8F336F" w14:textId="77777777" w:rsidTr="00BC297A">
        <w:trPr>
          <w:cantSplit/>
          <w:trHeight w:val="20"/>
          <w:jc w:val="center"/>
        </w:trPr>
        <w:tc>
          <w:tcPr>
            <w:tcW w:w="509" w:type="pct"/>
            <w:vAlign w:val="center"/>
          </w:tcPr>
          <w:p w14:paraId="7868BA4E"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4C033C7" w14:textId="77777777" w:rsidR="005C3D48" w:rsidRPr="00411D9E" w:rsidRDefault="005C3D48" w:rsidP="00FF262E">
            <w:pPr>
              <w:jc w:val="left"/>
              <w:rPr>
                <w:rFonts w:eastAsia="Times New Roman" w:cstheme="minorHAnsi"/>
              </w:rPr>
            </w:pPr>
            <w:r w:rsidRPr="00411D9E">
              <w:rPr>
                <w:rFonts w:eastAsia="Times New Roman" w:cstheme="minorHAnsi"/>
              </w:rPr>
              <w:t>Appropriate Treatment for Upper Respiratory Infection (3–17 years)</w:t>
            </w:r>
          </w:p>
        </w:tc>
      </w:tr>
      <w:tr w:rsidR="005C3D48" w:rsidRPr="00411D9E" w14:paraId="2F230C14" w14:textId="77777777" w:rsidTr="00BC297A">
        <w:trPr>
          <w:cantSplit/>
          <w:trHeight w:val="20"/>
          <w:jc w:val="center"/>
        </w:trPr>
        <w:tc>
          <w:tcPr>
            <w:tcW w:w="509" w:type="pct"/>
            <w:vAlign w:val="center"/>
          </w:tcPr>
          <w:p w14:paraId="5CB4F081"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247B7422" w14:textId="77777777" w:rsidR="005C3D48" w:rsidRPr="00411D9E" w:rsidRDefault="005C3D48" w:rsidP="00FF262E">
            <w:pPr>
              <w:jc w:val="left"/>
              <w:rPr>
                <w:rFonts w:eastAsia="Times New Roman" w:cstheme="minorHAnsi"/>
              </w:rPr>
            </w:pPr>
            <w:r w:rsidRPr="00411D9E">
              <w:rPr>
                <w:rFonts w:eastAsia="Times New Roman" w:cstheme="minorHAnsi"/>
              </w:rPr>
              <w:t>Appropriate Treatment for Upper Respiratory Infection (18 years)</w:t>
            </w:r>
          </w:p>
        </w:tc>
      </w:tr>
      <w:tr w:rsidR="005C3D48" w:rsidRPr="00411D9E" w14:paraId="0457A756" w14:textId="77777777" w:rsidTr="00BC297A">
        <w:trPr>
          <w:cantSplit/>
          <w:trHeight w:val="20"/>
          <w:jc w:val="center"/>
        </w:trPr>
        <w:tc>
          <w:tcPr>
            <w:tcW w:w="509" w:type="pct"/>
            <w:vAlign w:val="center"/>
          </w:tcPr>
          <w:p w14:paraId="6E9318EE"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C304F1C" w14:textId="77777777" w:rsidR="005C3D48" w:rsidRPr="00411D9E" w:rsidRDefault="005C3D48" w:rsidP="00FF262E">
            <w:pPr>
              <w:jc w:val="left"/>
              <w:rPr>
                <w:rFonts w:eastAsia="Times New Roman" w:cstheme="minorHAnsi"/>
              </w:rPr>
            </w:pPr>
            <w:r w:rsidRPr="00411D9E">
              <w:rPr>
                <w:rFonts w:eastAsia="Times New Roman" w:cstheme="minorHAnsi"/>
              </w:rPr>
              <w:t>Appropriate Treatment for Upper Respiratory Infection (Total)</w:t>
            </w:r>
          </w:p>
        </w:tc>
      </w:tr>
      <w:tr w:rsidR="005C3D48" w:rsidRPr="00411D9E" w14:paraId="7A644E95" w14:textId="77777777" w:rsidTr="00BC297A">
        <w:trPr>
          <w:cantSplit/>
          <w:trHeight w:val="20"/>
          <w:jc w:val="center"/>
        </w:trPr>
        <w:tc>
          <w:tcPr>
            <w:tcW w:w="509" w:type="pct"/>
            <w:vAlign w:val="center"/>
          </w:tcPr>
          <w:p w14:paraId="31BB50A1" w14:textId="77777777" w:rsidR="005C3D48" w:rsidRPr="00411D9E" w:rsidRDefault="005C3D48" w:rsidP="00FF262E">
            <w:pPr>
              <w:jc w:val="center"/>
              <w:rPr>
                <w:rFonts w:eastAsia="Times New Roman" w:cstheme="minorHAnsi"/>
              </w:rPr>
            </w:pPr>
            <w:r w:rsidRPr="00411D9E">
              <w:rPr>
                <w:rFonts w:eastAsia="Times New Roman" w:cstheme="minorHAnsi"/>
              </w:rPr>
              <w:t>PA EQR</w:t>
            </w:r>
          </w:p>
        </w:tc>
        <w:tc>
          <w:tcPr>
            <w:tcW w:w="4491" w:type="pct"/>
            <w:vAlign w:val="center"/>
          </w:tcPr>
          <w:p w14:paraId="7A1107C7" w14:textId="77777777" w:rsidR="005C3D48" w:rsidRPr="00411D9E" w:rsidRDefault="005C3D48" w:rsidP="00FF262E">
            <w:pPr>
              <w:jc w:val="left"/>
              <w:rPr>
                <w:rFonts w:eastAsia="Times New Roman" w:cstheme="minorHAnsi"/>
              </w:rPr>
            </w:pPr>
            <w:r w:rsidRPr="00411D9E">
              <w:rPr>
                <w:rFonts w:eastAsia="Times New Roman" w:cstheme="minorHAnsi"/>
              </w:rPr>
              <w:t>Annual Number of Asthma Patients with One or More Asthma-Related Emergency Room Visits (Age 2–19 years)</w:t>
            </w:r>
          </w:p>
        </w:tc>
      </w:tr>
      <w:tr w:rsidR="005C3D48" w:rsidRPr="00411D9E" w14:paraId="168BCEAE" w14:textId="77777777" w:rsidTr="00BC297A">
        <w:trPr>
          <w:cantSplit/>
          <w:trHeight w:val="20"/>
          <w:jc w:val="center"/>
        </w:trPr>
        <w:tc>
          <w:tcPr>
            <w:tcW w:w="509" w:type="pct"/>
            <w:vAlign w:val="center"/>
          </w:tcPr>
          <w:p w14:paraId="75279C8B"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BAD686D" w14:textId="77777777" w:rsidR="005C3D48" w:rsidRPr="00411D9E" w:rsidRDefault="005C3D48" w:rsidP="00FF262E">
            <w:pPr>
              <w:jc w:val="left"/>
              <w:rPr>
                <w:rFonts w:eastAsia="Times New Roman" w:cstheme="minorHAnsi"/>
              </w:rPr>
            </w:pPr>
            <w:r w:rsidRPr="00411D9E">
              <w:rPr>
                <w:rFonts w:eastAsia="Times New Roman" w:cstheme="minorHAnsi"/>
              </w:rPr>
              <w:t>Asthma Medication Ratio (5–11 years)</w:t>
            </w:r>
          </w:p>
        </w:tc>
      </w:tr>
      <w:tr w:rsidR="005C3D48" w:rsidRPr="00411D9E" w14:paraId="4F5E227B" w14:textId="77777777" w:rsidTr="00BC297A">
        <w:trPr>
          <w:cantSplit/>
          <w:trHeight w:val="20"/>
          <w:jc w:val="center"/>
        </w:trPr>
        <w:tc>
          <w:tcPr>
            <w:tcW w:w="509" w:type="pct"/>
            <w:vAlign w:val="center"/>
          </w:tcPr>
          <w:p w14:paraId="0C849BB7"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56567F4A" w14:textId="77777777" w:rsidR="005C3D48" w:rsidRPr="00411D9E" w:rsidRDefault="005C3D48" w:rsidP="00FF262E">
            <w:pPr>
              <w:jc w:val="left"/>
              <w:rPr>
                <w:rFonts w:eastAsia="Times New Roman" w:cstheme="minorHAnsi"/>
              </w:rPr>
            </w:pPr>
            <w:r w:rsidRPr="00411D9E">
              <w:rPr>
                <w:rFonts w:eastAsia="Times New Roman" w:cstheme="minorHAnsi"/>
              </w:rPr>
              <w:t>Asthma Medication Ratio (12–18 years)</w:t>
            </w:r>
          </w:p>
        </w:tc>
      </w:tr>
      <w:tr w:rsidR="005C3D48" w:rsidRPr="00411D9E" w14:paraId="59A0DE28" w14:textId="77777777" w:rsidTr="00BC297A">
        <w:trPr>
          <w:cantSplit/>
          <w:trHeight w:val="20"/>
          <w:jc w:val="center"/>
        </w:trPr>
        <w:tc>
          <w:tcPr>
            <w:tcW w:w="509" w:type="pct"/>
            <w:vAlign w:val="center"/>
          </w:tcPr>
          <w:p w14:paraId="695DB866"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B781A97" w14:textId="77777777" w:rsidR="005C3D48" w:rsidRPr="00411D9E" w:rsidRDefault="005C3D48" w:rsidP="00FF262E">
            <w:pPr>
              <w:jc w:val="left"/>
              <w:rPr>
                <w:rFonts w:eastAsia="Times New Roman" w:cstheme="minorHAnsi"/>
              </w:rPr>
            </w:pPr>
            <w:r w:rsidRPr="00411D9E">
              <w:rPr>
                <w:rFonts w:eastAsia="Times New Roman" w:cstheme="minorHAnsi"/>
              </w:rPr>
              <w:t>Asthma Medication Ratio (19 years)</w:t>
            </w:r>
          </w:p>
        </w:tc>
      </w:tr>
      <w:tr w:rsidR="005C3D48" w:rsidRPr="00411D9E" w14:paraId="3E1E23BE" w14:textId="77777777" w:rsidTr="00BC297A">
        <w:trPr>
          <w:cantSplit/>
          <w:trHeight w:val="20"/>
          <w:jc w:val="center"/>
        </w:trPr>
        <w:tc>
          <w:tcPr>
            <w:tcW w:w="509" w:type="pct"/>
            <w:vAlign w:val="center"/>
          </w:tcPr>
          <w:p w14:paraId="0B77936E"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55F8FD9" w14:textId="77777777" w:rsidR="005C3D48" w:rsidRPr="00411D9E" w:rsidRDefault="005C3D48" w:rsidP="00FF262E">
            <w:pPr>
              <w:jc w:val="left"/>
              <w:rPr>
                <w:rFonts w:eastAsia="Times New Roman" w:cstheme="minorHAnsi"/>
              </w:rPr>
            </w:pPr>
            <w:r w:rsidRPr="00411D9E">
              <w:rPr>
                <w:rFonts w:eastAsia="Times New Roman" w:cstheme="minorHAnsi"/>
              </w:rPr>
              <w:t>Asthma Medication Ratio (Total)</w:t>
            </w:r>
          </w:p>
        </w:tc>
      </w:tr>
      <w:tr w:rsidR="005C3D48" w:rsidRPr="00411D9E" w14:paraId="3AA719F2" w14:textId="77777777" w:rsidTr="00BC297A">
        <w:trPr>
          <w:cantSplit/>
          <w:trHeight w:val="20"/>
          <w:jc w:val="center"/>
        </w:trPr>
        <w:tc>
          <w:tcPr>
            <w:tcW w:w="5000" w:type="pct"/>
            <w:gridSpan w:val="2"/>
            <w:shd w:val="clear" w:color="auto" w:fill="CCC0D9" w:themeFill="accent4" w:themeFillTint="66"/>
            <w:vAlign w:val="center"/>
          </w:tcPr>
          <w:p w14:paraId="254DF46F" w14:textId="77777777" w:rsidR="005C3D48" w:rsidRPr="00411D9E" w:rsidRDefault="005C3D48" w:rsidP="00FF262E">
            <w:pPr>
              <w:rPr>
                <w:rFonts w:eastAsia="Times New Roman" w:cstheme="minorHAnsi"/>
                <w:color w:val="000000" w:themeColor="text1"/>
              </w:rPr>
            </w:pPr>
            <w:r w:rsidRPr="00411D9E">
              <w:rPr>
                <w:rFonts w:cstheme="minorHAnsi"/>
                <w:color w:val="000000" w:themeColor="text1"/>
              </w:rPr>
              <w:t>Behavioral</w:t>
            </w:r>
            <w:r w:rsidRPr="00411D9E">
              <w:rPr>
                <w:rFonts w:eastAsia="Times New Roman" w:cstheme="minorHAnsi"/>
                <w:color w:val="000000" w:themeColor="text1"/>
              </w:rPr>
              <w:t xml:space="preserve"> </w:t>
            </w:r>
            <w:r w:rsidRPr="00411D9E">
              <w:rPr>
                <w:rFonts w:cstheme="minorHAnsi"/>
                <w:color w:val="000000" w:themeColor="text1"/>
              </w:rPr>
              <w:t>Health</w:t>
            </w:r>
          </w:p>
        </w:tc>
      </w:tr>
      <w:tr w:rsidR="005C3D48" w:rsidRPr="00411D9E" w14:paraId="7571AB97" w14:textId="77777777" w:rsidTr="00BC297A">
        <w:trPr>
          <w:cantSplit/>
          <w:trHeight w:val="20"/>
          <w:jc w:val="center"/>
        </w:trPr>
        <w:tc>
          <w:tcPr>
            <w:tcW w:w="509" w:type="pct"/>
            <w:vAlign w:val="center"/>
          </w:tcPr>
          <w:p w14:paraId="379B27AA"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564D7AED"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Antipsychotics—Blood Glucose (1–11 years) </w:t>
            </w:r>
          </w:p>
        </w:tc>
      </w:tr>
      <w:tr w:rsidR="005C3D48" w:rsidRPr="00411D9E" w14:paraId="765EFF86" w14:textId="77777777" w:rsidTr="00BC297A">
        <w:trPr>
          <w:cantSplit/>
          <w:trHeight w:val="20"/>
          <w:jc w:val="center"/>
        </w:trPr>
        <w:tc>
          <w:tcPr>
            <w:tcW w:w="509" w:type="pct"/>
            <w:vAlign w:val="center"/>
          </w:tcPr>
          <w:p w14:paraId="24D0A35D"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317E2A6"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Antipsychotics—Blood Glucose (12–17 years) </w:t>
            </w:r>
          </w:p>
        </w:tc>
      </w:tr>
      <w:tr w:rsidR="005C3D48" w:rsidRPr="00411D9E" w14:paraId="246C6161" w14:textId="77777777" w:rsidTr="00BC297A">
        <w:trPr>
          <w:cantSplit/>
          <w:trHeight w:val="20"/>
          <w:jc w:val="center"/>
        </w:trPr>
        <w:tc>
          <w:tcPr>
            <w:tcW w:w="509" w:type="pct"/>
            <w:vAlign w:val="center"/>
          </w:tcPr>
          <w:p w14:paraId="357DB662"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32CAAD70"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Antipsychotics—Blood Glucose (Total) </w:t>
            </w:r>
          </w:p>
        </w:tc>
      </w:tr>
      <w:tr w:rsidR="005C3D48" w:rsidRPr="00411D9E" w14:paraId="7208C678" w14:textId="77777777" w:rsidTr="00BC297A">
        <w:trPr>
          <w:cantSplit/>
          <w:trHeight w:val="20"/>
          <w:jc w:val="center"/>
        </w:trPr>
        <w:tc>
          <w:tcPr>
            <w:tcW w:w="509" w:type="pct"/>
            <w:vAlign w:val="center"/>
          </w:tcPr>
          <w:p w14:paraId="6CE088D9"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CEED906"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Antipsychotics—Cholesterol (1–11 years) </w:t>
            </w:r>
          </w:p>
        </w:tc>
      </w:tr>
      <w:tr w:rsidR="005C3D48" w:rsidRPr="00411D9E" w14:paraId="42EB1C49" w14:textId="77777777" w:rsidTr="00BC297A">
        <w:trPr>
          <w:cantSplit/>
          <w:trHeight w:val="20"/>
          <w:jc w:val="center"/>
        </w:trPr>
        <w:tc>
          <w:tcPr>
            <w:tcW w:w="509" w:type="pct"/>
            <w:vAlign w:val="center"/>
          </w:tcPr>
          <w:p w14:paraId="55B2DD35"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9DD1E95"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Antipsychotics—Cholesterol (12–17 years) </w:t>
            </w:r>
          </w:p>
        </w:tc>
      </w:tr>
      <w:tr w:rsidR="005C3D48" w:rsidRPr="00411D9E" w14:paraId="4FDD25F3" w14:textId="77777777" w:rsidTr="00BC297A">
        <w:trPr>
          <w:cantSplit/>
          <w:trHeight w:val="20"/>
          <w:jc w:val="center"/>
        </w:trPr>
        <w:tc>
          <w:tcPr>
            <w:tcW w:w="509" w:type="pct"/>
            <w:vAlign w:val="center"/>
          </w:tcPr>
          <w:p w14:paraId="50A8F469"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7CB53C74"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Antipsychotics—Cholesterol (Total) </w:t>
            </w:r>
          </w:p>
        </w:tc>
      </w:tr>
      <w:tr w:rsidR="005C3D48" w:rsidRPr="00411D9E" w14:paraId="011F36A7" w14:textId="77777777" w:rsidTr="00BC297A">
        <w:trPr>
          <w:cantSplit/>
          <w:trHeight w:val="20"/>
          <w:jc w:val="center"/>
        </w:trPr>
        <w:tc>
          <w:tcPr>
            <w:tcW w:w="509" w:type="pct"/>
            <w:vAlign w:val="center"/>
          </w:tcPr>
          <w:p w14:paraId="7205C633"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2917415"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Antipsychotics—Blood Glucose &amp; Cholesterol (1–11 years) </w:t>
            </w:r>
          </w:p>
        </w:tc>
      </w:tr>
      <w:tr w:rsidR="005C3D48" w:rsidRPr="00411D9E" w14:paraId="57B6EC5A" w14:textId="77777777" w:rsidTr="00BC297A">
        <w:trPr>
          <w:cantSplit/>
          <w:trHeight w:val="20"/>
          <w:jc w:val="center"/>
        </w:trPr>
        <w:tc>
          <w:tcPr>
            <w:tcW w:w="509" w:type="pct"/>
            <w:vAlign w:val="center"/>
          </w:tcPr>
          <w:p w14:paraId="25806329"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4968E21A"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Antipsychotics—Blood Glucose &amp; Cholesterol (12–17 years) </w:t>
            </w:r>
          </w:p>
        </w:tc>
      </w:tr>
      <w:tr w:rsidR="005C3D48" w:rsidRPr="00411D9E" w14:paraId="39E608AF" w14:textId="77777777" w:rsidTr="00BC297A">
        <w:trPr>
          <w:cantSplit/>
          <w:trHeight w:val="20"/>
          <w:jc w:val="center"/>
        </w:trPr>
        <w:tc>
          <w:tcPr>
            <w:tcW w:w="509" w:type="pct"/>
            <w:vAlign w:val="center"/>
          </w:tcPr>
          <w:p w14:paraId="1F96263E"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5E45E16D" w14:textId="77777777" w:rsidR="005C3D48" w:rsidRPr="00411D9E" w:rsidRDefault="005C3D48" w:rsidP="00FF262E">
            <w:pPr>
              <w:jc w:val="left"/>
              <w:rPr>
                <w:rFonts w:eastAsia="Times New Roman" w:cstheme="minorHAnsi"/>
              </w:rPr>
            </w:pPr>
            <w:r w:rsidRPr="00411D9E">
              <w:rPr>
                <w:rFonts w:eastAsia="Times New Roman" w:cstheme="minorHAnsi"/>
              </w:rPr>
              <w:t xml:space="preserve">Metabolic Monitoring for Children and Adolescents on Antipsychotics—Blood Glucose &amp; Cholesterol (Total) </w:t>
            </w:r>
          </w:p>
        </w:tc>
      </w:tr>
      <w:tr w:rsidR="005C3D48" w:rsidRPr="00411D9E" w14:paraId="1414763C" w14:textId="77777777" w:rsidTr="00BC297A">
        <w:trPr>
          <w:cantSplit/>
          <w:trHeight w:val="20"/>
          <w:jc w:val="center"/>
        </w:trPr>
        <w:tc>
          <w:tcPr>
            <w:tcW w:w="509" w:type="pct"/>
            <w:vAlign w:val="center"/>
          </w:tcPr>
          <w:p w14:paraId="48E8059A"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082BD198" w14:textId="77777777" w:rsidR="005C3D48" w:rsidRPr="00411D9E" w:rsidRDefault="005C3D48" w:rsidP="00FF262E">
            <w:pPr>
              <w:jc w:val="left"/>
              <w:rPr>
                <w:rFonts w:eastAsia="Times New Roman" w:cstheme="minorHAnsi"/>
              </w:rPr>
            </w:pPr>
            <w:r w:rsidRPr="00411D9E">
              <w:rPr>
                <w:rFonts w:eastAsia="Times New Roman" w:cstheme="minorHAnsi"/>
              </w:rPr>
              <w:t>Use of First-Line Psychosocial Care for Children and Adolescents on Antipsychotics (1–11 years)</w:t>
            </w:r>
          </w:p>
        </w:tc>
      </w:tr>
      <w:tr w:rsidR="005C3D48" w:rsidRPr="00411D9E" w14:paraId="7B21197C" w14:textId="77777777" w:rsidTr="00BC297A">
        <w:trPr>
          <w:cantSplit/>
          <w:trHeight w:val="20"/>
          <w:jc w:val="center"/>
        </w:trPr>
        <w:tc>
          <w:tcPr>
            <w:tcW w:w="509" w:type="pct"/>
            <w:vAlign w:val="center"/>
          </w:tcPr>
          <w:p w14:paraId="7008903E"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1392A06C" w14:textId="77777777" w:rsidR="005C3D48" w:rsidRPr="00411D9E" w:rsidRDefault="005C3D48" w:rsidP="00FF262E">
            <w:pPr>
              <w:jc w:val="left"/>
              <w:rPr>
                <w:rFonts w:eastAsia="Times New Roman" w:cstheme="minorHAnsi"/>
              </w:rPr>
            </w:pPr>
            <w:r w:rsidRPr="00411D9E">
              <w:rPr>
                <w:rFonts w:eastAsia="Times New Roman" w:cstheme="minorHAnsi"/>
              </w:rPr>
              <w:t>Use of First-Line Psychosocial Care for Children and Adolescents on Antipsychotics (12–17 years)</w:t>
            </w:r>
          </w:p>
        </w:tc>
      </w:tr>
      <w:tr w:rsidR="005C3D48" w:rsidRPr="00411D9E" w14:paraId="3697768A" w14:textId="77777777" w:rsidTr="00BC297A">
        <w:trPr>
          <w:cantSplit/>
          <w:trHeight w:val="20"/>
          <w:jc w:val="center"/>
        </w:trPr>
        <w:tc>
          <w:tcPr>
            <w:tcW w:w="509" w:type="pct"/>
            <w:vAlign w:val="center"/>
          </w:tcPr>
          <w:p w14:paraId="3FDBAA79" w14:textId="77777777" w:rsidR="005C3D48" w:rsidRPr="00411D9E" w:rsidRDefault="005C3D48" w:rsidP="00FF262E">
            <w:pPr>
              <w:jc w:val="center"/>
              <w:rPr>
                <w:rFonts w:cstheme="minorHAnsi"/>
              </w:rPr>
            </w:pPr>
            <w:r w:rsidRPr="00411D9E">
              <w:rPr>
                <w:rFonts w:cstheme="minorHAnsi"/>
              </w:rPr>
              <w:t>HEDIS</w:t>
            </w:r>
          </w:p>
        </w:tc>
        <w:tc>
          <w:tcPr>
            <w:tcW w:w="4491" w:type="pct"/>
            <w:vAlign w:val="center"/>
          </w:tcPr>
          <w:p w14:paraId="6927CAAE" w14:textId="77777777" w:rsidR="005C3D48" w:rsidRPr="00411D9E" w:rsidRDefault="005C3D48" w:rsidP="00FF262E">
            <w:pPr>
              <w:jc w:val="left"/>
              <w:rPr>
                <w:rFonts w:eastAsia="Times New Roman" w:cstheme="minorHAnsi"/>
              </w:rPr>
            </w:pPr>
            <w:r w:rsidRPr="00411D9E">
              <w:rPr>
                <w:rFonts w:eastAsia="Times New Roman" w:cstheme="minorHAnsi"/>
              </w:rPr>
              <w:t>Use of First-Line Psychosocial Care for Children and Adolescents on Antipsychotics (Total)</w:t>
            </w:r>
          </w:p>
        </w:tc>
      </w:tr>
      <w:tr w:rsidR="005C3D48" w:rsidRPr="00411D9E" w14:paraId="26A53376" w14:textId="77777777" w:rsidTr="00BC297A">
        <w:trPr>
          <w:cantSplit/>
          <w:trHeight w:val="20"/>
          <w:jc w:val="center"/>
        </w:trPr>
        <w:tc>
          <w:tcPr>
            <w:tcW w:w="5000" w:type="pct"/>
            <w:gridSpan w:val="2"/>
            <w:shd w:val="clear" w:color="auto" w:fill="CCC0D9" w:themeFill="accent4" w:themeFillTint="66"/>
            <w:vAlign w:val="center"/>
          </w:tcPr>
          <w:p w14:paraId="6BAB533D" w14:textId="77777777" w:rsidR="005C3D48" w:rsidRPr="00411D9E" w:rsidRDefault="005C3D48" w:rsidP="00FF262E">
            <w:pPr>
              <w:rPr>
                <w:rFonts w:cstheme="minorHAnsi"/>
                <w:color w:val="000000" w:themeColor="text1"/>
              </w:rPr>
            </w:pPr>
            <w:r w:rsidRPr="00411D9E">
              <w:rPr>
                <w:rFonts w:cstheme="minorHAnsi"/>
                <w:color w:val="000000" w:themeColor="text1"/>
              </w:rPr>
              <w:t>Utilization</w:t>
            </w:r>
          </w:p>
        </w:tc>
      </w:tr>
      <w:tr w:rsidR="005C3D48" w:rsidRPr="00411D9E" w14:paraId="17D76BBD"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AB409B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7E56EC5" w14:textId="77777777" w:rsidR="005C3D48" w:rsidRPr="00411D9E" w:rsidRDefault="005C3D48" w:rsidP="00FF262E">
            <w:pPr>
              <w:jc w:val="left"/>
              <w:rPr>
                <w:rFonts w:eastAsia="Times New Roman" w:cstheme="minorHAnsi"/>
              </w:rPr>
            </w:pPr>
            <w:r w:rsidRPr="00411D9E">
              <w:rPr>
                <w:rFonts w:eastAsia="Times New Roman" w:cstheme="minorHAnsi"/>
              </w:rPr>
              <w:t>Ambulatory Care: Outpatient Visits/1000 Member Months (Ages &lt; 1 year)</w:t>
            </w:r>
          </w:p>
        </w:tc>
      </w:tr>
      <w:tr w:rsidR="005C3D48" w:rsidRPr="00411D9E" w14:paraId="23A8830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E4CE1E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683A6F3" w14:textId="77777777" w:rsidR="005C3D48" w:rsidRPr="00411D9E" w:rsidRDefault="005C3D48" w:rsidP="00FF262E">
            <w:pPr>
              <w:jc w:val="left"/>
              <w:rPr>
                <w:rFonts w:eastAsia="Times New Roman" w:cstheme="minorHAnsi"/>
              </w:rPr>
            </w:pPr>
            <w:r w:rsidRPr="00411D9E">
              <w:rPr>
                <w:rFonts w:eastAsia="Times New Roman" w:cstheme="minorHAnsi"/>
              </w:rPr>
              <w:t xml:space="preserve">Ambulatory Care: Outpatient Visits/1000 Member Months (Ages 1–9 years) </w:t>
            </w:r>
          </w:p>
        </w:tc>
      </w:tr>
      <w:tr w:rsidR="005C3D48" w:rsidRPr="00411D9E" w14:paraId="7A6E8D6D"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2B8949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E284868" w14:textId="77777777" w:rsidR="005C3D48" w:rsidRPr="00411D9E" w:rsidRDefault="005C3D48" w:rsidP="00FF262E">
            <w:pPr>
              <w:jc w:val="left"/>
              <w:rPr>
                <w:rFonts w:eastAsia="Times New Roman" w:cstheme="minorHAnsi"/>
              </w:rPr>
            </w:pPr>
            <w:r w:rsidRPr="00411D9E">
              <w:rPr>
                <w:rFonts w:eastAsia="Times New Roman" w:cstheme="minorHAnsi"/>
              </w:rPr>
              <w:t xml:space="preserve">Ambulatory Care: Outpatient Visits/1000 Member Months (Ages 10–19 years) </w:t>
            </w:r>
          </w:p>
        </w:tc>
      </w:tr>
      <w:tr w:rsidR="005C3D48" w:rsidRPr="00411D9E" w14:paraId="4C528DF2"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E349205"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1D2BABC" w14:textId="77777777" w:rsidR="005C3D48" w:rsidRPr="00411D9E" w:rsidRDefault="005C3D48" w:rsidP="00FF262E">
            <w:pPr>
              <w:jc w:val="left"/>
              <w:rPr>
                <w:rFonts w:eastAsia="Times New Roman" w:cstheme="minorHAnsi"/>
              </w:rPr>
            </w:pPr>
            <w:r w:rsidRPr="00411D9E">
              <w:rPr>
                <w:rFonts w:eastAsia="Times New Roman" w:cstheme="minorHAnsi"/>
              </w:rPr>
              <w:t xml:space="preserve">Ambulatory Care: Outpatient Visits/1000 Member Months (Ages &lt; 1-19 years) Total Rate </w:t>
            </w:r>
          </w:p>
        </w:tc>
      </w:tr>
      <w:tr w:rsidR="005C3D48" w:rsidRPr="00411D9E" w14:paraId="22F3F0B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61C59F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8B49639" w14:textId="77777777" w:rsidR="005C3D48" w:rsidRPr="00411D9E" w:rsidRDefault="005C3D48" w:rsidP="00FF262E">
            <w:pPr>
              <w:jc w:val="left"/>
              <w:rPr>
                <w:rFonts w:eastAsia="Times New Roman" w:cstheme="minorHAnsi"/>
              </w:rPr>
            </w:pPr>
            <w:r w:rsidRPr="00411D9E">
              <w:rPr>
                <w:rFonts w:eastAsia="Times New Roman" w:cstheme="minorHAnsi"/>
              </w:rPr>
              <w:t>Ambulatory Care:</w:t>
            </w:r>
            <w:r w:rsidRPr="00411D9E">
              <w:rPr>
                <w:rFonts w:cstheme="minorHAnsi"/>
              </w:rPr>
              <w:t xml:space="preserve"> </w:t>
            </w:r>
            <w:r w:rsidRPr="00411D9E">
              <w:rPr>
                <w:rFonts w:eastAsia="Times New Roman" w:cstheme="minorHAnsi"/>
              </w:rPr>
              <w:t xml:space="preserve">Emergency Department Visits/1000 Member Months (Ages &lt; 1 years) </w:t>
            </w:r>
          </w:p>
        </w:tc>
      </w:tr>
      <w:tr w:rsidR="005C3D48" w:rsidRPr="00411D9E" w14:paraId="46A93EA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3662E1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202F623" w14:textId="77777777" w:rsidR="005C3D48" w:rsidRPr="00411D9E" w:rsidRDefault="005C3D48" w:rsidP="00FF262E">
            <w:pPr>
              <w:jc w:val="left"/>
              <w:rPr>
                <w:rFonts w:eastAsia="Times New Roman" w:cstheme="minorHAnsi"/>
              </w:rPr>
            </w:pPr>
            <w:r w:rsidRPr="00411D9E">
              <w:rPr>
                <w:rFonts w:eastAsia="Times New Roman" w:cstheme="minorHAnsi"/>
              </w:rPr>
              <w:t>Ambulatory Care:</w:t>
            </w:r>
            <w:r w:rsidRPr="00411D9E">
              <w:rPr>
                <w:rFonts w:cstheme="minorHAnsi"/>
              </w:rPr>
              <w:t xml:space="preserve"> </w:t>
            </w:r>
            <w:r w:rsidRPr="00411D9E">
              <w:rPr>
                <w:rFonts w:eastAsia="Times New Roman" w:cstheme="minorHAnsi"/>
              </w:rPr>
              <w:t xml:space="preserve">Emergency Department Visits/1000 Member Months (Ages 1–9 years) </w:t>
            </w:r>
          </w:p>
        </w:tc>
      </w:tr>
      <w:tr w:rsidR="005C3D48" w:rsidRPr="00411D9E" w14:paraId="62363D6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5D597BC" w14:textId="77777777" w:rsidR="005C3D48" w:rsidRPr="00411D9E" w:rsidRDefault="005C3D48" w:rsidP="00FF262E">
            <w:pPr>
              <w:jc w:val="center"/>
              <w:rPr>
                <w:rFonts w:cstheme="minorHAnsi"/>
              </w:rPr>
            </w:pPr>
            <w:r w:rsidRPr="00411D9E">
              <w:rPr>
                <w:rFonts w:cstheme="minorHAnsi"/>
              </w:rPr>
              <w:lastRenderedPageBreak/>
              <w:t>HEDIS</w:t>
            </w:r>
          </w:p>
        </w:tc>
        <w:tc>
          <w:tcPr>
            <w:tcW w:w="4491" w:type="pct"/>
            <w:tcBorders>
              <w:top w:val="single" w:sz="4" w:space="0" w:color="auto"/>
              <w:left w:val="single" w:sz="4" w:space="0" w:color="auto"/>
              <w:bottom w:val="single" w:sz="4" w:space="0" w:color="auto"/>
              <w:right w:val="single" w:sz="4" w:space="0" w:color="auto"/>
            </w:tcBorders>
            <w:vAlign w:val="center"/>
          </w:tcPr>
          <w:p w14:paraId="4E2AFCEF" w14:textId="77777777" w:rsidR="005C3D48" w:rsidRPr="00411D9E" w:rsidRDefault="005C3D48" w:rsidP="00FF262E">
            <w:pPr>
              <w:jc w:val="left"/>
              <w:rPr>
                <w:rFonts w:eastAsia="Times New Roman" w:cstheme="minorHAnsi"/>
              </w:rPr>
            </w:pPr>
            <w:r w:rsidRPr="00411D9E">
              <w:rPr>
                <w:rFonts w:eastAsia="Times New Roman" w:cstheme="minorHAnsi"/>
              </w:rPr>
              <w:t>Ambulatory Care:</w:t>
            </w:r>
            <w:r w:rsidRPr="00411D9E">
              <w:rPr>
                <w:rFonts w:cstheme="minorHAnsi"/>
              </w:rPr>
              <w:t xml:space="preserve"> </w:t>
            </w:r>
            <w:r w:rsidRPr="00411D9E">
              <w:rPr>
                <w:rFonts w:eastAsia="Times New Roman" w:cstheme="minorHAnsi"/>
              </w:rPr>
              <w:t xml:space="preserve">Emergency Department Visits/1000 Member Months (Ages 10–19 years) </w:t>
            </w:r>
          </w:p>
        </w:tc>
      </w:tr>
      <w:tr w:rsidR="005C3D48" w:rsidRPr="00411D9E" w14:paraId="4AE34F2B"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5DE9DC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8583482" w14:textId="77777777" w:rsidR="005C3D48" w:rsidRPr="00411D9E" w:rsidRDefault="005C3D48" w:rsidP="00FF262E">
            <w:pPr>
              <w:jc w:val="left"/>
              <w:rPr>
                <w:rFonts w:eastAsia="Times New Roman" w:cstheme="minorHAnsi"/>
              </w:rPr>
            </w:pPr>
            <w:r w:rsidRPr="00411D9E">
              <w:rPr>
                <w:rFonts w:eastAsia="Times New Roman" w:cstheme="minorHAnsi"/>
              </w:rPr>
              <w:t>Ambulatory Care:</w:t>
            </w:r>
            <w:r w:rsidRPr="00411D9E">
              <w:rPr>
                <w:rFonts w:cstheme="minorHAnsi"/>
              </w:rPr>
              <w:t xml:space="preserve"> </w:t>
            </w:r>
            <w:r w:rsidRPr="00411D9E">
              <w:rPr>
                <w:rFonts w:eastAsia="Times New Roman" w:cstheme="minorHAnsi"/>
              </w:rPr>
              <w:t>Emergency Department Visits/1000 Member Months (Ages &lt; 1–19 years) Total Rate</w:t>
            </w:r>
          </w:p>
        </w:tc>
      </w:tr>
      <w:tr w:rsidR="005C3D48" w:rsidRPr="00411D9E" w14:paraId="73260CB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D610CB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F30EDF7"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Total Discharges/1000 Member Months (Ages &lt; 1 year)</w:t>
            </w:r>
          </w:p>
        </w:tc>
      </w:tr>
      <w:tr w:rsidR="005C3D48" w:rsidRPr="00411D9E" w14:paraId="2125983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5C3EA6F"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8055F4C"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Total Discharges/1000 Member Months (Ages 1–9 years)</w:t>
            </w:r>
          </w:p>
        </w:tc>
      </w:tr>
      <w:tr w:rsidR="005C3D48" w:rsidRPr="00411D9E" w14:paraId="11F898F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A4D32E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EA66EE2"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Total Discharges/1000 Member Months (Ages 10–19 years)</w:t>
            </w:r>
          </w:p>
        </w:tc>
      </w:tr>
      <w:tr w:rsidR="005C3D48" w:rsidRPr="00411D9E" w14:paraId="0618308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910EC7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94B3AB5"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Total Discharges/1000 Member Months (Ages &lt; 1–19 years) Total Rate</w:t>
            </w:r>
          </w:p>
        </w:tc>
      </w:tr>
      <w:tr w:rsidR="005C3D48" w:rsidRPr="00411D9E" w14:paraId="45F2A98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90AB82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B46CB50"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Average Length of Stay/1000 Member Months (Ages &lt; 1 year)</w:t>
            </w:r>
          </w:p>
        </w:tc>
      </w:tr>
      <w:tr w:rsidR="005C3D48" w:rsidRPr="00411D9E" w14:paraId="7A85B63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95EAEB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061299A"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Average Length of Stay/1000 Member Months (Ages 1–9 years)</w:t>
            </w:r>
          </w:p>
        </w:tc>
      </w:tr>
      <w:tr w:rsidR="005C3D48" w:rsidRPr="00411D9E" w14:paraId="0691E43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6AD0BF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7B0D96C"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Average Length of Stay/1000 Member Months (Ages 10–19 years)</w:t>
            </w:r>
          </w:p>
        </w:tc>
      </w:tr>
      <w:tr w:rsidR="005C3D48" w:rsidRPr="00411D9E" w14:paraId="68A01A9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5ED05F9"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10ADBD4"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Average Length of Stay/1000 Member Months (Ages &lt; 1–19 years) Total Rate</w:t>
            </w:r>
          </w:p>
        </w:tc>
      </w:tr>
      <w:tr w:rsidR="005C3D48" w:rsidRPr="00411D9E" w14:paraId="4505B4C4"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1293D7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627EEED"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Discharges/1000 Member Months (Ages &lt; 1 year)</w:t>
            </w:r>
          </w:p>
        </w:tc>
      </w:tr>
      <w:tr w:rsidR="005C3D48" w:rsidRPr="00411D9E" w14:paraId="4FAB8AF0"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6F4A5A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28411CB"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Discharges/1000 Member Months (Ages 1–9 years)</w:t>
            </w:r>
          </w:p>
        </w:tc>
      </w:tr>
      <w:tr w:rsidR="005C3D48" w:rsidRPr="00411D9E" w14:paraId="7F8F7A6D"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2FDEC2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258B11C"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Discharges/1000 Member Months (Ages 10–19 years)</w:t>
            </w:r>
          </w:p>
        </w:tc>
      </w:tr>
      <w:tr w:rsidR="005C3D48" w:rsidRPr="00411D9E" w14:paraId="5064E765"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E58B71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C749AD6"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Discharges/1000 Member Months (Ages &lt; 1–19 years) Total Rate</w:t>
            </w:r>
          </w:p>
        </w:tc>
      </w:tr>
      <w:tr w:rsidR="005C3D48" w:rsidRPr="00411D9E" w14:paraId="5FAAD5DA"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A0DFE02"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5D67749"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Average Length of Stay/1000 Member Months (Ages &lt; 1 year)</w:t>
            </w:r>
          </w:p>
        </w:tc>
      </w:tr>
      <w:tr w:rsidR="005C3D48" w:rsidRPr="00411D9E" w14:paraId="608995D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7DAFE1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7526F6D"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Average Length of Stay/1000 Member Months (Ages 1–9 years)</w:t>
            </w:r>
          </w:p>
        </w:tc>
      </w:tr>
      <w:tr w:rsidR="005C3D48" w:rsidRPr="00411D9E" w14:paraId="3F496C4E"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94652DE"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9E5C87E"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Average Length of Stay/1000 Member Months (Ages 10–19 years)</w:t>
            </w:r>
          </w:p>
        </w:tc>
      </w:tr>
      <w:tr w:rsidR="005C3D48" w:rsidRPr="00411D9E" w14:paraId="5D6A2D43"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ECCC0B4"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009A777"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Surgery Average Length of Stay/1000 Member Months (Ages &lt; 1–19 years) Total Rate</w:t>
            </w:r>
          </w:p>
        </w:tc>
      </w:tr>
      <w:tr w:rsidR="005C3D48" w:rsidRPr="00411D9E" w14:paraId="2031B4B3"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D57438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7C73464"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Discharges/1000 Member Months (Ages &lt; 1 year)</w:t>
            </w:r>
          </w:p>
        </w:tc>
      </w:tr>
      <w:tr w:rsidR="005C3D48" w:rsidRPr="00411D9E" w14:paraId="554597A3"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DEDFEB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E52459F"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Discharges/1000 Member Months (Ages 1–9 years)</w:t>
            </w:r>
          </w:p>
        </w:tc>
      </w:tr>
      <w:tr w:rsidR="005C3D48" w:rsidRPr="00411D9E" w14:paraId="1B5D5B2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9D72EDD"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F2DCEA4"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Discharges/1000 Member Months (Ages 10–19 years)</w:t>
            </w:r>
          </w:p>
        </w:tc>
      </w:tr>
      <w:tr w:rsidR="005C3D48" w:rsidRPr="00411D9E" w14:paraId="665B74F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77F688B"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DDA9A3A"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Discharges/1000 Member Months (Ages &lt; 1–19 years) Total Rate</w:t>
            </w:r>
          </w:p>
        </w:tc>
      </w:tr>
      <w:tr w:rsidR="005C3D48" w:rsidRPr="00411D9E" w14:paraId="51FE7EA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DA3160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490CC67"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Average Length of Stay/1000 Member Months (Ages &lt; 1 year)</w:t>
            </w:r>
          </w:p>
        </w:tc>
      </w:tr>
      <w:tr w:rsidR="005C3D48" w:rsidRPr="00411D9E" w14:paraId="1AB4FAA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B4DDACF"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4D000A1"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Average Length of Stay/1000 Member Months (Ages 1–9 years)</w:t>
            </w:r>
          </w:p>
        </w:tc>
      </w:tr>
      <w:tr w:rsidR="005C3D48" w:rsidRPr="00411D9E" w14:paraId="0FB5000E"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BFFB9A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C82C465"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Average Length of Stay/1000 Member Months (Ages 10–19 years)</w:t>
            </w:r>
          </w:p>
        </w:tc>
      </w:tr>
      <w:tr w:rsidR="005C3D48" w:rsidRPr="00411D9E" w14:paraId="3CDABB1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DCFD6C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96E7066"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Medicine Average Length of Stay/1000 Member Months (Ages &lt; 1–19 years) Total Rate</w:t>
            </w:r>
          </w:p>
        </w:tc>
      </w:tr>
      <w:tr w:rsidR="005C3D48" w:rsidRPr="00411D9E" w14:paraId="7129A19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E4755FE" w14:textId="77777777" w:rsidR="005C3D48" w:rsidRPr="00411D9E" w:rsidRDefault="005C3D48" w:rsidP="00FF262E">
            <w:pPr>
              <w:jc w:val="center"/>
              <w:rPr>
                <w:rFonts w:cstheme="minorHAnsi"/>
              </w:rPr>
            </w:pPr>
            <w:r w:rsidRPr="00411D9E">
              <w:rPr>
                <w:rFonts w:cstheme="minorHAnsi"/>
              </w:rPr>
              <w:lastRenderedPageBreak/>
              <w:t>HEDIS</w:t>
            </w:r>
          </w:p>
        </w:tc>
        <w:tc>
          <w:tcPr>
            <w:tcW w:w="4491" w:type="pct"/>
            <w:tcBorders>
              <w:top w:val="single" w:sz="4" w:space="0" w:color="auto"/>
              <w:left w:val="single" w:sz="4" w:space="0" w:color="auto"/>
              <w:bottom w:val="single" w:sz="4" w:space="0" w:color="auto"/>
              <w:right w:val="single" w:sz="4" w:space="0" w:color="auto"/>
            </w:tcBorders>
            <w:vAlign w:val="center"/>
          </w:tcPr>
          <w:p w14:paraId="01BAAA73"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Maternity/1000 Member Months (Ages 10–19 years)</w:t>
            </w:r>
          </w:p>
        </w:tc>
      </w:tr>
      <w:tr w:rsidR="005C3D48" w:rsidRPr="00411D9E" w14:paraId="153077CB"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529175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47059C3" w14:textId="77777777" w:rsidR="005C3D48" w:rsidRPr="00411D9E" w:rsidRDefault="005C3D48" w:rsidP="00FF262E">
            <w:pPr>
              <w:jc w:val="left"/>
              <w:rPr>
                <w:rFonts w:eastAsia="Times New Roman" w:cstheme="minorHAnsi"/>
              </w:rPr>
            </w:pPr>
            <w:r w:rsidRPr="00411D9E">
              <w:rPr>
                <w:rFonts w:eastAsia="Times New Roman" w:cstheme="minorHAnsi"/>
              </w:rPr>
              <w:t>Inpatient Utilization—General Hospital/Acute Care: Maternity Average Length of Stay/1000 Member Months (Ages 10–19 years) Total Rate</w:t>
            </w:r>
          </w:p>
        </w:tc>
      </w:tr>
      <w:tr w:rsidR="005C3D48" w:rsidRPr="00411D9E" w14:paraId="4F2D618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F705439"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35C18BA"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Any Services (Ages 0–12 years)</w:t>
            </w:r>
            <w:r w:rsidRPr="00411D9E">
              <w:rPr>
                <w:rFonts w:cstheme="minorHAnsi"/>
              </w:rPr>
              <w:t>—</w:t>
            </w:r>
            <w:r w:rsidRPr="00411D9E">
              <w:rPr>
                <w:rFonts w:eastAsia="Times New Roman" w:cstheme="minorHAnsi"/>
              </w:rPr>
              <w:t>Male</w:t>
            </w:r>
          </w:p>
        </w:tc>
      </w:tr>
      <w:tr w:rsidR="005C3D48" w:rsidRPr="00411D9E" w14:paraId="0D030FAB"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B03363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5446C7E" w14:textId="07DFFA3D" w:rsidR="005C3D48" w:rsidRPr="00411D9E" w:rsidRDefault="005C3D48" w:rsidP="00FF262E">
            <w:pPr>
              <w:jc w:val="left"/>
              <w:rPr>
                <w:rFonts w:eastAsia="Times New Roman" w:cstheme="minorHAnsi"/>
              </w:rPr>
            </w:pPr>
            <w:r w:rsidRPr="00411D9E">
              <w:rPr>
                <w:rFonts w:eastAsia="Times New Roman" w:cstheme="minorHAnsi"/>
              </w:rPr>
              <w:t>Mental Health Utilization: Any Services (Ages 0–12 years)—Female</w:t>
            </w:r>
          </w:p>
        </w:tc>
      </w:tr>
      <w:tr w:rsidR="005C3D48" w:rsidRPr="00411D9E" w14:paraId="7DC64AC0"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97CCA3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365A70C"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Any Services (Ages 0–12 years)—Total Rate</w:t>
            </w:r>
          </w:p>
        </w:tc>
      </w:tr>
      <w:tr w:rsidR="005C3D48" w:rsidRPr="00411D9E" w14:paraId="6FE2B82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B2EAE52"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8E26253"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Any Services (Ages 13–17 years)—Male</w:t>
            </w:r>
          </w:p>
        </w:tc>
      </w:tr>
      <w:tr w:rsidR="005C3D48" w:rsidRPr="00411D9E" w14:paraId="10B3B8D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7BFC499"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2E61B57"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Any Services (Ages 13–17 years)—Female</w:t>
            </w:r>
          </w:p>
        </w:tc>
      </w:tr>
      <w:tr w:rsidR="005C3D48" w:rsidRPr="00411D9E" w14:paraId="1165691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9C5E61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818FB17"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Any Services (Ages 13–17 years)—Total Rate</w:t>
            </w:r>
          </w:p>
        </w:tc>
      </w:tr>
      <w:tr w:rsidR="005C3D48" w:rsidRPr="00411D9E" w14:paraId="3979E295"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A7C5E2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0341798"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Inpatient (Ages 0–12 years)—Male</w:t>
            </w:r>
          </w:p>
        </w:tc>
      </w:tr>
      <w:tr w:rsidR="005C3D48" w:rsidRPr="00411D9E" w14:paraId="557D5AF4"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3F6491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A5EE4D3"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Inpatient (Ages 0–12 years)—Female</w:t>
            </w:r>
          </w:p>
        </w:tc>
      </w:tr>
      <w:tr w:rsidR="005C3D48" w:rsidRPr="00411D9E" w14:paraId="55C4A132"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517167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1C676B4"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Inpatient (Ages 0–12 years)—Total Rate</w:t>
            </w:r>
          </w:p>
        </w:tc>
      </w:tr>
      <w:tr w:rsidR="005C3D48" w:rsidRPr="00411D9E" w14:paraId="4350BE6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368D1C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744BE99"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Inpatient (Ages 13–17 years)—Male</w:t>
            </w:r>
          </w:p>
        </w:tc>
      </w:tr>
      <w:tr w:rsidR="005C3D48" w:rsidRPr="00411D9E" w14:paraId="13A2F62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BA693C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07FD88B"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Inpatient (Ages 13–17 years)—Female</w:t>
            </w:r>
          </w:p>
        </w:tc>
      </w:tr>
      <w:tr w:rsidR="005C3D48" w:rsidRPr="00411D9E" w14:paraId="0684B90E"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DCA361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1892CB4"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Inpatient (Ages 13–17 years)—Total Rate</w:t>
            </w:r>
          </w:p>
        </w:tc>
      </w:tr>
      <w:tr w:rsidR="005C3D48" w:rsidRPr="00411D9E" w14:paraId="7BC8B1D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CBC026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3B46D0F"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Intensive Outpatient/Partial Hospitalization (Ages 0–12 years)—Male</w:t>
            </w:r>
          </w:p>
        </w:tc>
      </w:tr>
      <w:tr w:rsidR="005C3D48" w:rsidRPr="00411D9E" w14:paraId="6E1F58B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D5CC33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ABA74CA"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Intensive Outpatient/Partial Hospitalization (Ages 0–12 years)—Female</w:t>
            </w:r>
          </w:p>
        </w:tc>
      </w:tr>
      <w:tr w:rsidR="005C3D48" w:rsidRPr="00411D9E" w14:paraId="2FD9DDC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39BAE4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6792053"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Intensive Outpatient/Partial Hospitalization (Ages 0–12 years)—Total Rate</w:t>
            </w:r>
          </w:p>
        </w:tc>
      </w:tr>
      <w:tr w:rsidR="005C3D48" w:rsidRPr="00411D9E" w14:paraId="2F002C83"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41DFC0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D5A5F21"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Intensive Outpatient/Partial Hospitalization (Ages 13–17 years)—Male</w:t>
            </w:r>
          </w:p>
        </w:tc>
      </w:tr>
      <w:tr w:rsidR="005C3D48" w:rsidRPr="00411D9E" w14:paraId="00F8E8E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4B867EB"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1778368"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Intensive Outpatient/Partial Hospitalization (Ages 13–17 years)—Female</w:t>
            </w:r>
          </w:p>
        </w:tc>
      </w:tr>
      <w:tr w:rsidR="005C3D48" w:rsidRPr="00411D9E" w14:paraId="33EB3FA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80AA6C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BACEC1E"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Intensive Outpatient/Partial Hospitalization (Ages 13–17 years)—Total Rate</w:t>
            </w:r>
          </w:p>
        </w:tc>
      </w:tr>
      <w:tr w:rsidR="005C3D48" w:rsidRPr="00411D9E" w14:paraId="578ECF7A"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2F67E3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555619F"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Outpatient (Ages 0–12 years)—Male</w:t>
            </w:r>
          </w:p>
        </w:tc>
      </w:tr>
      <w:tr w:rsidR="005C3D48" w:rsidRPr="00411D9E" w14:paraId="1E44B735"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CBA567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392B55E"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Outpatient (Ages 0–12 years)—Female</w:t>
            </w:r>
          </w:p>
        </w:tc>
      </w:tr>
      <w:tr w:rsidR="005C3D48" w:rsidRPr="00411D9E" w14:paraId="660F595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D3540D9"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F05A172"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Outpatient (Ages 0–12 years)—Total Rate</w:t>
            </w:r>
          </w:p>
        </w:tc>
      </w:tr>
      <w:tr w:rsidR="005C3D48" w:rsidRPr="00411D9E" w14:paraId="67812DD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5E46BDF"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70B4C76"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Outpatient (Ages 13–17 years)—Male</w:t>
            </w:r>
          </w:p>
        </w:tc>
      </w:tr>
      <w:tr w:rsidR="005C3D48" w:rsidRPr="00411D9E" w14:paraId="0FED93E0"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1C8B5A5"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BED76A5"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Outpatient (Ages 13–17 years)—Female</w:t>
            </w:r>
          </w:p>
        </w:tc>
      </w:tr>
      <w:tr w:rsidR="005C3D48" w:rsidRPr="00411D9E" w14:paraId="07BC148D"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84EBCA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FA77EE5"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Outpatient (Ages 13–17 years)—Total Rate</w:t>
            </w:r>
          </w:p>
        </w:tc>
      </w:tr>
      <w:tr w:rsidR="005C3D48" w:rsidRPr="00411D9E" w14:paraId="64521AC2"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56D145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4B2A433"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Emergency Department (Ages 0–12 years)—Male</w:t>
            </w:r>
          </w:p>
        </w:tc>
      </w:tr>
      <w:tr w:rsidR="005C3D48" w:rsidRPr="00411D9E" w14:paraId="66FE1E25"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CD9635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AC4B26E"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Emergency Department (Ages 0–12 years)—Female</w:t>
            </w:r>
          </w:p>
        </w:tc>
      </w:tr>
      <w:tr w:rsidR="005C3D48" w:rsidRPr="00411D9E" w14:paraId="72AD44B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DD758C5"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975438E"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Emergency Department (Ages 0–12 years)—Total Rate</w:t>
            </w:r>
          </w:p>
        </w:tc>
      </w:tr>
      <w:tr w:rsidR="005C3D48" w:rsidRPr="00411D9E" w14:paraId="13CC91E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C32588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27A2AE6"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Emergency Department (Ages 13–17 years)—Male</w:t>
            </w:r>
          </w:p>
        </w:tc>
      </w:tr>
      <w:tr w:rsidR="005C3D48" w:rsidRPr="00411D9E" w14:paraId="029BC08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A05DDF4"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E20925D"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Emergency Department (Ages 13–17 years)—Female</w:t>
            </w:r>
          </w:p>
        </w:tc>
      </w:tr>
      <w:tr w:rsidR="005C3D48" w:rsidRPr="00411D9E" w14:paraId="4469910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C3573C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9A75B62"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Emergency Department (Ages 13–17 years)—Total Rate</w:t>
            </w:r>
          </w:p>
        </w:tc>
      </w:tr>
      <w:tr w:rsidR="005C3D48" w:rsidRPr="00411D9E" w14:paraId="55F579BB"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0ED658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E5CB76C"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Telehealth (Ages 0–12 years)—Male</w:t>
            </w:r>
          </w:p>
        </w:tc>
      </w:tr>
      <w:tr w:rsidR="005C3D48" w:rsidRPr="00411D9E" w14:paraId="4BAD6BFD"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54BF06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D5331E2"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Telehealth (Ages 0–12 years)—Female</w:t>
            </w:r>
          </w:p>
        </w:tc>
      </w:tr>
      <w:tr w:rsidR="005C3D48" w:rsidRPr="00411D9E" w14:paraId="74CBC8C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714AE49"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F6F1D81"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Telehealth (Ages 0–12 years)—Total Rate</w:t>
            </w:r>
          </w:p>
        </w:tc>
      </w:tr>
      <w:tr w:rsidR="005C3D48" w:rsidRPr="00411D9E" w14:paraId="0F05A01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8E2A89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A69FC6C"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Telehealth (Ages 13–17 years)—Male</w:t>
            </w:r>
          </w:p>
        </w:tc>
      </w:tr>
      <w:tr w:rsidR="005C3D48" w:rsidRPr="00411D9E" w14:paraId="253B0AC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5DB589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AE16DB9"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Telehealth (Ages 13–17 years)—Female</w:t>
            </w:r>
          </w:p>
        </w:tc>
      </w:tr>
      <w:tr w:rsidR="005C3D48" w:rsidRPr="00411D9E" w14:paraId="70475DCE"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519537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7A356D8" w14:textId="77777777" w:rsidR="005C3D48" w:rsidRPr="00411D9E" w:rsidRDefault="005C3D48" w:rsidP="00FF262E">
            <w:pPr>
              <w:jc w:val="left"/>
              <w:rPr>
                <w:rFonts w:eastAsia="Times New Roman" w:cstheme="minorHAnsi"/>
              </w:rPr>
            </w:pPr>
            <w:r w:rsidRPr="00411D9E">
              <w:rPr>
                <w:rFonts w:eastAsia="Times New Roman" w:cstheme="minorHAnsi"/>
              </w:rPr>
              <w:t>Mental Health Utilization: Telehealth (Ages 13–17 years)—Total Rate</w:t>
            </w:r>
          </w:p>
        </w:tc>
      </w:tr>
      <w:tr w:rsidR="005C3D48" w:rsidRPr="00411D9E" w14:paraId="5CA5B0C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CE690A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44881BB"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Any Services (Ages 0–12 years)—Male</w:t>
            </w:r>
          </w:p>
        </w:tc>
      </w:tr>
      <w:tr w:rsidR="005C3D48" w:rsidRPr="00411D9E" w14:paraId="70647B0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B7BDE4B"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A0BC3D4"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Any Services (Ages 0–12 years)—Female</w:t>
            </w:r>
          </w:p>
        </w:tc>
      </w:tr>
      <w:tr w:rsidR="005C3D48" w:rsidRPr="00411D9E" w14:paraId="4F4C1EBD"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9D07B4E"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E174F5B"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Any Services (Ages 0–12 years)—Total Rate</w:t>
            </w:r>
          </w:p>
        </w:tc>
      </w:tr>
      <w:tr w:rsidR="005C3D48" w:rsidRPr="00411D9E" w14:paraId="37641CA9"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64419D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DA03D7F"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Any Services (Ages 13–17 years)—Male</w:t>
            </w:r>
          </w:p>
        </w:tc>
      </w:tr>
      <w:tr w:rsidR="005C3D48" w:rsidRPr="00411D9E" w14:paraId="50631C3A"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6AC4C0D"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AEE3B3A"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Any Services (Ages 13–17 years)—Female</w:t>
            </w:r>
          </w:p>
        </w:tc>
      </w:tr>
      <w:tr w:rsidR="005C3D48" w:rsidRPr="00411D9E" w14:paraId="77330BE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53EB62A"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1DF1B9C"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Any Services (Ages 13–17 years)—Total Rate</w:t>
            </w:r>
          </w:p>
        </w:tc>
      </w:tr>
      <w:tr w:rsidR="005C3D48" w:rsidRPr="00411D9E" w14:paraId="6E23897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C5CB41F"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B76F862"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Inpatient (Ages 0–12 years)—Male</w:t>
            </w:r>
          </w:p>
        </w:tc>
      </w:tr>
      <w:tr w:rsidR="005C3D48" w:rsidRPr="00411D9E" w14:paraId="0FC429AB"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45D671B"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E495EBB"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Inpatient (Ages 0–12 years)—Female</w:t>
            </w:r>
          </w:p>
        </w:tc>
      </w:tr>
      <w:tr w:rsidR="005C3D48" w:rsidRPr="00411D9E" w14:paraId="5C0CED8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37F30CD"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18024B3"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Inpatient (Ages 0–12 years)—Total Rate</w:t>
            </w:r>
          </w:p>
        </w:tc>
      </w:tr>
      <w:tr w:rsidR="005C3D48" w:rsidRPr="00411D9E" w14:paraId="140592D4"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7701095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DCF47E2"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Inpatient (Ages 13–17 years)—Male</w:t>
            </w:r>
          </w:p>
        </w:tc>
      </w:tr>
      <w:tr w:rsidR="005C3D48" w:rsidRPr="00411D9E" w14:paraId="6AB0E72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4DE8DE2" w14:textId="77777777" w:rsidR="005C3D48" w:rsidRPr="00411D9E" w:rsidRDefault="005C3D48" w:rsidP="00FF262E">
            <w:pPr>
              <w:jc w:val="center"/>
              <w:rPr>
                <w:rFonts w:cstheme="minorHAnsi"/>
              </w:rPr>
            </w:pPr>
            <w:r w:rsidRPr="00411D9E">
              <w:rPr>
                <w:rFonts w:cstheme="minorHAnsi"/>
              </w:rPr>
              <w:lastRenderedPageBreak/>
              <w:t>HEDIS</w:t>
            </w:r>
          </w:p>
        </w:tc>
        <w:tc>
          <w:tcPr>
            <w:tcW w:w="4491" w:type="pct"/>
            <w:tcBorders>
              <w:top w:val="single" w:sz="4" w:space="0" w:color="auto"/>
              <w:left w:val="single" w:sz="4" w:space="0" w:color="auto"/>
              <w:bottom w:val="single" w:sz="4" w:space="0" w:color="auto"/>
              <w:right w:val="single" w:sz="4" w:space="0" w:color="auto"/>
            </w:tcBorders>
            <w:vAlign w:val="center"/>
          </w:tcPr>
          <w:p w14:paraId="58F5D9C9"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Inpatient (Ages 13–17 years)—Female</w:t>
            </w:r>
          </w:p>
        </w:tc>
      </w:tr>
      <w:tr w:rsidR="005C3D48" w:rsidRPr="00411D9E" w14:paraId="638B056E"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FA1D6E2"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EBD69A8"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Inpatient (Ages 13–17 years)—Total Rate</w:t>
            </w:r>
          </w:p>
        </w:tc>
      </w:tr>
      <w:tr w:rsidR="005C3D48" w:rsidRPr="00411D9E" w14:paraId="030B96F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75C3E0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8C4700D"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Intensive Outpatient/Partial Hospitalization (Ages 0–12 years)—Male</w:t>
            </w:r>
          </w:p>
        </w:tc>
      </w:tr>
      <w:tr w:rsidR="005C3D48" w:rsidRPr="00411D9E" w14:paraId="525588CA"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EAA447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5114374"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Intensive Outpatient/Partial Hospitalization (Ages 0–12 years)—Female</w:t>
            </w:r>
          </w:p>
        </w:tc>
      </w:tr>
      <w:tr w:rsidR="005C3D48" w:rsidRPr="00411D9E" w14:paraId="750396E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66D8A72"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36501D2"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Intensive Outpatient/Partial Hospitalization (Ages 0–12 years)—Total Rate</w:t>
            </w:r>
          </w:p>
        </w:tc>
      </w:tr>
      <w:tr w:rsidR="005C3D48" w:rsidRPr="00411D9E" w14:paraId="3AFE1D9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5C1E06F"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9CBD02D"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Intensive Outpatient/Partial Hospitalization (Ages 13–17 years)—Male</w:t>
            </w:r>
          </w:p>
        </w:tc>
      </w:tr>
      <w:tr w:rsidR="005C3D48" w:rsidRPr="00411D9E" w14:paraId="1B1157F3"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1C33D5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A1537F9"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Intensive Outpatient/Partial Hospitalization (Ages 13–17 years)—Female</w:t>
            </w:r>
          </w:p>
        </w:tc>
      </w:tr>
      <w:tr w:rsidR="005C3D48" w:rsidRPr="00411D9E" w14:paraId="3414890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367CEF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07A6F81"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Intensive Outpatient/Partial Hospitalization (Ages 13–17 years)—Total Rate</w:t>
            </w:r>
          </w:p>
        </w:tc>
      </w:tr>
      <w:tr w:rsidR="005C3D48" w:rsidRPr="00411D9E" w14:paraId="7A7B17F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2DA5B64"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DF0D07C"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Outpatient (Ages 0–12 years)—Male</w:t>
            </w:r>
          </w:p>
        </w:tc>
      </w:tr>
      <w:tr w:rsidR="005C3D48" w:rsidRPr="00411D9E" w14:paraId="5BAE61D4"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F5410D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715D58D"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Outpatient (Ages 0–12 years)—Female</w:t>
            </w:r>
          </w:p>
        </w:tc>
      </w:tr>
      <w:tr w:rsidR="005C3D48" w:rsidRPr="00411D9E" w14:paraId="77A5A78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BEBF98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6D07F05"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Outpatient (Ages 0–12 years)—Total Rate</w:t>
            </w:r>
          </w:p>
        </w:tc>
      </w:tr>
      <w:tr w:rsidR="005C3D48" w:rsidRPr="00411D9E" w14:paraId="6434D1B3"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918AF2D"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33050F9D"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Outpatient (Ages 13–17 years)—Male</w:t>
            </w:r>
          </w:p>
        </w:tc>
      </w:tr>
      <w:tr w:rsidR="005C3D48" w:rsidRPr="00411D9E" w14:paraId="52B74918"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95DADC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9E148EB"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Outpatient (Ages 13–17 years)—Female</w:t>
            </w:r>
          </w:p>
        </w:tc>
      </w:tr>
      <w:tr w:rsidR="005C3D48" w:rsidRPr="00411D9E" w14:paraId="716E5E87"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5C7C02F2"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C89E6F7"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Outpatient (Ages 13–17 years)—Total Rate</w:t>
            </w:r>
          </w:p>
        </w:tc>
      </w:tr>
      <w:tr w:rsidR="005C3D48" w:rsidRPr="00411D9E" w14:paraId="14D6E22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22D6837"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1303D389"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Emergency Department (Ages 0–12 years)—Male</w:t>
            </w:r>
          </w:p>
        </w:tc>
      </w:tr>
      <w:tr w:rsidR="005C3D48" w:rsidRPr="00411D9E" w14:paraId="09C18EA2"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12AF7CB1"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14F4972"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Emergency Department (Ages 0–12 years)—Female</w:t>
            </w:r>
          </w:p>
        </w:tc>
      </w:tr>
      <w:tr w:rsidR="005C3D48" w:rsidRPr="00411D9E" w14:paraId="7E8EFA2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18985D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3E04A4A"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Emergency Department (Ages 0–12 years)—Total Rate</w:t>
            </w:r>
          </w:p>
        </w:tc>
      </w:tr>
      <w:tr w:rsidR="005C3D48" w:rsidRPr="00411D9E" w14:paraId="7328F5A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E1ED0EE"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F420791"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Emergency Department (Ages 13–17 years)—Male</w:t>
            </w:r>
          </w:p>
        </w:tc>
      </w:tr>
      <w:tr w:rsidR="005C3D48" w:rsidRPr="00411D9E" w14:paraId="2CC5B7B4"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056404EC"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691D86B5"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Emergency Department (Ages 13–17 years)—Female</w:t>
            </w:r>
          </w:p>
        </w:tc>
      </w:tr>
      <w:tr w:rsidR="005C3D48" w:rsidRPr="00411D9E" w14:paraId="28579D2A"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8254816"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094B49B7"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Emergency Department (Ages 13–17 years)—Total Rate</w:t>
            </w:r>
          </w:p>
        </w:tc>
      </w:tr>
      <w:tr w:rsidR="005C3D48" w:rsidRPr="00411D9E" w14:paraId="33B1474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4352A20"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469DED9C"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Telehealth (Ages 0–12 years)—Male</w:t>
            </w:r>
          </w:p>
        </w:tc>
      </w:tr>
      <w:tr w:rsidR="005C3D48" w:rsidRPr="00411D9E" w14:paraId="4144241C"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33090F5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D9E698C"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Telehealth (Ages 0–12 years)—Female</w:t>
            </w:r>
          </w:p>
        </w:tc>
      </w:tr>
      <w:tr w:rsidR="005C3D48" w:rsidRPr="00411D9E" w14:paraId="231DB0C1"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6E2A1093"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5ECABF67"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Telehealth (Ages 0–12 years)—Total Rate</w:t>
            </w:r>
          </w:p>
        </w:tc>
      </w:tr>
      <w:tr w:rsidR="005C3D48" w:rsidRPr="00411D9E" w14:paraId="0C9DF50F"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4512A9E4"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80C5821"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Telehealth (Ages 13–17 years)—Male</w:t>
            </w:r>
          </w:p>
        </w:tc>
      </w:tr>
      <w:tr w:rsidR="005C3D48" w:rsidRPr="00411D9E" w14:paraId="24D583F6"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2CEF8B9"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7928947D"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Telehealth (Ages 13–17 years)—Female</w:t>
            </w:r>
          </w:p>
        </w:tc>
      </w:tr>
      <w:tr w:rsidR="005C3D48" w:rsidRPr="00411D9E" w14:paraId="1202F752" w14:textId="77777777" w:rsidTr="00BC297A">
        <w:trPr>
          <w:cantSplit/>
          <w:trHeight w:val="20"/>
          <w:jc w:val="center"/>
        </w:trPr>
        <w:tc>
          <w:tcPr>
            <w:tcW w:w="509" w:type="pct"/>
            <w:tcBorders>
              <w:top w:val="single" w:sz="4" w:space="0" w:color="auto"/>
              <w:left w:val="single" w:sz="4" w:space="0" w:color="auto"/>
              <w:bottom w:val="single" w:sz="4" w:space="0" w:color="auto"/>
              <w:right w:val="single" w:sz="4" w:space="0" w:color="auto"/>
            </w:tcBorders>
            <w:vAlign w:val="center"/>
          </w:tcPr>
          <w:p w14:paraId="2E343448" w14:textId="77777777" w:rsidR="005C3D48" w:rsidRPr="00411D9E" w:rsidRDefault="005C3D48" w:rsidP="00FF262E">
            <w:pPr>
              <w:jc w:val="center"/>
              <w:rPr>
                <w:rFonts w:cstheme="minorHAnsi"/>
              </w:rPr>
            </w:pPr>
            <w:r w:rsidRPr="00411D9E">
              <w:rPr>
                <w:rFonts w:cstheme="minorHAnsi"/>
              </w:rPr>
              <w:t>HEDIS</w:t>
            </w:r>
          </w:p>
        </w:tc>
        <w:tc>
          <w:tcPr>
            <w:tcW w:w="4491" w:type="pct"/>
            <w:tcBorders>
              <w:top w:val="single" w:sz="4" w:space="0" w:color="auto"/>
              <w:left w:val="single" w:sz="4" w:space="0" w:color="auto"/>
              <w:bottom w:val="single" w:sz="4" w:space="0" w:color="auto"/>
              <w:right w:val="single" w:sz="4" w:space="0" w:color="auto"/>
            </w:tcBorders>
            <w:vAlign w:val="center"/>
          </w:tcPr>
          <w:p w14:paraId="23C685AD" w14:textId="77777777" w:rsidR="005C3D48" w:rsidRPr="00411D9E" w:rsidRDefault="005C3D48" w:rsidP="00FF262E">
            <w:pPr>
              <w:jc w:val="left"/>
              <w:rPr>
                <w:rFonts w:eastAsia="Times New Roman" w:cstheme="minorHAnsi"/>
              </w:rPr>
            </w:pPr>
            <w:r w:rsidRPr="00411D9E">
              <w:rPr>
                <w:rFonts w:eastAsia="Times New Roman" w:cstheme="minorHAnsi"/>
              </w:rPr>
              <w:t>Identification of Alcohol and Other Drug Services: Telehealth (Ages 13–17 years)—Total Rate</w:t>
            </w:r>
          </w:p>
        </w:tc>
      </w:tr>
    </w:tbl>
    <w:p w14:paraId="16D6C47B" w14:textId="4CBD873C" w:rsidR="005C3D48" w:rsidRPr="00411D9E" w:rsidRDefault="00BC297A" w:rsidP="00BC297A">
      <w:pPr>
        <w:spacing w:after="480"/>
        <w:rPr>
          <w:sz w:val="20"/>
          <w:szCs w:val="20"/>
        </w:rPr>
      </w:pPr>
      <w:bookmarkStart w:id="88" w:name="_Toc447022727"/>
      <w:bookmarkStart w:id="89" w:name="_Toc449099972"/>
      <w:bookmarkStart w:id="90" w:name="_Toc512521026"/>
      <w:bookmarkStart w:id="91" w:name="_Toc68527423"/>
      <w:bookmarkStart w:id="92" w:name="_Toc70508373"/>
      <w:bookmarkStart w:id="93" w:name="_Toc66956522"/>
      <w:bookmarkStart w:id="94" w:name="_Toc68527426"/>
      <w:r w:rsidRPr="00411D9E">
        <w:rPr>
          <w:sz w:val="20"/>
          <w:szCs w:val="20"/>
        </w:rPr>
        <w:t>PA: Pennsylvania; EQR: external quality review; HEDIS: Healthcare Effectiveness Data and Information Set.</w:t>
      </w:r>
    </w:p>
    <w:p w14:paraId="483C654B" w14:textId="77777777" w:rsidR="005C3D48" w:rsidRPr="00411D9E" w:rsidRDefault="005C3D48" w:rsidP="005C3D48">
      <w:pPr>
        <w:pStyle w:val="Heading2"/>
      </w:pPr>
      <w:bookmarkStart w:id="95" w:name="_Toc99026946"/>
      <w:r w:rsidRPr="00411D9E">
        <w:t>PA-Specific and CMS Core Set Performance Measure Selection and Descriptions</w:t>
      </w:r>
      <w:bookmarkEnd w:id="88"/>
      <w:bookmarkEnd w:id="89"/>
      <w:bookmarkEnd w:id="90"/>
      <w:bookmarkEnd w:id="91"/>
      <w:bookmarkEnd w:id="92"/>
      <w:bookmarkEnd w:id="95"/>
    </w:p>
    <w:p w14:paraId="5006DA71" w14:textId="77777777" w:rsidR="005C3D48" w:rsidRPr="00411D9E" w:rsidRDefault="005C3D48" w:rsidP="005C3D48"/>
    <w:p w14:paraId="6CAD3B5B" w14:textId="5B9A65FE" w:rsidR="005C3D48" w:rsidRPr="00411D9E" w:rsidRDefault="005C3D48" w:rsidP="005C3D48">
      <w:r w:rsidRPr="00411D9E">
        <w:t xml:space="preserve">Several PA-specific performance measures were calculated by each MCO and validated by IPRO. In accordance with DHS direction, IPRO created the indicator specifications to resemble </w:t>
      </w:r>
      <w:r w:rsidRPr="00411D9E">
        <w:rPr>
          <w:rFonts w:cs="Arial"/>
        </w:rPr>
        <w:t>HEDIS</w:t>
      </w:r>
      <w:r w:rsidRPr="00411D9E">
        <w:rPr>
          <w:rFonts w:cs="Arial"/>
          <w:sz w:val="20"/>
        </w:rPr>
        <w:t xml:space="preserve"> </w:t>
      </w:r>
      <w:r w:rsidRPr="00411D9E">
        <w:t xml:space="preserve">specifications. Measures previously developed and added, as mandated by CMS for children in accordance with the Children’s Health Insurance Program Reauthorization Act (CHIPRA), were continued as applicable to revised CMS specifications. New measures were developed and added in 2021 as mandated in accordance with the </w:t>
      </w:r>
      <w:r w:rsidR="00411D9E" w:rsidRPr="00411D9E">
        <w:t>Act and</w:t>
      </w:r>
      <w:r w:rsidRPr="00411D9E">
        <w:t xml:space="preserve"> with CMS specifications. In 2021, the Sealant Receipt on Permanent First Molars was added. For each indicator, the criteria that were specified to identify the eligible population were product line, age, enrollment, anchor date, and event/diagnosis. To identify the administrative numerator positives, date of service and diagnosis/procedure code criteria were outlined, as well as other specifications, as needed. PA-specific performance measure rates were calculated administratively, which uses only the MCOs data systems to identify numerator positives.  The hybrid methodology, which uses a combination of administrative data and medical record review (MRR) to identify numerator “hits” for rate calculation, was not used for the PA-specific performance measures. </w:t>
      </w:r>
    </w:p>
    <w:p w14:paraId="4CCB15B5" w14:textId="77777777" w:rsidR="005C3D48" w:rsidRPr="00411D9E" w:rsidRDefault="005C3D48" w:rsidP="00EE64BA">
      <w:pPr>
        <w:pStyle w:val="Heading2"/>
      </w:pPr>
      <w:bookmarkStart w:id="96" w:name="_Toc66956520"/>
      <w:bookmarkStart w:id="97" w:name="_Toc68527424"/>
      <w:bookmarkStart w:id="98" w:name="_Toc70508374"/>
      <w:bookmarkStart w:id="99" w:name="_Toc99026947"/>
      <w:r w:rsidRPr="00411D9E">
        <w:lastRenderedPageBreak/>
        <w:t>PA-Specific and CMS Core Set Administrative Measures</w:t>
      </w:r>
      <w:bookmarkEnd w:id="96"/>
      <w:bookmarkEnd w:id="97"/>
      <w:bookmarkEnd w:id="98"/>
      <w:bookmarkEnd w:id="99"/>
    </w:p>
    <w:p w14:paraId="260CA024" w14:textId="77777777" w:rsidR="005C3D48" w:rsidRPr="00411D9E" w:rsidRDefault="005C3D48" w:rsidP="005C3D48">
      <w:pPr>
        <w:spacing w:before="200"/>
        <w:rPr>
          <w:rFonts w:cstheme="minorHAnsi"/>
          <w:b/>
        </w:rPr>
      </w:pPr>
      <w:r w:rsidRPr="00411D9E">
        <w:rPr>
          <w:rFonts w:cstheme="minorHAnsi"/>
          <w:b/>
        </w:rPr>
        <w:t>Developmental Screening in the First Three Years of Life—CHIPRA Core Set</w:t>
      </w:r>
    </w:p>
    <w:p w14:paraId="4D684152" w14:textId="77777777" w:rsidR="005C3D48" w:rsidRPr="00411D9E" w:rsidRDefault="005C3D48" w:rsidP="005C3D48">
      <w:r w:rsidRPr="00411D9E">
        <w:t>This performance measure assesses the percentage of children screened for risk of developmental, behavioral, and social delays using a standardized screening tool in the 12 months preceding their first, second, or third birthday. Four rates—one for each group and a combined rate—are to be calculated and reported for each numerator.</w:t>
      </w:r>
    </w:p>
    <w:p w14:paraId="339EC221" w14:textId="77777777" w:rsidR="005C3D48" w:rsidRPr="00411D9E" w:rsidRDefault="005C3D48" w:rsidP="005C3D48">
      <w:pPr>
        <w:autoSpaceDE w:val="0"/>
        <w:autoSpaceDN w:val="0"/>
        <w:adjustRightInd w:val="0"/>
        <w:rPr>
          <w:rFonts w:cs="Arial"/>
          <w:lang w:eastAsia="zh-TW" w:bidi="ar-SA"/>
        </w:rPr>
      </w:pPr>
    </w:p>
    <w:p w14:paraId="6C8A2F92" w14:textId="77777777" w:rsidR="005C3D48" w:rsidRPr="00411D9E" w:rsidRDefault="005C3D48" w:rsidP="005C3D48">
      <w:pPr>
        <w:rPr>
          <w:b/>
        </w:rPr>
      </w:pPr>
      <w:r w:rsidRPr="00411D9E">
        <w:rPr>
          <w:b/>
        </w:rPr>
        <w:t>Sealant Receipt on Permanent First Year Molars —CHIPRA Core Set—New for 2021</w:t>
      </w:r>
    </w:p>
    <w:p w14:paraId="0C4FEE1A" w14:textId="77777777" w:rsidR="005C3D48" w:rsidRPr="00411D9E" w:rsidRDefault="005C3D48" w:rsidP="005C3D48">
      <w:pPr>
        <w:autoSpaceDE w:val="0"/>
        <w:autoSpaceDN w:val="0"/>
        <w:adjustRightInd w:val="0"/>
        <w:jc w:val="left"/>
        <w:rPr>
          <w:rFonts w:eastAsiaTheme="minorHAnsi" w:cstheme="minorHAnsi"/>
          <w:lang w:bidi="ar-SA"/>
        </w:rPr>
      </w:pPr>
      <w:r w:rsidRPr="00411D9E">
        <w:rPr>
          <w:rFonts w:eastAsiaTheme="minorHAnsi" w:cstheme="minorHAnsi"/>
          <w:lang w:bidi="ar-SA"/>
        </w:rPr>
        <w:t xml:space="preserve">This performance measure assesses the percentage of enrolled children who have ever received sealants on permanent first molar teeth and turned 10 years old during the measurement year.  Two rates are reported: </w:t>
      </w:r>
    </w:p>
    <w:p w14:paraId="716E0ADF" w14:textId="77777777" w:rsidR="005C3D48" w:rsidRPr="00411D9E" w:rsidRDefault="005C3D48" w:rsidP="00A0110E">
      <w:pPr>
        <w:pStyle w:val="ListParagraph"/>
        <w:numPr>
          <w:ilvl w:val="0"/>
          <w:numId w:val="28"/>
        </w:numPr>
        <w:autoSpaceDE w:val="0"/>
        <w:autoSpaceDN w:val="0"/>
        <w:adjustRightInd w:val="0"/>
        <w:jc w:val="left"/>
        <w:rPr>
          <w:rFonts w:cstheme="minorHAnsi"/>
        </w:rPr>
      </w:pPr>
      <w:r w:rsidRPr="00411D9E">
        <w:rPr>
          <w:rFonts w:cstheme="minorHAnsi"/>
        </w:rPr>
        <w:t>The percentage of enrolled children who received a sealant on at least one permanent first molar in the 48 months prior to their 10</w:t>
      </w:r>
      <w:r w:rsidRPr="00411D9E">
        <w:rPr>
          <w:rFonts w:cstheme="minorHAnsi"/>
          <w:vertAlign w:val="superscript"/>
        </w:rPr>
        <w:t>th</w:t>
      </w:r>
      <w:r w:rsidRPr="00411D9E">
        <w:rPr>
          <w:rFonts w:cstheme="minorHAnsi"/>
        </w:rPr>
        <w:t xml:space="preserve"> birthday; and</w:t>
      </w:r>
    </w:p>
    <w:p w14:paraId="25A40C64" w14:textId="77777777" w:rsidR="005C3D48" w:rsidRPr="00411D9E" w:rsidRDefault="005C3D48" w:rsidP="00A0110E">
      <w:pPr>
        <w:pStyle w:val="ListParagraph"/>
        <w:numPr>
          <w:ilvl w:val="0"/>
          <w:numId w:val="28"/>
        </w:numPr>
        <w:autoSpaceDE w:val="0"/>
        <w:autoSpaceDN w:val="0"/>
        <w:adjustRightInd w:val="0"/>
        <w:jc w:val="left"/>
        <w:rPr>
          <w:rFonts w:cstheme="minorHAnsi"/>
        </w:rPr>
      </w:pPr>
      <w:r w:rsidRPr="00411D9E">
        <w:rPr>
          <w:rFonts w:cstheme="minorHAnsi"/>
        </w:rPr>
        <w:t>The percentage of unduplicated enrolled children who received sealants on all four permanent first molars in the 48 months prior to their 10</w:t>
      </w:r>
      <w:r w:rsidRPr="00411D9E">
        <w:rPr>
          <w:rFonts w:cstheme="minorHAnsi"/>
          <w:vertAlign w:val="superscript"/>
        </w:rPr>
        <w:t>th</w:t>
      </w:r>
      <w:r w:rsidRPr="00411D9E">
        <w:rPr>
          <w:rFonts w:cstheme="minorHAnsi"/>
        </w:rPr>
        <w:t xml:space="preserve"> birthday. </w:t>
      </w:r>
    </w:p>
    <w:p w14:paraId="217C2A14" w14:textId="77777777" w:rsidR="005C3D48" w:rsidRPr="00411D9E" w:rsidRDefault="005C3D48" w:rsidP="005C3D48">
      <w:pPr>
        <w:rPr>
          <w:lang w:eastAsia="zh-TW"/>
        </w:rPr>
      </w:pPr>
    </w:p>
    <w:p w14:paraId="3366FB43" w14:textId="77777777" w:rsidR="005C3D48" w:rsidRPr="00411D9E" w:rsidRDefault="005C3D48" w:rsidP="005C3D48">
      <w:pPr>
        <w:rPr>
          <w:lang w:eastAsia="zh-TW"/>
        </w:rPr>
      </w:pPr>
      <w:r w:rsidRPr="00411D9E">
        <w:rPr>
          <w:b/>
          <w:lang w:eastAsia="zh-TW"/>
        </w:rPr>
        <w:t>Annual Number of Asthma Patients with One or More Asthma-Related Emergency Room Visits</w:t>
      </w:r>
      <w:r w:rsidRPr="00411D9E">
        <w:rPr>
          <w:rFonts w:cstheme="minorHAnsi"/>
          <w:b/>
        </w:rPr>
        <w:t>—PA-specific</w:t>
      </w:r>
      <w:r w:rsidRPr="00411D9E">
        <w:rPr>
          <w:b/>
          <w:lang w:eastAsia="zh-TW"/>
        </w:rPr>
        <w:t xml:space="preserve"> </w:t>
      </w:r>
    </w:p>
    <w:p w14:paraId="10C20372" w14:textId="77777777" w:rsidR="005C3D48" w:rsidRPr="00411D9E" w:rsidRDefault="005C3D48" w:rsidP="005C3D48">
      <w:r w:rsidRPr="00411D9E">
        <w:t>This performance measure assesses the percentage of children and adolescents, 2 years of age through 19 years of age, with an asthma diagnosis who have ≥ 1 emergency department (ED) visit during the measurement year.</w:t>
      </w:r>
    </w:p>
    <w:p w14:paraId="7E0AF88A" w14:textId="77777777" w:rsidR="005C3D48" w:rsidRPr="00411D9E" w:rsidRDefault="005C3D48" w:rsidP="005C3D48">
      <w:pPr>
        <w:rPr>
          <w:b/>
        </w:rPr>
      </w:pPr>
    </w:p>
    <w:p w14:paraId="05EDB4F5" w14:textId="77777777" w:rsidR="005C3D48" w:rsidRPr="00411D9E" w:rsidRDefault="005C3D48" w:rsidP="005C3D48">
      <w:r w:rsidRPr="00411D9E">
        <w:rPr>
          <w:b/>
        </w:rPr>
        <w:t>Contraceptive Care for All Women—CHIPRA Core Set</w:t>
      </w:r>
    </w:p>
    <w:p w14:paraId="0B43C0FF" w14:textId="77777777" w:rsidR="005C3D48" w:rsidRPr="00411D9E" w:rsidRDefault="005C3D48" w:rsidP="005C3D48">
      <w:r w:rsidRPr="00411D9E">
        <w:t xml:space="preserve">This performance measure assesses the percentage of women ages 15 through 20 years at risk of unintended pregnancy and were provided a most effective/moderately effective contraception method or a long-acting reversible contraception (LARC) method. For the CMS Core measures, two rates are reported: one each for (1) the provision of most/moderately effective contraception, and for (2) the provision of LARC. </w:t>
      </w:r>
    </w:p>
    <w:p w14:paraId="414FADA2" w14:textId="77777777" w:rsidR="005C3D48" w:rsidRPr="00411D9E" w:rsidRDefault="005C3D48" w:rsidP="005C3D48"/>
    <w:p w14:paraId="28C50621" w14:textId="77777777" w:rsidR="005C3D48" w:rsidRPr="00411D9E" w:rsidRDefault="005C3D48" w:rsidP="005C3D48">
      <w:r w:rsidRPr="00411D9E">
        <w:rPr>
          <w:b/>
        </w:rPr>
        <w:t>Contraceptive Care for Postpartum Women—CHIPRA Core Set</w:t>
      </w:r>
    </w:p>
    <w:p w14:paraId="2988F782" w14:textId="77777777" w:rsidR="005C3D48" w:rsidRPr="00411D9E" w:rsidRDefault="005C3D48" w:rsidP="005C3D48">
      <w:r w:rsidRPr="00411D9E">
        <w:t>This performance measure assesses the percentage of women ages 15 through 20 years who had a live birth and were provided a most effective/moderately effective contraception method or a long-acting reversible contraception (LARC) method within 3 days and within 60 days of delivery. For the CMS Core measures, four rates are reported: (1) most or moderately effective contraception—3 days, (2) most or moderately effective contraception—60 days, (3) LARC—3 days, and (4) LARC—60 days.</w:t>
      </w:r>
    </w:p>
    <w:p w14:paraId="068BEFB3" w14:textId="77777777" w:rsidR="005C3D48" w:rsidRPr="00411D9E" w:rsidRDefault="005C3D48" w:rsidP="005C3D48">
      <w:pPr>
        <w:pStyle w:val="Heading2"/>
      </w:pPr>
      <w:bookmarkStart w:id="100" w:name="_Toc447022728"/>
      <w:bookmarkStart w:id="101" w:name="_Toc449099973"/>
      <w:bookmarkStart w:id="102" w:name="_Toc512521027"/>
      <w:bookmarkStart w:id="103" w:name="_Toc66956521"/>
      <w:bookmarkStart w:id="104" w:name="_Toc68527425"/>
      <w:bookmarkStart w:id="105" w:name="_Toc70508375"/>
      <w:bookmarkStart w:id="106" w:name="_Toc99026948"/>
      <w:r w:rsidRPr="00411D9E">
        <w:t>HEDIS Performance Measure Selection and Descriptions</w:t>
      </w:r>
      <w:bookmarkEnd w:id="100"/>
      <w:bookmarkEnd w:id="101"/>
      <w:bookmarkEnd w:id="102"/>
      <w:bookmarkEnd w:id="103"/>
      <w:bookmarkEnd w:id="104"/>
      <w:bookmarkEnd w:id="105"/>
      <w:bookmarkEnd w:id="106"/>
    </w:p>
    <w:p w14:paraId="417765B7" w14:textId="77777777" w:rsidR="005C3D48" w:rsidRPr="00411D9E" w:rsidRDefault="005C3D48" w:rsidP="005C3D48">
      <w:pPr>
        <w:spacing w:before="200"/>
        <w:rPr>
          <w:rFonts w:cstheme="minorHAnsi"/>
        </w:rPr>
      </w:pPr>
      <w:r w:rsidRPr="00411D9E">
        <w:rPr>
          <w:rFonts w:cstheme="minorHAnsi"/>
        </w:rPr>
        <w:t>Each MCO underwent a full HEDIS compliance audit in 2021. As indicated previously, performance on selected HEDIS measures is included in this year’s EQR report. Development of HEDIS measures and the clinical rationale for their inclusion in the HEDIS measurement set can be found in HEDIS MY 2020, Volume 2 Narrative. The measurement year for the HEDIS measures is 2020, as well as prior years for selected measures. Each year, DHS updates its requirements for the MCOs to be consistent with NCQA’s requirement for the reporting year. MCOs are required to report the complete set of CHIP measures, as specified in the HEDIS Technical Specifications, Volume 2, which includes using the Medicaid measure specifications. Because CHIP enrollment only includes members up to 19 years old, for each of the required measures, CHIP MCOs report based only on all eligible members up to age 19 as applicable. In addition, DHS does not require the MCOs to produce the Chronic Conditions component of the CAHPS 5.1.H—Child Survey.</w:t>
      </w:r>
    </w:p>
    <w:p w14:paraId="1C860675" w14:textId="77777777" w:rsidR="005C3D48" w:rsidRPr="00411D9E" w:rsidRDefault="005C3D48" w:rsidP="005C3D48"/>
    <w:p w14:paraId="5CB27C56" w14:textId="77777777" w:rsidR="005C3D48" w:rsidRPr="00411D9E" w:rsidRDefault="005C3D48" w:rsidP="005C3D48">
      <w:pPr>
        <w:rPr>
          <w:rFonts w:cstheme="minorHAnsi"/>
          <w:b/>
        </w:rPr>
      </w:pPr>
      <w:r w:rsidRPr="00411D9E">
        <w:rPr>
          <w:rFonts w:cstheme="minorHAnsi"/>
          <w:b/>
        </w:rPr>
        <w:t>Well-Child Visits in the First 30 Months of Life – New for 2021</w:t>
      </w:r>
    </w:p>
    <w:p w14:paraId="4658D42C" w14:textId="77777777" w:rsidR="005C3D48" w:rsidRPr="00411D9E" w:rsidRDefault="005C3D48" w:rsidP="005C3D48">
      <w:pPr>
        <w:pStyle w:val="Body"/>
        <w:spacing w:before="0"/>
        <w:rPr>
          <w:rFonts w:asciiTheme="minorHAnsi" w:hAnsiTheme="minorHAnsi"/>
          <w:sz w:val="22"/>
          <w:szCs w:val="22"/>
        </w:rPr>
      </w:pPr>
      <w:r w:rsidRPr="00411D9E">
        <w:rPr>
          <w:rFonts w:asciiTheme="minorHAnsi" w:hAnsiTheme="minorHAnsi"/>
          <w:sz w:val="22"/>
          <w:szCs w:val="22"/>
        </w:rPr>
        <w:t xml:space="preserve">This measure assesses the percentage of enrollees who turned 30 months old during the measurement year, who were continuously enrolled from 31 days of age through 30 months of age, and who: </w:t>
      </w:r>
    </w:p>
    <w:p w14:paraId="58D06929" w14:textId="77777777" w:rsidR="005C3D48" w:rsidRPr="00411D9E" w:rsidRDefault="005C3D48" w:rsidP="00A0110E">
      <w:pPr>
        <w:pStyle w:val="Body"/>
        <w:numPr>
          <w:ilvl w:val="0"/>
          <w:numId w:val="27"/>
        </w:numPr>
        <w:spacing w:before="0"/>
        <w:rPr>
          <w:rFonts w:asciiTheme="minorHAnsi" w:hAnsiTheme="minorHAnsi"/>
          <w:sz w:val="22"/>
          <w:szCs w:val="22"/>
        </w:rPr>
      </w:pPr>
      <w:r w:rsidRPr="00411D9E">
        <w:rPr>
          <w:rFonts w:asciiTheme="minorHAnsi" w:hAnsiTheme="minorHAnsi"/>
          <w:sz w:val="22"/>
          <w:szCs w:val="22"/>
        </w:rPr>
        <w:t>Received six or more well-child visits with a PCP during their first 15 months of life; and</w:t>
      </w:r>
    </w:p>
    <w:p w14:paraId="4E5F272E" w14:textId="73F786EC" w:rsidR="005C3D48" w:rsidRPr="00411D9E" w:rsidRDefault="005C3D48" w:rsidP="00A0110E">
      <w:pPr>
        <w:pStyle w:val="Body"/>
        <w:numPr>
          <w:ilvl w:val="0"/>
          <w:numId w:val="27"/>
        </w:numPr>
        <w:spacing w:before="0"/>
        <w:rPr>
          <w:rFonts w:asciiTheme="minorHAnsi" w:hAnsiTheme="minorHAnsi"/>
          <w:sz w:val="22"/>
          <w:szCs w:val="22"/>
        </w:rPr>
      </w:pPr>
      <w:r w:rsidRPr="00411D9E">
        <w:rPr>
          <w:rFonts w:asciiTheme="minorHAnsi" w:hAnsiTheme="minorHAnsi"/>
          <w:sz w:val="22"/>
          <w:szCs w:val="22"/>
        </w:rPr>
        <w:t>Received two or more well-child visits</w:t>
      </w:r>
      <w:r w:rsidR="00E45F45">
        <w:rPr>
          <w:rFonts w:asciiTheme="minorHAnsi" w:hAnsiTheme="minorHAnsi"/>
          <w:sz w:val="22"/>
          <w:szCs w:val="22"/>
        </w:rPr>
        <w:t xml:space="preserve"> with a PCP</w:t>
      </w:r>
      <w:r w:rsidRPr="00411D9E">
        <w:rPr>
          <w:rFonts w:asciiTheme="minorHAnsi" w:hAnsiTheme="minorHAnsi"/>
          <w:sz w:val="22"/>
          <w:szCs w:val="22"/>
        </w:rPr>
        <w:t xml:space="preserve"> for age 15 months-30 months of life.</w:t>
      </w:r>
    </w:p>
    <w:p w14:paraId="336EEF05" w14:textId="77777777" w:rsidR="005C3D48" w:rsidRPr="00411D9E" w:rsidRDefault="005C3D48" w:rsidP="005C3D48">
      <w:pPr>
        <w:rPr>
          <w:lang w:eastAsia="zh-TW"/>
        </w:rPr>
      </w:pPr>
    </w:p>
    <w:p w14:paraId="41D46E74" w14:textId="77777777" w:rsidR="005C3D48" w:rsidRPr="00411D9E" w:rsidRDefault="005C3D48" w:rsidP="005C3D48">
      <w:pPr>
        <w:rPr>
          <w:b/>
        </w:rPr>
      </w:pPr>
      <w:r w:rsidRPr="00411D9E">
        <w:rPr>
          <w:b/>
        </w:rPr>
        <w:t xml:space="preserve">Child and Adolescent Well-Care Visits </w:t>
      </w:r>
      <w:r w:rsidRPr="00411D9E">
        <w:rPr>
          <w:rFonts w:cstheme="minorHAnsi"/>
          <w:b/>
        </w:rPr>
        <w:t>– New for 2021</w:t>
      </w:r>
    </w:p>
    <w:p w14:paraId="0D9E379A" w14:textId="77777777" w:rsidR="005C3D48" w:rsidRPr="00411D9E" w:rsidRDefault="005C3D48" w:rsidP="005C3D48">
      <w:pPr>
        <w:pStyle w:val="Body"/>
        <w:spacing w:before="0"/>
        <w:rPr>
          <w:rFonts w:asciiTheme="minorHAnsi" w:hAnsiTheme="minorHAnsi" w:cstheme="minorHAnsi"/>
          <w:sz w:val="22"/>
          <w:szCs w:val="22"/>
        </w:rPr>
      </w:pPr>
      <w:r w:rsidRPr="00411D9E">
        <w:rPr>
          <w:rFonts w:asciiTheme="minorHAnsi" w:hAnsiTheme="minorHAnsi" w:cstheme="minorHAnsi"/>
          <w:sz w:val="22"/>
          <w:szCs w:val="22"/>
        </w:rPr>
        <w:t>This measure assesses the percentage of members 3–19 years of age who had at least one comprehensive well-care visit with a PCP or an OB/GYN practitioner during the measurement year.</w:t>
      </w:r>
    </w:p>
    <w:p w14:paraId="51D61FBF" w14:textId="77777777" w:rsidR="005C3D48" w:rsidRPr="00411D9E" w:rsidRDefault="005C3D48" w:rsidP="005C3D48">
      <w:pPr>
        <w:rPr>
          <w:b/>
        </w:rPr>
      </w:pPr>
      <w:r w:rsidRPr="00411D9E">
        <w:rPr>
          <w:b/>
        </w:rPr>
        <w:lastRenderedPageBreak/>
        <w:t>Childhood Immunization Status</w:t>
      </w:r>
    </w:p>
    <w:p w14:paraId="1E8CCCB6" w14:textId="368FAB5C" w:rsidR="005C3D48" w:rsidRPr="00411D9E" w:rsidRDefault="005C3D48" w:rsidP="005C3D48">
      <w:r w:rsidRPr="00411D9E">
        <w:t xml:space="preserve">This measure assesses the percentage of children 2 years of age who had four diphtheria, tetanus, and acellular pertussis (DTaP); three polio (IPV); one measles, mumps, and rubella (MMR); three </w:t>
      </w:r>
      <w:proofErr w:type="spellStart"/>
      <w:r w:rsidRPr="00411D9E">
        <w:t>haemophilus</w:t>
      </w:r>
      <w:proofErr w:type="spellEnd"/>
      <w:r w:rsidRPr="00411D9E">
        <w:t xml:space="preserve"> influenza type B (</w:t>
      </w:r>
      <w:proofErr w:type="spellStart"/>
      <w:r w:rsidR="00E45F45">
        <w:t>HiB</w:t>
      </w:r>
      <w:proofErr w:type="spellEnd"/>
      <w:r w:rsidRPr="00411D9E">
        <w:t>); three hepatitis B (</w:t>
      </w:r>
      <w:proofErr w:type="spellStart"/>
      <w:r w:rsidRPr="00411D9E">
        <w:t>HepB</w:t>
      </w:r>
      <w:proofErr w:type="spellEnd"/>
      <w:r w:rsidRPr="00411D9E">
        <w:t>), one chicken pox (VZV); four pneumococcal conjugate (PCV); one hepatitis A (</w:t>
      </w:r>
      <w:proofErr w:type="spellStart"/>
      <w:r w:rsidRPr="00411D9E">
        <w:t>HepA</w:t>
      </w:r>
      <w:proofErr w:type="spellEnd"/>
      <w:r w:rsidRPr="00411D9E">
        <w:t xml:space="preserve">); two or three rotavirus (RV); and two influenza (flu) vaccines by their second birthday. The measure calculates a rate for each vaccine and nine separate combination rates. </w:t>
      </w:r>
    </w:p>
    <w:p w14:paraId="1A96324B" w14:textId="77777777" w:rsidR="005C3D48" w:rsidRPr="00411D9E" w:rsidRDefault="005C3D48" w:rsidP="005C3D48">
      <w:pPr>
        <w:rPr>
          <w:b/>
        </w:rPr>
      </w:pPr>
    </w:p>
    <w:p w14:paraId="0F14285D" w14:textId="77777777" w:rsidR="005C3D48" w:rsidRPr="00411D9E" w:rsidRDefault="005C3D48" w:rsidP="005C3D48">
      <w:pPr>
        <w:rPr>
          <w:b/>
        </w:rPr>
      </w:pPr>
      <w:r w:rsidRPr="00411D9E">
        <w:rPr>
          <w:b/>
        </w:rPr>
        <w:t xml:space="preserve">Weight Assessment and Counseling for Nutrition and Physical Activity for Children/Adolescents </w:t>
      </w:r>
    </w:p>
    <w:p w14:paraId="135D2558" w14:textId="77777777" w:rsidR="005C3D48" w:rsidRPr="00411D9E" w:rsidRDefault="005C3D48" w:rsidP="005C3D48">
      <w:pPr>
        <w:pStyle w:val="Body"/>
        <w:spacing w:before="0"/>
        <w:rPr>
          <w:rFonts w:asciiTheme="minorHAnsi" w:hAnsiTheme="minorHAnsi"/>
          <w:sz w:val="22"/>
          <w:szCs w:val="22"/>
        </w:rPr>
      </w:pPr>
      <w:r w:rsidRPr="00411D9E">
        <w:rPr>
          <w:rFonts w:asciiTheme="minorHAnsi" w:hAnsiTheme="minorHAnsi"/>
          <w:sz w:val="22"/>
          <w:szCs w:val="22"/>
        </w:rPr>
        <w:t>This measure assesses the percentage of members 3–17 years of age who had an outpatient visit with a PCP or OB/GYN practitioner, and who had evidence of the following during the measurement year:</w:t>
      </w:r>
    </w:p>
    <w:p w14:paraId="776E653A" w14:textId="77777777" w:rsidR="005C3D48" w:rsidRPr="00411D9E" w:rsidRDefault="005C3D48" w:rsidP="00A0110E">
      <w:pPr>
        <w:pStyle w:val="Body"/>
        <w:numPr>
          <w:ilvl w:val="0"/>
          <w:numId w:val="23"/>
        </w:numPr>
        <w:spacing w:before="0"/>
        <w:ind w:left="1080"/>
        <w:rPr>
          <w:rFonts w:asciiTheme="minorHAnsi" w:hAnsiTheme="minorHAnsi"/>
          <w:sz w:val="22"/>
          <w:szCs w:val="22"/>
        </w:rPr>
      </w:pPr>
      <w:r w:rsidRPr="00411D9E">
        <w:rPr>
          <w:rFonts w:asciiTheme="minorHAnsi" w:hAnsiTheme="minorHAnsi"/>
          <w:sz w:val="22"/>
          <w:szCs w:val="22"/>
        </w:rPr>
        <w:t xml:space="preserve">BMI percentile documentation; </w:t>
      </w:r>
    </w:p>
    <w:p w14:paraId="612E4E1D" w14:textId="77777777" w:rsidR="005C3D48" w:rsidRPr="00411D9E" w:rsidRDefault="005C3D48" w:rsidP="00A0110E">
      <w:pPr>
        <w:pStyle w:val="Body"/>
        <w:numPr>
          <w:ilvl w:val="0"/>
          <w:numId w:val="23"/>
        </w:numPr>
        <w:spacing w:before="0"/>
        <w:ind w:left="1080"/>
        <w:rPr>
          <w:rFonts w:asciiTheme="minorHAnsi" w:hAnsiTheme="minorHAnsi"/>
          <w:sz w:val="22"/>
          <w:szCs w:val="22"/>
        </w:rPr>
      </w:pPr>
      <w:r w:rsidRPr="00411D9E">
        <w:rPr>
          <w:rFonts w:asciiTheme="minorHAnsi" w:hAnsiTheme="minorHAnsi"/>
          <w:sz w:val="22"/>
          <w:szCs w:val="22"/>
        </w:rPr>
        <w:t xml:space="preserve">Counseling for nutrition; and </w:t>
      </w:r>
    </w:p>
    <w:p w14:paraId="4877AC0A" w14:textId="77777777" w:rsidR="005C3D48" w:rsidRPr="00411D9E" w:rsidRDefault="005C3D48" w:rsidP="00A0110E">
      <w:pPr>
        <w:pStyle w:val="Body"/>
        <w:numPr>
          <w:ilvl w:val="0"/>
          <w:numId w:val="23"/>
        </w:numPr>
        <w:spacing w:before="0"/>
        <w:ind w:left="1080"/>
        <w:rPr>
          <w:rFonts w:asciiTheme="minorHAnsi" w:hAnsiTheme="minorHAnsi"/>
          <w:sz w:val="22"/>
          <w:szCs w:val="22"/>
        </w:rPr>
      </w:pPr>
      <w:r w:rsidRPr="00411D9E">
        <w:rPr>
          <w:rFonts w:asciiTheme="minorHAnsi" w:hAnsiTheme="minorHAnsi"/>
          <w:sz w:val="22"/>
          <w:szCs w:val="22"/>
        </w:rPr>
        <w:t>Counseling for physical activity.</w:t>
      </w:r>
    </w:p>
    <w:p w14:paraId="320FDEFD" w14:textId="77777777" w:rsidR="005C3D48" w:rsidRPr="00411D9E" w:rsidRDefault="005C3D48" w:rsidP="005C3D48">
      <w:pPr>
        <w:pStyle w:val="Body"/>
        <w:spacing w:before="0"/>
        <w:rPr>
          <w:rFonts w:asciiTheme="minorHAnsi" w:hAnsiTheme="minorHAnsi" w:cs="Arial"/>
          <w:sz w:val="22"/>
          <w:szCs w:val="22"/>
        </w:rPr>
      </w:pPr>
    </w:p>
    <w:p w14:paraId="25EA6435" w14:textId="77777777" w:rsidR="005C3D48" w:rsidRPr="00411D9E" w:rsidRDefault="005C3D48" w:rsidP="005C3D48">
      <w:pPr>
        <w:pStyle w:val="Body"/>
        <w:spacing w:before="0"/>
        <w:rPr>
          <w:rFonts w:asciiTheme="minorHAnsi" w:hAnsiTheme="minorHAnsi"/>
          <w:sz w:val="22"/>
          <w:szCs w:val="22"/>
        </w:rPr>
      </w:pPr>
      <w:r w:rsidRPr="00411D9E">
        <w:rPr>
          <w:rFonts w:asciiTheme="minorHAnsi" w:hAnsiTheme="minorHAnsi" w:cs="Arial"/>
          <w:sz w:val="22"/>
          <w:szCs w:val="22"/>
        </w:rPr>
        <w:t>Because BMI norms for youth vary with age and gender, this measure evaluates whether BMI percentile is assessed rather than an absolute BMI value.</w:t>
      </w:r>
    </w:p>
    <w:p w14:paraId="2C1305FE" w14:textId="77777777" w:rsidR="005C3D48" w:rsidRPr="00411D9E" w:rsidRDefault="005C3D48" w:rsidP="005C3D48">
      <w:pPr>
        <w:rPr>
          <w:b/>
        </w:rPr>
      </w:pPr>
    </w:p>
    <w:p w14:paraId="70D9B8B6" w14:textId="77777777" w:rsidR="005C3D48" w:rsidRPr="00411D9E" w:rsidRDefault="005C3D48" w:rsidP="005C3D48">
      <w:pPr>
        <w:rPr>
          <w:b/>
        </w:rPr>
      </w:pPr>
      <w:r w:rsidRPr="00411D9E">
        <w:rPr>
          <w:b/>
        </w:rPr>
        <w:t>Immunization for Adolescents</w:t>
      </w:r>
    </w:p>
    <w:p w14:paraId="6B901D58" w14:textId="77777777" w:rsidR="005C3D48" w:rsidRPr="00411D9E" w:rsidRDefault="005C3D48" w:rsidP="005C3D48">
      <w:r w:rsidRPr="00411D9E">
        <w:t xml:space="preserve">This measure assessed the percentage of adolescents 13 years of age who had one dose of meningococcal conjugate vaccine and one tetanus, diphtheria toxoids, and acellular pertussis (Tdap) vaccine, and have completed the human papillomavirus (HPV) vaccine series by their 13th birthday. The measure calculates a rate for each vaccine and two combination rates: </w:t>
      </w:r>
    </w:p>
    <w:p w14:paraId="12C2A34C" w14:textId="77777777" w:rsidR="005C3D48" w:rsidRPr="00411D9E" w:rsidRDefault="005C3D48" w:rsidP="00A0110E">
      <w:pPr>
        <w:pStyle w:val="ListParagraph"/>
        <w:numPr>
          <w:ilvl w:val="0"/>
          <w:numId w:val="16"/>
        </w:numPr>
        <w:ind w:left="1080"/>
      </w:pPr>
      <w:r w:rsidRPr="00411D9E">
        <w:t>Combination 1: Meningococcal and Tdap; and</w:t>
      </w:r>
    </w:p>
    <w:p w14:paraId="4FFF447E" w14:textId="77777777" w:rsidR="005C3D48" w:rsidRPr="00411D9E" w:rsidRDefault="005C3D48" w:rsidP="00A0110E">
      <w:pPr>
        <w:pStyle w:val="ListParagraph"/>
        <w:numPr>
          <w:ilvl w:val="0"/>
          <w:numId w:val="16"/>
        </w:numPr>
        <w:ind w:left="1080"/>
      </w:pPr>
      <w:r w:rsidRPr="00411D9E">
        <w:t>Combination 2: Meningococcal, Tdap, and HPV.</w:t>
      </w:r>
    </w:p>
    <w:p w14:paraId="0EF38439" w14:textId="77777777" w:rsidR="005C3D48" w:rsidRPr="00411D9E" w:rsidRDefault="005C3D48" w:rsidP="005C3D48">
      <w:pPr>
        <w:rPr>
          <w:b/>
        </w:rPr>
      </w:pPr>
    </w:p>
    <w:p w14:paraId="2F242825" w14:textId="77777777" w:rsidR="005C3D48" w:rsidRPr="00411D9E" w:rsidRDefault="005C3D48" w:rsidP="005C3D48">
      <w:r w:rsidRPr="00411D9E">
        <w:rPr>
          <w:b/>
        </w:rPr>
        <w:t>Lead Screening in Children</w:t>
      </w:r>
    </w:p>
    <w:p w14:paraId="1924D814" w14:textId="77777777" w:rsidR="005C3D48" w:rsidRPr="00411D9E" w:rsidRDefault="005C3D48" w:rsidP="005C3D48">
      <w:r w:rsidRPr="00411D9E">
        <w:t>This measure assessed the percentage of children 2 years of age who had one or more capillary or venous lead blood tests for lead poisoning by their second birthday.</w:t>
      </w:r>
    </w:p>
    <w:p w14:paraId="3582396E" w14:textId="77777777" w:rsidR="005C3D48" w:rsidRPr="00411D9E" w:rsidRDefault="005C3D48" w:rsidP="005C3D48"/>
    <w:p w14:paraId="5FE1F359" w14:textId="77777777" w:rsidR="005C3D48" w:rsidRPr="00411D9E" w:rsidRDefault="005C3D48" w:rsidP="005C3D48">
      <w:r w:rsidRPr="00411D9E">
        <w:rPr>
          <w:b/>
        </w:rPr>
        <w:t>Follow-up Care for Children Prescribed ADHD Medication</w:t>
      </w:r>
    </w:p>
    <w:p w14:paraId="7A41749F" w14:textId="77777777" w:rsidR="005C3D48" w:rsidRPr="00411D9E" w:rsidRDefault="005C3D48" w:rsidP="005C3D48">
      <w:r w:rsidRPr="00411D9E">
        <w:t>This measure assesses the percentage of children newly prescribed attention-deficit/hyperactivity disorder (ADHD) medication who had at least three follow-up care visits within a 10-month period, one of which was within 30 days of when the first ADHD medication was dispensed. Two rates are reported:</w:t>
      </w:r>
    </w:p>
    <w:p w14:paraId="3C23E90E" w14:textId="77777777" w:rsidR="005C3D48" w:rsidRPr="00411D9E" w:rsidRDefault="005C3D48" w:rsidP="00A0110E">
      <w:pPr>
        <w:pStyle w:val="ListParagraph"/>
        <w:numPr>
          <w:ilvl w:val="0"/>
          <w:numId w:val="16"/>
        </w:numPr>
        <w:ind w:left="1080"/>
      </w:pPr>
      <w:r w:rsidRPr="00411D9E">
        <w:t>Initiation Phase—The percentage of members 6–12 years of age as of the index prescription start date (IPSD) with an ambulatory prescription dispensed for ADHD medication, who had one follow-up visit with a practitioner with prescribing authority during the 30-day Initiation Phase; and</w:t>
      </w:r>
    </w:p>
    <w:p w14:paraId="48B08A23" w14:textId="77777777" w:rsidR="005C3D48" w:rsidRPr="00411D9E" w:rsidRDefault="005C3D48" w:rsidP="00A0110E">
      <w:pPr>
        <w:pStyle w:val="ListParagraph"/>
        <w:numPr>
          <w:ilvl w:val="0"/>
          <w:numId w:val="16"/>
        </w:numPr>
        <w:ind w:left="1080"/>
      </w:pPr>
      <w:r w:rsidRPr="00411D9E">
        <w:t xml:space="preserve">Continuation and Maintenance (C&amp;M) Phase—The percentage of members 6–12 years of age as of the IPSD with an ambulatory prescription dispensed for ADHD medication who remained on the medication for at least 210 days and who, in addition to the visit in the Initiation Phase, had at least two follow-up visits with a practitioner within 270 days (9 months) after the Initiation Phase ended. </w:t>
      </w:r>
    </w:p>
    <w:p w14:paraId="37B04891" w14:textId="77777777" w:rsidR="005C3D48" w:rsidRPr="00411D9E" w:rsidRDefault="005C3D48" w:rsidP="005C3D48">
      <w:pPr>
        <w:pStyle w:val="Bullet"/>
        <w:numPr>
          <w:ilvl w:val="0"/>
          <w:numId w:val="0"/>
        </w:numPr>
        <w:spacing w:before="0"/>
        <w:rPr>
          <w:rFonts w:asciiTheme="minorHAnsi" w:hAnsiTheme="minorHAnsi"/>
          <w:sz w:val="22"/>
          <w:szCs w:val="22"/>
        </w:rPr>
      </w:pPr>
    </w:p>
    <w:p w14:paraId="00DCB314" w14:textId="77777777" w:rsidR="005C3D48" w:rsidRPr="00411D9E" w:rsidRDefault="005C3D48" w:rsidP="005C3D48">
      <w:pPr>
        <w:pStyle w:val="Bullet"/>
        <w:numPr>
          <w:ilvl w:val="0"/>
          <w:numId w:val="0"/>
        </w:numPr>
        <w:spacing w:before="0"/>
        <w:rPr>
          <w:rFonts w:asciiTheme="minorHAnsi" w:hAnsiTheme="minorHAnsi"/>
          <w:b/>
          <w:sz w:val="22"/>
          <w:szCs w:val="22"/>
        </w:rPr>
      </w:pPr>
      <w:r w:rsidRPr="00411D9E">
        <w:rPr>
          <w:rFonts w:asciiTheme="minorHAnsi" w:hAnsiTheme="minorHAnsi"/>
          <w:b/>
          <w:sz w:val="22"/>
          <w:szCs w:val="22"/>
        </w:rPr>
        <w:t>Follow Up After Hospitalization for Mental Illness</w:t>
      </w:r>
    </w:p>
    <w:p w14:paraId="2DCEB5EC" w14:textId="77777777" w:rsidR="005C3D48" w:rsidRPr="00411D9E" w:rsidRDefault="005C3D48" w:rsidP="005C3D48">
      <w:pPr>
        <w:pStyle w:val="Bullet"/>
        <w:numPr>
          <w:ilvl w:val="0"/>
          <w:numId w:val="0"/>
        </w:numPr>
        <w:spacing w:before="0"/>
        <w:rPr>
          <w:rFonts w:asciiTheme="minorHAnsi" w:hAnsiTheme="minorHAnsi"/>
          <w:sz w:val="22"/>
          <w:szCs w:val="22"/>
        </w:rPr>
      </w:pPr>
      <w:r w:rsidRPr="00411D9E">
        <w:rPr>
          <w:rFonts w:asciiTheme="minorHAnsi" w:hAnsiTheme="minorHAnsi"/>
          <w:sz w:val="22"/>
          <w:szCs w:val="22"/>
        </w:rPr>
        <w:t>This measure assesses the percentage of discharges for members 6 years of age and older who were hospitalized for treatment of selected mental illness diagnoses and who had a follow-up visit with a mental health practitioner. Two rates are reported:</w:t>
      </w:r>
    </w:p>
    <w:p w14:paraId="6E25E64A" w14:textId="77777777" w:rsidR="005C3D48" w:rsidRPr="00411D9E" w:rsidRDefault="005C3D48" w:rsidP="00A0110E">
      <w:pPr>
        <w:pStyle w:val="ListParagraph"/>
        <w:numPr>
          <w:ilvl w:val="0"/>
          <w:numId w:val="16"/>
        </w:numPr>
        <w:ind w:left="1080"/>
      </w:pPr>
      <w:r w:rsidRPr="00411D9E">
        <w:t>The percentage of discharges for which the member received follow-up within 30 days after discharge; and</w:t>
      </w:r>
    </w:p>
    <w:p w14:paraId="3F009C22" w14:textId="77777777" w:rsidR="005C3D48" w:rsidRPr="00411D9E" w:rsidRDefault="005C3D48" w:rsidP="00A0110E">
      <w:pPr>
        <w:pStyle w:val="ListParagraph"/>
        <w:numPr>
          <w:ilvl w:val="0"/>
          <w:numId w:val="16"/>
        </w:numPr>
        <w:ind w:left="1080"/>
      </w:pPr>
      <w:r w:rsidRPr="00411D9E">
        <w:t>The percentage of discharges for which the member received follow-up within 7 days after discharge.</w:t>
      </w:r>
    </w:p>
    <w:p w14:paraId="15728E29" w14:textId="77777777" w:rsidR="005C3D48" w:rsidRPr="00411D9E" w:rsidRDefault="005C3D48" w:rsidP="005C3D48">
      <w:pPr>
        <w:pStyle w:val="Bullet"/>
        <w:numPr>
          <w:ilvl w:val="0"/>
          <w:numId w:val="0"/>
        </w:numPr>
        <w:spacing w:before="0"/>
        <w:rPr>
          <w:rFonts w:asciiTheme="minorHAnsi" w:hAnsiTheme="minorHAnsi"/>
          <w:sz w:val="22"/>
          <w:szCs w:val="22"/>
        </w:rPr>
      </w:pPr>
    </w:p>
    <w:p w14:paraId="66C46B25" w14:textId="77777777" w:rsidR="005C3D48" w:rsidRPr="00411D9E" w:rsidRDefault="005C3D48" w:rsidP="005C3D48">
      <w:pPr>
        <w:pStyle w:val="Bullet"/>
        <w:numPr>
          <w:ilvl w:val="0"/>
          <w:numId w:val="0"/>
        </w:numPr>
        <w:spacing w:before="0"/>
        <w:rPr>
          <w:rFonts w:asciiTheme="minorHAnsi" w:hAnsiTheme="minorHAnsi"/>
          <w:b/>
          <w:sz w:val="22"/>
          <w:szCs w:val="22"/>
        </w:rPr>
      </w:pPr>
      <w:r w:rsidRPr="00411D9E">
        <w:rPr>
          <w:rFonts w:asciiTheme="minorHAnsi" w:hAnsiTheme="minorHAnsi"/>
          <w:b/>
          <w:sz w:val="22"/>
          <w:szCs w:val="22"/>
        </w:rPr>
        <w:t>Use of First-Line Psychosocial Care for Children and Adolescents on Antipsychotics</w:t>
      </w:r>
    </w:p>
    <w:p w14:paraId="184F69BF" w14:textId="77777777" w:rsidR="005C3D48" w:rsidRPr="00411D9E" w:rsidRDefault="005C3D48" w:rsidP="005C3D48">
      <w:pPr>
        <w:pStyle w:val="Bullet"/>
        <w:numPr>
          <w:ilvl w:val="0"/>
          <w:numId w:val="0"/>
        </w:numPr>
        <w:spacing w:before="0"/>
        <w:rPr>
          <w:rFonts w:asciiTheme="minorHAnsi" w:hAnsiTheme="minorHAnsi"/>
          <w:sz w:val="22"/>
          <w:szCs w:val="22"/>
        </w:rPr>
      </w:pPr>
      <w:r w:rsidRPr="00411D9E">
        <w:rPr>
          <w:rFonts w:asciiTheme="minorHAnsi" w:hAnsiTheme="minorHAnsi"/>
          <w:sz w:val="22"/>
          <w:szCs w:val="22"/>
        </w:rPr>
        <w:t>This measure assesses the percentage of children and adolescents 1–17 years of age who had a new prescription for an antipsychotic medication and had documentation of psychosocial care as first-line treatment.</w:t>
      </w:r>
    </w:p>
    <w:p w14:paraId="2CB922BD" w14:textId="77777777" w:rsidR="005C3D48" w:rsidRPr="00411D9E" w:rsidRDefault="005C3D48" w:rsidP="005C3D48"/>
    <w:p w14:paraId="55767663" w14:textId="77777777" w:rsidR="005C3D48" w:rsidRPr="00411D9E" w:rsidRDefault="005C3D48" w:rsidP="005C3D48">
      <w:r w:rsidRPr="00411D9E">
        <w:rPr>
          <w:b/>
        </w:rPr>
        <w:lastRenderedPageBreak/>
        <w:t>Annual Dental Visit</w:t>
      </w:r>
    </w:p>
    <w:p w14:paraId="3CA8A9FA" w14:textId="77777777" w:rsidR="005C3D48" w:rsidRPr="00411D9E" w:rsidRDefault="005C3D48" w:rsidP="005C3D48">
      <w:r w:rsidRPr="00411D9E">
        <w:t>This measure assesses the percentage of children and adolescents between the ages of 2 and 19 years of age who were continuously enrolled in the MCO for the measurement year who had a dental visit during the measurement year.</w:t>
      </w:r>
      <w:r w:rsidRPr="00411D9E">
        <w:rPr>
          <w:rFonts w:ascii="Calibri" w:hAnsi="Calibri" w:cs="Calibri"/>
          <w:color w:val="000000"/>
          <w:lang w:eastAsia="zh-TW" w:bidi="ar-SA"/>
        </w:rPr>
        <w:t xml:space="preserve"> </w:t>
      </w:r>
    </w:p>
    <w:p w14:paraId="2D8DB8E2" w14:textId="77777777" w:rsidR="005C3D48" w:rsidRPr="00411D9E" w:rsidRDefault="005C3D48" w:rsidP="005C3D48"/>
    <w:p w14:paraId="30FA8082" w14:textId="77777777" w:rsidR="005C3D48" w:rsidRPr="00411D9E" w:rsidRDefault="005C3D48" w:rsidP="005C3D48">
      <w:r w:rsidRPr="00411D9E">
        <w:rPr>
          <w:b/>
        </w:rPr>
        <w:t>Chlamydia Screening in Women</w:t>
      </w:r>
    </w:p>
    <w:p w14:paraId="1520BCDE" w14:textId="7D83EA64" w:rsidR="005C3D48" w:rsidRPr="00411D9E" w:rsidRDefault="005C3D48" w:rsidP="005C3D48">
      <w:r w:rsidRPr="00411D9E">
        <w:t>This measure assesses the percentage of women 16–</w:t>
      </w:r>
      <w:r w:rsidR="009D4B09">
        <w:t>20</w:t>
      </w:r>
      <w:r w:rsidR="009D4B09" w:rsidRPr="00411D9E">
        <w:t xml:space="preserve"> </w:t>
      </w:r>
      <w:r w:rsidRPr="00411D9E">
        <w:t>years of age who were identified as sexually active and who had at least one test for chlamydia during the measurement year.</w:t>
      </w:r>
    </w:p>
    <w:p w14:paraId="23FA489F" w14:textId="77777777" w:rsidR="005C3D48" w:rsidRPr="00411D9E" w:rsidRDefault="005C3D48" w:rsidP="005C3D48"/>
    <w:p w14:paraId="53C0C989" w14:textId="77777777" w:rsidR="005C3D48" w:rsidRPr="00411D9E" w:rsidRDefault="005C3D48" w:rsidP="005C3D48">
      <w:pPr>
        <w:rPr>
          <w:b/>
        </w:rPr>
      </w:pPr>
      <w:r w:rsidRPr="00411D9E">
        <w:rPr>
          <w:b/>
        </w:rPr>
        <w:t>Appropriate Testing for Pharyngitis</w:t>
      </w:r>
    </w:p>
    <w:p w14:paraId="26007B71" w14:textId="77777777" w:rsidR="005C3D48" w:rsidRPr="00411D9E" w:rsidRDefault="005C3D48" w:rsidP="005C3D48">
      <w:r w:rsidRPr="00411D9E">
        <w:t>This measure assesses the percentage of children 3–18 years of age who were diagnosed with pharyngitis, dispensed an antibiotic, and received a group A streptococcus (strep) test for the episode. A higher rate represents better performance (i.e., appropriate testing).</w:t>
      </w:r>
    </w:p>
    <w:p w14:paraId="7B8C5C63" w14:textId="77777777" w:rsidR="005C3D48" w:rsidRPr="00411D9E" w:rsidRDefault="005C3D48" w:rsidP="005C3D48"/>
    <w:p w14:paraId="52C146F6" w14:textId="77777777" w:rsidR="005C3D48" w:rsidRPr="00411D9E" w:rsidRDefault="005C3D48" w:rsidP="005C3D48">
      <w:pPr>
        <w:rPr>
          <w:b/>
        </w:rPr>
      </w:pPr>
      <w:r w:rsidRPr="00411D9E">
        <w:rPr>
          <w:b/>
        </w:rPr>
        <w:t>Appropriate Treatment for Upper Respiratory Infection</w:t>
      </w:r>
    </w:p>
    <w:p w14:paraId="5BCC3517" w14:textId="77777777" w:rsidR="005C3D48" w:rsidRPr="00411D9E" w:rsidRDefault="005C3D48" w:rsidP="005C3D48">
      <w:r w:rsidRPr="00411D9E">
        <w:t>This measure assesses the percentage of children 3 months–18 years of age who were given a diagnosis of upper respiratory infection (URI) and were not dispensed an antibiotic prescription.</w:t>
      </w:r>
    </w:p>
    <w:p w14:paraId="441D9882" w14:textId="77777777" w:rsidR="005C3D48" w:rsidRPr="00411D9E" w:rsidRDefault="005C3D48" w:rsidP="005C3D48">
      <w:pPr>
        <w:rPr>
          <w:rFonts w:ascii="Calibri" w:hAnsi="Calibri" w:cs="Calibri"/>
          <w:color w:val="000000"/>
          <w:lang w:eastAsia="zh-TW" w:bidi="ar-SA"/>
        </w:rPr>
      </w:pPr>
    </w:p>
    <w:p w14:paraId="3E70954F" w14:textId="77777777" w:rsidR="005C3D48" w:rsidRPr="00411D9E" w:rsidRDefault="005C3D48" w:rsidP="005C3D48">
      <w:pPr>
        <w:rPr>
          <w:rFonts w:ascii="Calibri" w:hAnsi="Calibri" w:cs="Calibri"/>
          <w:b/>
          <w:bCs/>
          <w:color w:val="000000"/>
          <w:lang w:eastAsia="zh-TW" w:bidi="ar-SA"/>
        </w:rPr>
      </w:pPr>
      <w:r w:rsidRPr="00411D9E">
        <w:rPr>
          <w:rFonts w:ascii="Calibri" w:hAnsi="Calibri" w:cs="Calibri"/>
          <w:b/>
          <w:bCs/>
          <w:color w:val="000000"/>
          <w:lang w:eastAsia="zh-TW" w:bidi="ar-SA"/>
        </w:rPr>
        <w:t>Asthma Medication Ratio</w:t>
      </w:r>
    </w:p>
    <w:p w14:paraId="001CC8A0" w14:textId="77777777" w:rsidR="005C3D48" w:rsidRPr="00411D9E" w:rsidRDefault="005C3D48" w:rsidP="005C3D48">
      <w:pPr>
        <w:rPr>
          <w:rFonts w:ascii="Calibri" w:hAnsi="Calibri" w:cs="Calibri"/>
          <w:color w:val="000000"/>
          <w:lang w:eastAsia="zh-TW" w:bidi="ar-SA"/>
        </w:rPr>
      </w:pPr>
      <w:r w:rsidRPr="00411D9E">
        <w:rPr>
          <w:rFonts w:ascii="Calibri" w:hAnsi="Calibri" w:cs="Calibri"/>
          <w:color w:val="000000"/>
          <w:lang w:eastAsia="zh-TW" w:bidi="ar-SA"/>
        </w:rPr>
        <w:t>This measure assesses the percentage of members 5–19 years of age who were identified as having persistent asthma and had a ratio of controller medications to total asthma medications of 0.50 or greater during the measurement year.</w:t>
      </w:r>
    </w:p>
    <w:p w14:paraId="6B495C31" w14:textId="77777777" w:rsidR="005C3D48" w:rsidRPr="00411D9E" w:rsidRDefault="005C3D48" w:rsidP="005C3D48"/>
    <w:p w14:paraId="7862BB3C" w14:textId="77777777" w:rsidR="005C3D48" w:rsidRPr="00411D9E" w:rsidRDefault="005C3D48" w:rsidP="005C3D48">
      <w:pPr>
        <w:rPr>
          <w:b/>
        </w:rPr>
      </w:pPr>
      <w:r w:rsidRPr="00411D9E">
        <w:rPr>
          <w:b/>
        </w:rPr>
        <w:t xml:space="preserve">Metabolic Monitoring for Children and Adolescents on Antipsychotics </w:t>
      </w:r>
    </w:p>
    <w:p w14:paraId="7EB5E98D" w14:textId="77777777" w:rsidR="005C3D48" w:rsidRPr="00411D9E" w:rsidRDefault="005C3D48" w:rsidP="005C3D48">
      <w:r w:rsidRPr="00411D9E">
        <w:t>This measure assesses the percentage of children and adolescents 1–17 years of age who had two or more antipsychotic prescriptions and had metabolic testing.</w:t>
      </w:r>
    </w:p>
    <w:p w14:paraId="23CDB0B3" w14:textId="77777777" w:rsidR="005C3D48" w:rsidRPr="00411D9E" w:rsidRDefault="005C3D48" w:rsidP="005C3D48">
      <w:pPr>
        <w:rPr>
          <w:b/>
        </w:rPr>
      </w:pPr>
    </w:p>
    <w:p w14:paraId="25007ADA" w14:textId="77777777" w:rsidR="005C3D48" w:rsidRPr="00411D9E" w:rsidRDefault="005C3D48" w:rsidP="005C3D48">
      <w:pPr>
        <w:rPr>
          <w:b/>
        </w:rPr>
      </w:pPr>
      <w:r w:rsidRPr="00411D9E">
        <w:rPr>
          <w:b/>
        </w:rPr>
        <w:t>Follow-up After High-Intensity Care for Substance Use Disorder</w:t>
      </w:r>
    </w:p>
    <w:p w14:paraId="1E75BD09" w14:textId="77777777" w:rsidR="005C3D48" w:rsidRPr="00411D9E" w:rsidRDefault="005C3D48" w:rsidP="005C3D48">
      <w:r w:rsidRPr="00411D9E">
        <w:t>This measure assesses the percentage of acute inpatient hospitalizations, residential treatment, or detoxification visits for a diagnosis of substance use disorder among members 13 years of age and older that result in a follow-up visit or service for substance use disorder.</w:t>
      </w:r>
    </w:p>
    <w:p w14:paraId="25E1D2D2" w14:textId="77777777" w:rsidR="005C3D48" w:rsidRPr="00411D9E" w:rsidRDefault="005C3D48" w:rsidP="005C3D48"/>
    <w:p w14:paraId="63617FE1" w14:textId="77777777" w:rsidR="005C3D48" w:rsidRPr="00411D9E" w:rsidRDefault="005C3D48" w:rsidP="005C3D48">
      <w:r w:rsidRPr="00411D9E">
        <w:rPr>
          <w:b/>
        </w:rPr>
        <w:t>Pharmacotherapy for Opioid Use Disorder</w:t>
      </w:r>
    </w:p>
    <w:p w14:paraId="2E73C06B" w14:textId="77777777" w:rsidR="005C3D48" w:rsidRPr="00411D9E" w:rsidRDefault="005C3D48" w:rsidP="005C3D48">
      <w:r w:rsidRPr="00411D9E">
        <w:t>This measure assessed the percentage of new opioid use disorder (OUD) pharmacotherapy events with OUD pharmacotherapy for 180 or more days among members age 16 years and older with a diagnosis of OUD.</w:t>
      </w:r>
    </w:p>
    <w:p w14:paraId="29A98F01" w14:textId="77777777" w:rsidR="005C3D48" w:rsidRPr="00411D9E" w:rsidRDefault="005C3D48" w:rsidP="005C3D48"/>
    <w:p w14:paraId="68DFF3CD" w14:textId="77777777" w:rsidR="005C3D48" w:rsidRPr="00411D9E" w:rsidRDefault="005C3D48" w:rsidP="005C3D48">
      <w:pPr>
        <w:rPr>
          <w:b/>
        </w:rPr>
      </w:pPr>
      <w:r w:rsidRPr="00411D9E">
        <w:rPr>
          <w:b/>
        </w:rPr>
        <w:t>Ambulatory Care</w:t>
      </w:r>
    </w:p>
    <w:p w14:paraId="7298E286" w14:textId="77777777" w:rsidR="005C3D48" w:rsidRPr="00411D9E" w:rsidRDefault="005C3D48" w:rsidP="005C3D48">
      <w:r w:rsidRPr="00411D9E">
        <w:t>This measure summarizes utilization of ambulatory care in both the Outpatient Visits and Emergency Department Visits categories. Outpatient Visits includes telehealth visits.</w:t>
      </w:r>
    </w:p>
    <w:p w14:paraId="6E3733D3" w14:textId="77777777" w:rsidR="005C3D48" w:rsidRPr="00411D9E" w:rsidRDefault="005C3D48" w:rsidP="005C3D48"/>
    <w:p w14:paraId="56CC1D50" w14:textId="77777777" w:rsidR="005C3D48" w:rsidRPr="00411D9E" w:rsidRDefault="005C3D48" w:rsidP="005C3D48">
      <w:pPr>
        <w:rPr>
          <w:b/>
        </w:rPr>
      </w:pPr>
      <w:r w:rsidRPr="00411D9E">
        <w:rPr>
          <w:b/>
        </w:rPr>
        <w:t>Inpatient Utilization</w:t>
      </w:r>
    </w:p>
    <w:p w14:paraId="6F8D630C" w14:textId="77777777" w:rsidR="005C3D48" w:rsidRPr="00411D9E" w:rsidRDefault="005C3D48" w:rsidP="005C3D48">
      <w:r w:rsidRPr="00411D9E">
        <w:t>This measure summarizes utilization of acute inpatient care and services in the following categories:</w:t>
      </w:r>
    </w:p>
    <w:p w14:paraId="1E1DAD29" w14:textId="77777777" w:rsidR="005C3D48" w:rsidRPr="00411D9E" w:rsidRDefault="005C3D48" w:rsidP="00A0110E">
      <w:pPr>
        <w:pStyle w:val="ListParagraph"/>
        <w:numPr>
          <w:ilvl w:val="0"/>
          <w:numId w:val="20"/>
        </w:numPr>
        <w:ind w:left="1080"/>
      </w:pPr>
      <w:r w:rsidRPr="00411D9E">
        <w:t>Maternity;</w:t>
      </w:r>
    </w:p>
    <w:p w14:paraId="7388C3A6" w14:textId="77777777" w:rsidR="005C3D48" w:rsidRPr="00411D9E" w:rsidRDefault="005C3D48" w:rsidP="00A0110E">
      <w:pPr>
        <w:pStyle w:val="ListParagraph"/>
        <w:numPr>
          <w:ilvl w:val="0"/>
          <w:numId w:val="20"/>
        </w:numPr>
        <w:ind w:left="1080"/>
      </w:pPr>
      <w:r w:rsidRPr="00411D9E">
        <w:t>Surgery;</w:t>
      </w:r>
    </w:p>
    <w:p w14:paraId="60C6BBA0" w14:textId="77777777" w:rsidR="005C3D48" w:rsidRPr="00411D9E" w:rsidRDefault="005C3D48" w:rsidP="00A0110E">
      <w:pPr>
        <w:pStyle w:val="ListParagraph"/>
        <w:numPr>
          <w:ilvl w:val="0"/>
          <w:numId w:val="20"/>
        </w:numPr>
        <w:ind w:left="1080"/>
      </w:pPr>
      <w:r w:rsidRPr="00411D9E">
        <w:t xml:space="preserve">Medicine; and </w:t>
      </w:r>
    </w:p>
    <w:p w14:paraId="4318E0EF" w14:textId="77777777" w:rsidR="005C3D48" w:rsidRPr="00411D9E" w:rsidRDefault="005C3D48" w:rsidP="00A0110E">
      <w:pPr>
        <w:pStyle w:val="ListParagraph"/>
        <w:numPr>
          <w:ilvl w:val="0"/>
          <w:numId w:val="20"/>
        </w:numPr>
        <w:ind w:left="1080"/>
      </w:pPr>
      <w:r w:rsidRPr="00411D9E">
        <w:t>Total inpatient (the sum of Maternity, Surgery, and Medicine).</w:t>
      </w:r>
    </w:p>
    <w:p w14:paraId="2C7A1BAC" w14:textId="77777777" w:rsidR="005C3D48" w:rsidRPr="00411D9E" w:rsidRDefault="005C3D48" w:rsidP="005C3D48">
      <w:pPr>
        <w:rPr>
          <w:b/>
        </w:rPr>
      </w:pPr>
    </w:p>
    <w:p w14:paraId="6724B086" w14:textId="77777777" w:rsidR="00D32450" w:rsidRDefault="00D32450">
      <w:pPr>
        <w:rPr>
          <w:b/>
        </w:rPr>
      </w:pPr>
      <w:r>
        <w:rPr>
          <w:b/>
        </w:rPr>
        <w:br w:type="page"/>
      </w:r>
    </w:p>
    <w:p w14:paraId="63847012" w14:textId="3D43A52E" w:rsidR="005C3D48" w:rsidRPr="00411D9E" w:rsidRDefault="005C3D48" w:rsidP="005C3D48">
      <w:r w:rsidRPr="00411D9E">
        <w:rPr>
          <w:b/>
        </w:rPr>
        <w:lastRenderedPageBreak/>
        <w:t>Mental Health Utilization</w:t>
      </w:r>
    </w:p>
    <w:p w14:paraId="6ACC5387" w14:textId="77777777" w:rsidR="005C3D48" w:rsidRPr="00411D9E" w:rsidRDefault="005C3D48" w:rsidP="005C3D48">
      <w:r w:rsidRPr="00411D9E">
        <w:t>This measure summarizes the number and percentage of members receiving the following mental health services during the measurement year:</w:t>
      </w:r>
    </w:p>
    <w:p w14:paraId="3BAD5EF3" w14:textId="77777777" w:rsidR="005C3D48" w:rsidRPr="00411D9E" w:rsidRDefault="005C3D48" w:rsidP="00A0110E">
      <w:pPr>
        <w:pStyle w:val="ListParagraph"/>
        <w:numPr>
          <w:ilvl w:val="0"/>
          <w:numId w:val="19"/>
        </w:numPr>
        <w:ind w:left="1080"/>
      </w:pPr>
      <w:r w:rsidRPr="00411D9E">
        <w:t>Inpatient;</w:t>
      </w:r>
    </w:p>
    <w:p w14:paraId="05206254" w14:textId="77777777" w:rsidR="005C3D48" w:rsidRPr="00411D9E" w:rsidRDefault="005C3D48" w:rsidP="00A0110E">
      <w:pPr>
        <w:pStyle w:val="ListParagraph"/>
        <w:numPr>
          <w:ilvl w:val="0"/>
          <w:numId w:val="19"/>
        </w:numPr>
        <w:ind w:left="1080"/>
      </w:pPr>
      <w:r w:rsidRPr="00411D9E">
        <w:t>Intensive outpatient or partial hospitalization;</w:t>
      </w:r>
    </w:p>
    <w:p w14:paraId="4668E005" w14:textId="77777777" w:rsidR="005C3D48" w:rsidRPr="00411D9E" w:rsidRDefault="005C3D48" w:rsidP="00A0110E">
      <w:pPr>
        <w:pStyle w:val="ListParagraph"/>
        <w:numPr>
          <w:ilvl w:val="0"/>
          <w:numId w:val="19"/>
        </w:numPr>
        <w:ind w:left="1080"/>
      </w:pPr>
      <w:r w:rsidRPr="00411D9E">
        <w:t>Outpatient;</w:t>
      </w:r>
    </w:p>
    <w:p w14:paraId="4066FFCD" w14:textId="77777777" w:rsidR="005C3D48" w:rsidRPr="00411D9E" w:rsidRDefault="005C3D48" w:rsidP="00A0110E">
      <w:pPr>
        <w:pStyle w:val="ListParagraph"/>
        <w:numPr>
          <w:ilvl w:val="0"/>
          <w:numId w:val="19"/>
        </w:numPr>
        <w:ind w:left="1080"/>
      </w:pPr>
      <w:r w:rsidRPr="00411D9E">
        <w:t>Emergency Department;</w:t>
      </w:r>
    </w:p>
    <w:p w14:paraId="4A702919" w14:textId="77777777" w:rsidR="005C3D48" w:rsidRPr="00411D9E" w:rsidRDefault="005C3D48" w:rsidP="00A0110E">
      <w:pPr>
        <w:pStyle w:val="ListParagraph"/>
        <w:numPr>
          <w:ilvl w:val="0"/>
          <w:numId w:val="19"/>
        </w:numPr>
        <w:ind w:left="1080"/>
      </w:pPr>
      <w:r w:rsidRPr="00411D9E">
        <w:t>Telehealth; and</w:t>
      </w:r>
    </w:p>
    <w:p w14:paraId="4BE584D0" w14:textId="77777777" w:rsidR="005C3D48" w:rsidRPr="00411D9E" w:rsidRDefault="005C3D48" w:rsidP="00A0110E">
      <w:pPr>
        <w:pStyle w:val="ListParagraph"/>
        <w:numPr>
          <w:ilvl w:val="0"/>
          <w:numId w:val="19"/>
        </w:numPr>
        <w:ind w:left="1080"/>
      </w:pPr>
      <w:r w:rsidRPr="00411D9E">
        <w:t>Any service.</w:t>
      </w:r>
    </w:p>
    <w:p w14:paraId="3F250C82" w14:textId="77777777" w:rsidR="005C3D48" w:rsidRPr="00411D9E" w:rsidRDefault="005C3D48" w:rsidP="005C3D48"/>
    <w:p w14:paraId="0B5DB51E" w14:textId="77777777" w:rsidR="005C3D48" w:rsidRPr="00411D9E" w:rsidRDefault="005C3D48" w:rsidP="005C3D48">
      <w:pPr>
        <w:rPr>
          <w:b/>
        </w:rPr>
      </w:pPr>
      <w:r w:rsidRPr="00411D9E">
        <w:rPr>
          <w:b/>
        </w:rPr>
        <w:t>Identification of Alcohol and Other Drug Services</w:t>
      </w:r>
    </w:p>
    <w:p w14:paraId="24F9E3DE" w14:textId="77777777" w:rsidR="005C3D48" w:rsidRPr="00411D9E" w:rsidRDefault="005C3D48" w:rsidP="005C3D48">
      <w:r w:rsidRPr="00411D9E">
        <w:t>This measure summarizes the number and percentage of members with an alcohol and other drug (AOD) claim who received the following chemical dependency services during the measurement year:</w:t>
      </w:r>
    </w:p>
    <w:p w14:paraId="21A77652" w14:textId="77777777" w:rsidR="005C3D48" w:rsidRPr="00411D9E" w:rsidRDefault="005C3D48" w:rsidP="00A0110E">
      <w:pPr>
        <w:pStyle w:val="ListParagraph"/>
        <w:numPr>
          <w:ilvl w:val="0"/>
          <w:numId w:val="21"/>
        </w:numPr>
        <w:ind w:left="1080"/>
      </w:pPr>
      <w:r w:rsidRPr="00411D9E">
        <w:t>Inpatient;</w:t>
      </w:r>
    </w:p>
    <w:p w14:paraId="3072E3E2" w14:textId="77777777" w:rsidR="005C3D48" w:rsidRPr="00411D9E" w:rsidRDefault="005C3D48" w:rsidP="00A0110E">
      <w:pPr>
        <w:pStyle w:val="ListParagraph"/>
        <w:numPr>
          <w:ilvl w:val="0"/>
          <w:numId w:val="21"/>
        </w:numPr>
        <w:ind w:left="1080"/>
      </w:pPr>
      <w:r w:rsidRPr="00411D9E">
        <w:t>Intensive outpatient or partial hospitalization;</w:t>
      </w:r>
    </w:p>
    <w:p w14:paraId="429D2281" w14:textId="77777777" w:rsidR="005C3D48" w:rsidRPr="00411D9E" w:rsidRDefault="005C3D48" w:rsidP="00A0110E">
      <w:pPr>
        <w:pStyle w:val="ListParagraph"/>
        <w:numPr>
          <w:ilvl w:val="0"/>
          <w:numId w:val="21"/>
        </w:numPr>
        <w:ind w:left="1080"/>
      </w:pPr>
      <w:r w:rsidRPr="00411D9E">
        <w:t>Outpatient or medication treatment;</w:t>
      </w:r>
    </w:p>
    <w:p w14:paraId="21417AB1" w14:textId="77777777" w:rsidR="005C3D48" w:rsidRPr="00411D9E" w:rsidRDefault="005C3D48" w:rsidP="00A0110E">
      <w:pPr>
        <w:pStyle w:val="ListParagraph"/>
        <w:numPr>
          <w:ilvl w:val="0"/>
          <w:numId w:val="21"/>
        </w:numPr>
        <w:ind w:left="1080"/>
      </w:pPr>
      <w:r w:rsidRPr="00411D9E">
        <w:t>Emergency Department;</w:t>
      </w:r>
    </w:p>
    <w:p w14:paraId="680CAB3F" w14:textId="77777777" w:rsidR="005C3D48" w:rsidRPr="00411D9E" w:rsidRDefault="005C3D48" w:rsidP="00A0110E">
      <w:pPr>
        <w:pStyle w:val="ListParagraph"/>
        <w:numPr>
          <w:ilvl w:val="0"/>
          <w:numId w:val="21"/>
        </w:numPr>
        <w:ind w:left="1080"/>
      </w:pPr>
      <w:r w:rsidRPr="00411D9E">
        <w:t>Telehealth; and</w:t>
      </w:r>
    </w:p>
    <w:p w14:paraId="49126CA6" w14:textId="77777777" w:rsidR="005C3D48" w:rsidRPr="00411D9E" w:rsidRDefault="005C3D48" w:rsidP="00A0110E">
      <w:pPr>
        <w:pStyle w:val="ListParagraph"/>
        <w:numPr>
          <w:ilvl w:val="0"/>
          <w:numId w:val="21"/>
        </w:numPr>
        <w:ind w:left="1080"/>
      </w:pPr>
      <w:r w:rsidRPr="00411D9E">
        <w:t>Any service.</w:t>
      </w:r>
    </w:p>
    <w:p w14:paraId="62DEF132" w14:textId="77777777" w:rsidR="005C3D48" w:rsidRPr="00411D9E" w:rsidRDefault="005C3D48" w:rsidP="005C3D48"/>
    <w:p w14:paraId="1DD803A7" w14:textId="77777777" w:rsidR="005C3D48" w:rsidRPr="00411D9E" w:rsidRDefault="005C3D48" w:rsidP="005C3D48">
      <w:pPr>
        <w:rPr>
          <w:b/>
        </w:rPr>
      </w:pPr>
      <w:r w:rsidRPr="00411D9E">
        <w:rPr>
          <w:b/>
        </w:rPr>
        <w:t>CAHPS Survey</w:t>
      </w:r>
    </w:p>
    <w:p w14:paraId="0310D425" w14:textId="77777777" w:rsidR="005C3D48" w:rsidRPr="00411D9E" w:rsidRDefault="005C3D48" w:rsidP="005C3D48">
      <w:r w:rsidRPr="00411D9E">
        <w:t xml:space="preserve">The Consumer Assessment of Healthcare Providers and Systems (CAHPS) program is overseen by the Agency of Healthcare Research and Quality (AHRQ) and includes many survey products designed to capture consumer and patient perspectives on health care quality. NCQA uses the adult and child versions of the CAHPS Health Plan Surveys for HEDIS. </w:t>
      </w:r>
    </w:p>
    <w:p w14:paraId="37A744F1" w14:textId="77777777" w:rsidR="005C3D48" w:rsidRPr="00411D9E" w:rsidRDefault="005C3D48" w:rsidP="005C3D48">
      <w:pPr>
        <w:pStyle w:val="Heading2"/>
      </w:pPr>
      <w:bookmarkStart w:id="107" w:name="_Toc70508376"/>
      <w:bookmarkStart w:id="108" w:name="_Toc99026949"/>
      <w:r w:rsidRPr="00411D9E">
        <w:t>Implementation of PA-Specific Performance Measures and HEDIS Audit</w:t>
      </w:r>
      <w:bookmarkEnd w:id="93"/>
      <w:bookmarkEnd w:id="94"/>
      <w:bookmarkEnd w:id="107"/>
      <w:bookmarkEnd w:id="108"/>
      <w:r w:rsidRPr="00411D9E">
        <w:t xml:space="preserve"> </w:t>
      </w:r>
    </w:p>
    <w:p w14:paraId="270C9F8E" w14:textId="77777777" w:rsidR="005C3D48" w:rsidRPr="00411D9E" w:rsidRDefault="005C3D48" w:rsidP="005C3D48">
      <w:pPr>
        <w:spacing w:before="200"/>
      </w:pPr>
      <w:r w:rsidRPr="00411D9E">
        <w:t xml:space="preserve">The MCO successfully implemented all of the PA-specific measures for 2021 that were reported with MCO-submitted data. The MCO submitted all required source code and data for review. IPRO reviewed the source code and validated raw data submitted by the MCO. All rates submitted by the MCO were reportable. Rate calculations were collected via rate sheets and reviewed for all of the PA-specific measures. </w:t>
      </w:r>
    </w:p>
    <w:p w14:paraId="2A51D870" w14:textId="77777777" w:rsidR="005C3D48" w:rsidRPr="00411D9E" w:rsidRDefault="005C3D48" w:rsidP="005C3D48"/>
    <w:p w14:paraId="20E90FF7" w14:textId="77777777" w:rsidR="005C3D48" w:rsidRPr="00411D9E" w:rsidRDefault="005C3D48" w:rsidP="005C3D48">
      <w:pPr>
        <w:rPr>
          <w:b/>
          <w:highlight w:val="yellow"/>
        </w:rPr>
      </w:pPr>
      <w:r w:rsidRPr="00411D9E">
        <w:t>The Contraceptive Care for All Women and Contraceptive Care for Postpartum Women (CCW; CCP) were first-year measures in 2018 for all CHIP MCOs. In 2021, clarification was added to both specifications to include all paid and suspended claims when reporting these measures. As in prior reporting years, CHIP MCOs saw very small denominators for the Contraceptive Care for Postpartum Women (CCP) measure; thus, rates are not reported for this measure across the plans. In 2019, clarification was added to note that to remain aligned with CMS specifications, the look-back period to search for exclusions is limited to the measurement year. In 2020, this clarification was continued for both Contraceptive Care measures. In 2021, a clarification was included in the CCP specifications that when calculating the number of days postpartum, date of delivery should be used as Day 0.</w:t>
      </w:r>
    </w:p>
    <w:p w14:paraId="281630F4" w14:textId="77777777" w:rsidR="005C3D48" w:rsidRPr="00411D9E" w:rsidRDefault="005C3D48" w:rsidP="005C3D48">
      <w:pPr>
        <w:rPr>
          <w:b/>
          <w:highlight w:val="yellow"/>
        </w:rPr>
      </w:pPr>
    </w:p>
    <w:p w14:paraId="7660B949" w14:textId="48C3EFB2" w:rsidR="005C3D48" w:rsidRPr="00411D9E" w:rsidRDefault="005C3D48" w:rsidP="005C3D48">
      <w:pPr>
        <w:autoSpaceDE w:val="0"/>
        <w:autoSpaceDN w:val="0"/>
        <w:adjustRightInd w:val="0"/>
        <w:jc w:val="left"/>
        <w:rPr>
          <w:rFonts w:eastAsiaTheme="minorHAnsi" w:cstheme="minorHAnsi"/>
          <w:lang w:bidi="ar-SA"/>
        </w:rPr>
      </w:pPr>
      <w:r w:rsidRPr="00411D9E">
        <w:rPr>
          <w:rFonts w:eastAsiaTheme="minorHAnsi" w:cstheme="minorHAnsi"/>
          <w:lang w:bidi="ar-SA"/>
        </w:rPr>
        <w:t xml:space="preserve">The Sealant Receipt on Permanent First Year Molars was new for 2021, and replaced the Dental Sealants for </w:t>
      </w:r>
      <w:proofErr w:type="gramStart"/>
      <w:r w:rsidRPr="00411D9E">
        <w:rPr>
          <w:rFonts w:eastAsiaTheme="minorHAnsi" w:cstheme="minorHAnsi"/>
          <w:lang w:bidi="ar-SA"/>
        </w:rPr>
        <w:t>6-9 Year Old</w:t>
      </w:r>
      <w:proofErr w:type="gramEnd"/>
      <w:r w:rsidRPr="00411D9E">
        <w:rPr>
          <w:rFonts w:eastAsiaTheme="minorHAnsi" w:cstheme="minorHAnsi"/>
          <w:lang w:bidi="ar-SA"/>
        </w:rPr>
        <w:t xml:space="preserve"> Children </w:t>
      </w:r>
      <w:r w:rsidR="009D4B09">
        <w:rPr>
          <w:rFonts w:eastAsiaTheme="minorHAnsi" w:cstheme="minorHAnsi"/>
          <w:lang w:bidi="ar-SA"/>
        </w:rPr>
        <w:t>a</w:t>
      </w:r>
      <w:r w:rsidR="009D4B09" w:rsidRPr="00411D9E">
        <w:rPr>
          <w:rFonts w:eastAsiaTheme="minorHAnsi" w:cstheme="minorHAnsi"/>
          <w:lang w:bidi="ar-SA"/>
        </w:rPr>
        <w:t>t</w:t>
      </w:r>
      <w:r w:rsidRPr="00411D9E">
        <w:rPr>
          <w:rFonts w:eastAsiaTheme="minorHAnsi" w:cstheme="minorHAnsi"/>
          <w:lang w:bidi="ar-SA"/>
        </w:rPr>
        <w:t xml:space="preserve"> Elevated Caries Risk measures, which was retired in 2020. The primary differences between the two measures were:</w:t>
      </w:r>
      <w:r w:rsidRPr="00411D9E">
        <w:t xml:space="preserve"> 1) the denominator no longer requires a multiple year lookback to assess risk for any child regardless of Medicaid or CHIP (which required pooling data sources), and 2) the denominator now includes children enrolled with the MCO for 12 months preceding their 10</w:t>
      </w:r>
      <w:r w:rsidRPr="00411D9E">
        <w:rPr>
          <w:vertAlign w:val="superscript"/>
        </w:rPr>
        <w:t>th</w:t>
      </w:r>
      <w:r w:rsidRPr="00411D9E">
        <w:t xml:space="preserve"> birthday, with allowable exclusions and numerator hits to be checked for the previous 48 months.</w:t>
      </w:r>
      <w:r w:rsidRPr="00411D9E">
        <w:rPr>
          <w:rFonts w:eastAsiaTheme="minorHAnsi" w:cstheme="minorHAnsi"/>
          <w:lang w:bidi="ar-SA"/>
        </w:rPr>
        <w:t xml:space="preserve"> </w:t>
      </w:r>
    </w:p>
    <w:p w14:paraId="77B10BA5" w14:textId="77777777" w:rsidR="005C3D48" w:rsidRPr="00411D9E" w:rsidRDefault="005C3D48" w:rsidP="005C3D48"/>
    <w:p w14:paraId="5E18A8F5" w14:textId="77777777" w:rsidR="005C3D48" w:rsidRPr="00411D9E" w:rsidRDefault="005C3D48" w:rsidP="005C3D48">
      <w:r w:rsidRPr="00411D9E">
        <w:t xml:space="preserve">The Developmental Screening in the First Three Years of Life measure was modified in 2018 in order to clarify the age cohorts that are used when reporting for this measure. This clarification noted that children can be screened in the 12 months preceding or on their first, second, or third birthday. Specific timeframes were provided for each age cohort. In </w:t>
      </w:r>
      <w:r w:rsidRPr="00411D9E">
        <w:lastRenderedPageBreak/>
        <w:t>2019, additional clarification was added regarding the time period to be used for each age cohort. Specifically, the member’s birthday should fall in one of the following cohorts for each numerator:</w:t>
      </w:r>
    </w:p>
    <w:p w14:paraId="7316AE1F" w14:textId="77777777" w:rsidR="005C3D48" w:rsidRPr="00411D9E" w:rsidRDefault="005C3D48" w:rsidP="00A0110E">
      <w:pPr>
        <w:pStyle w:val="ListParagraph"/>
        <w:numPr>
          <w:ilvl w:val="0"/>
          <w:numId w:val="17"/>
        </w:numPr>
        <w:ind w:left="1080"/>
      </w:pPr>
      <w:r w:rsidRPr="00411D9E">
        <w:t xml:space="preserve">Age Cohort 1: Children who had a claim with a relevant CPT code before or on their first birthday; </w:t>
      </w:r>
    </w:p>
    <w:p w14:paraId="4822C369" w14:textId="77777777" w:rsidR="005C3D48" w:rsidRPr="00411D9E" w:rsidRDefault="005C3D48" w:rsidP="00A0110E">
      <w:pPr>
        <w:pStyle w:val="ListParagraph"/>
        <w:numPr>
          <w:ilvl w:val="0"/>
          <w:numId w:val="17"/>
        </w:numPr>
        <w:ind w:left="1080"/>
      </w:pPr>
      <w:r w:rsidRPr="00411D9E">
        <w:t xml:space="preserve">Age Cohort 2: Children who had a claim with a relevant CPT code after their first birthday and before or on their second birthday; and </w:t>
      </w:r>
    </w:p>
    <w:p w14:paraId="78AF7F90" w14:textId="77777777" w:rsidR="005C3D48" w:rsidRPr="00411D9E" w:rsidRDefault="005C3D48" w:rsidP="00A0110E">
      <w:pPr>
        <w:pStyle w:val="ListParagraph"/>
        <w:numPr>
          <w:ilvl w:val="0"/>
          <w:numId w:val="17"/>
        </w:numPr>
        <w:ind w:left="1080"/>
      </w:pPr>
      <w:r w:rsidRPr="00411D9E">
        <w:t>Age Cohort 3: Children who had a claim with a relevant CPT code after their second birthday and before or on their third birthday.</w:t>
      </w:r>
    </w:p>
    <w:p w14:paraId="7FBDB124" w14:textId="77777777" w:rsidR="005C3D48" w:rsidRPr="00411D9E" w:rsidRDefault="005C3D48" w:rsidP="005C3D48"/>
    <w:p w14:paraId="2B41BFC5" w14:textId="77777777" w:rsidR="005C3D48" w:rsidRPr="00411D9E" w:rsidRDefault="005C3D48" w:rsidP="005C3D48">
      <w:r w:rsidRPr="00411D9E">
        <w:t>In 2020, these changes were continued, and additional change occurred in the reporting of a single numerator for each age cohort using CPT code 96110. The CPT code 96111, used in reporting for the previously reported numerators B and C, was retired in MY 2019. As of 2020, only claims with a 96110 CPT code are counted for this measure.</w:t>
      </w:r>
      <w:bookmarkStart w:id="109" w:name="_Toc512521028"/>
    </w:p>
    <w:p w14:paraId="1466AEA1" w14:textId="77777777" w:rsidR="005C3D48" w:rsidRPr="00411D9E" w:rsidRDefault="005C3D48" w:rsidP="005C3D48">
      <w:bookmarkStart w:id="110" w:name="_Toc66956523"/>
    </w:p>
    <w:p w14:paraId="42460398" w14:textId="77777777" w:rsidR="005C3D48" w:rsidRPr="00411D9E" w:rsidRDefault="005C3D48" w:rsidP="005C3D48">
      <w:r w:rsidRPr="00411D9E">
        <w:t>The MCO successfully completed the HEDIS audit. The MCO received an Audit Designation of Report for all applicable measures.</w:t>
      </w:r>
    </w:p>
    <w:p w14:paraId="1304C566" w14:textId="687A23E0" w:rsidR="005C3D48" w:rsidRPr="00411D9E" w:rsidRDefault="00BA39B8" w:rsidP="005C3D48">
      <w:pPr>
        <w:pStyle w:val="Heading2"/>
      </w:pPr>
      <w:bookmarkStart w:id="111" w:name="_Toc99026950"/>
      <w:bookmarkEnd w:id="109"/>
      <w:bookmarkEnd w:id="110"/>
      <w:r w:rsidRPr="00411D9E">
        <w:t>Conclusions and Comparative Findings</w:t>
      </w:r>
      <w:bookmarkEnd w:id="111"/>
    </w:p>
    <w:p w14:paraId="3915921A" w14:textId="77777777" w:rsidR="005C3D48" w:rsidRPr="00411D9E" w:rsidRDefault="005C3D48" w:rsidP="005C3D48">
      <w:pPr>
        <w:spacing w:before="200"/>
      </w:pPr>
      <w:r w:rsidRPr="00411D9E">
        <w:t xml:space="preserve">MCO results are presented in </w:t>
      </w:r>
      <w:r w:rsidRPr="00411D9E">
        <w:rPr>
          <w:b/>
        </w:rPr>
        <w:t>Table 2.2</w:t>
      </w:r>
      <w:r w:rsidRPr="00411D9E">
        <w:t xml:space="preserve"> through </w:t>
      </w:r>
      <w:r w:rsidRPr="00411D9E">
        <w:rPr>
          <w:b/>
        </w:rPr>
        <w:t>Table 2.8</w:t>
      </w:r>
      <w:r w:rsidRPr="00411D9E">
        <w:t xml:space="preserve">. For each measure, the denominator, numerator, and measurement year rates with 95% upper and lower confidence intervals (95% CI) are presented. Confidence intervals are ranges of values that can be used to illustrate the variability associated with a given calculation. For any rate, a 95% confidence interval indicates that there is a 95% probability that the calculated rate, if it were measured repeatedly, would fall within the range of values presented for that rate. All other things being equal, if any given rate were calculated 100 times, the calculated rate would fall within the confidence interval 95 times, or 95% of the time. </w:t>
      </w:r>
    </w:p>
    <w:p w14:paraId="0B92C431" w14:textId="77777777" w:rsidR="005C3D48" w:rsidRPr="00411D9E" w:rsidRDefault="005C3D48" w:rsidP="005C3D48"/>
    <w:p w14:paraId="187D4FFD" w14:textId="77777777" w:rsidR="005C3D48" w:rsidRPr="00411D9E" w:rsidRDefault="005C3D48" w:rsidP="005C3D48">
      <w:r w:rsidRPr="00411D9E">
        <w:t xml:space="preserve">Rates for both the measurement year and the previous year are presented, as available (i.e., 2021 [MY 2020] and 2020 [MY 2019]). In addition, statistical comparisons are made between the MY 2020 and MY 2019 rates. For these year-to-year comparisons, the significance of the difference between two independent proportions was determined by calculating the </w:t>
      </w:r>
      <w:r w:rsidRPr="00411D9E">
        <w:rPr>
          <w:i/>
        </w:rPr>
        <w:t xml:space="preserve">Z </w:t>
      </w:r>
      <w:r w:rsidRPr="00411D9E">
        <w:t xml:space="preserve">ratio. A </w:t>
      </w:r>
      <w:r w:rsidRPr="00411D9E">
        <w:rPr>
          <w:i/>
        </w:rPr>
        <w:t xml:space="preserve">Z </w:t>
      </w:r>
      <w:r w:rsidRPr="00411D9E">
        <w:t>ratio is a statistical measure that quantifies the difference between two percentages when they come from two separate populations. For comparison of MY 2020 rates to MY 2019 rates, statistically significant increases are indicated by “+,” statistically significant decreases by “</w:t>
      </w:r>
      <w:r w:rsidRPr="00411D9E">
        <w:rPr>
          <w:rFonts w:cstheme="minorHAnsi"/>
        </w:rPr>
        <w:t>−</w:t>
      </w:r>
      <w:r w:rsidRPr="00411D9E">
        <w:t>,” and no statistically significant change by “</w:t>
      </w:r>
      <w:proofErr w:type="spellStart"/>
      <w:r w:rsidRPr="00411D9E">
        <w:t>n.s</w:t>
      </w:r>
      <w:proofErr w:type="spellEnd"/>
      <w:r w:rsidRPr="00411D9E">
        <w:t xml:space="preserve">.”  </w:t>
      </w:r>
    </w:p>
    <w:p w14:paraId="1A725BA1" w14:textId="77777777" w:rsidR="005C3D48" w:rsidRPr="00411D9E" w:rsidRDefault="005C3D48" w:rsidP="005C3D48"/>
    <w:p w14:paraId="3031E43D" w14:textId="77777777" w:rsidR="005C3D48" w:rsidRPr="00411D9E" w:rsidRDefault="005C3D48" w:rsidP="005C3D48">
      <w:pPr>
        <w:rPr>
          <w:b/>
          <w:bCs/>
        </w:rPr>
      </w:pPr>
      <w:r w:rsidRPr="00411D9E">
        <w:rPr>
          <w:bCs/>
        </w:rPr>
        <w:t>In addition to each individual MCO rate, the CHIP Medicaid Managed Care (MMC) average for 2021 (MY 2020) is presented. The CHIP MMC average is a weighted average, which is an average that takes into account the proportional relevance of each MCO. Each table also presents the significance of difference between the plan’s measurement year rate and the CHIP MMC average for the same year. For comparison of MY 2020 rates to CHIP MMC rates, the “+” denotes that the plan rate exceeds the CHIP MMC rate, the “</w:t>
      </w:r>
      <w:r w:rsidRPr="00411D9E">
        <w:rPr>
          <w:rFonts w:cstheme="minorHAnsi"/>
        </w:rPr>
        <w:t>−</w:t>
      </w:r>
      <w:r w:rsidRPr="00411D9E">
        <w:rPr>
          <w:bCs/>
        </w:rPr>
        <w:t>” denotes that the MMC rate exceeds the plan rate, and “</w:t>
      </w:r>
      <w:proofErr w:type="spellStart"/>
      <w:r w:rsidRPr="00411D9E">
        <w:rPr>
          <w:bCs/>
        </w:rPr>
        <w:t>n.s</w:t>
      </w:r>
      <w:proofErr w:type="spellEnd"/>
      <w:r w:rsidRPr="00411D9E">
        <w:rPr>
          <w:bCs/>
        </w:rPr>
        <w:t>.” denotes no statistically significant difference between the two rates.</w:t>
      </w:r>
      <w:r w:rsidRPr="00411D9E">
        <w:rPr>
          <w:b/>
          <w:bCs/>
        </w:rPr>
        <w:t xml:space="preserve"> </w:t>
      </w:r>
      <w:r w:rsidRPr="00411D9E">
        <w:rPr>
          <w:bCs/>
        </w:rPr>
        <w:t xml:space="preserve">Rates for the CHIP </w:t>
      </w:r>
      <w:r w:rsidRPr="00411D9E">
        <w:rPr>
          <w:rFonts w:cs="Arial"/>
        </w:rPr>
        <w:t>HEDIS</w:t>
      </w:r>
      <w:r w:rsidRPr="00411D9E">
        <w:rPr>
          <w:bCs/>
        </w:rPr>
        <w:t xml:space="preserve"> measures were compared to corresponding Medicaid percentiles; comparison results are provided in the tables. The 90th percentile is the benchmark for the </w:t>
      </w:r>
      <w:r w:rsidRPr="00411D9E">
        <w:rPr>
          <w:rFonts w:cs="Arial"/>
        </w:rPr>
        <w:t>HEDIS</w:t>
      </w:r>
      <w:r w:rsidRPr="00411D9E">
        <w:rPr>
          <w:bCs/>
        </w:rPr>
        <w:t xml:space="preserve"> measures.</w:t>
      </w:r>
      <w:r w:rsidRPr="00411D9E">
        <w:rPr>
          <w:b/>
          <w:bCs/>
        </w:rPr>
        <w:t xml:space="preserve">  </w:t>
      </w:r>
    </w:p>
    <w:p w14:paraId="050DCD35" w14:textId="77777777" w:rsidR="005C3D48" w:rsidRPr="00411D9E" w:rsidRDefault="005C3D48" w:rsidP="005C3D48"/>
    <w:p w14:paraId="7D8623F2" w14:textId="396B6A8B" w:rsidR="005C3D48" w:rsidRPr="00411D9E" w:rsidRDefault="005C3D48" w:rsidP="005C3D48">
      <w:r w:rsidRPr="00411D9E">
        <w:t xml:space="preserve">Note that the large denominator sizes for many of the analyses led to increased statistical power, and thus contributed to detecting statistical differences that are not clinically meaningful. For example, even a 1-percentage point difference between two rates was statistically significant in many cases, although not meaningful. Hence, results corresponding to each table highlight only differences that are both statistically significant and display at least a 3-percentage point difference in observed rates. It should also be mentioned that when the denominator sizes are small, even relatively large differences in rates may not yield statistical significance due to reduced power; if statistical significance is not achieved, results are not highlighted in the report. </w:t>
      </w:r>
      <w:r w:rsidR="00E85A1A" w:rsidRPr="00F7033D">
        <w:t>Differences are also not discussed if the denominator was less than 30 for a particular rat</w:t>
      </w:r>
      <w:r w:rsidR="00E85A1A">
        <w:t>e.</w:t>
      </w:r>
      <w:r w:rsidR="00E85A1A" w:rsidRPr="00F7033D">
        <w:t xml:space="preserve"> “N/A” (Not Applicable) appears in the corresponding cells</w:t>
      </w:r>
      <w:r w:rsidR="00E85A1A">
        <w:t xml:space="preserve"> where that rate is not available, such as when the denominator was less than 30 or the measure was not reported for that year. </w:t>
      </w:r>
      <w:r w:rsidR="00E85A1A" w:rsidRPr="00F7033D">
        <w:t>However,</w:t>
      </w:r>
      <w:r w:rsidR="00E85A1A" w:rsidRPr="00411D9E">
        <w:t xml:space="preserve"> </w:t>
      </w:r>
      <w:r w:rsidRPr="00411D9E">
        <w:t xml:space="preserve">“NA” (Not Available) also appears in the cells under the </w:t>
      </w:r>
      <w:r w:rsidRPr="00411D9E">
        <w:rPr>
          <w:rFonts w:cs="Arial"/>
        </w:rPr>
        <w:t>HEDIS</w:t>
      </w:r>
      <w:r w:rsidRPr="00411D9E">
        <w:t xml:space="preserve"> MY 2020 percentile column for PA-specific measures that do not have </w:t>
      </w:r>
      <w:r w:rsidRPr="00411D9E">
        <w:rPr>
          <w:rFonts w:cs="Arial"/>
        </w:rPr>
        <w:t>HEDIS</w:t>
      </w:r>
      <w:r w:rsidRPr="00411D9E">
        <w:t xml:space="preserve"> percentiles to compare. </w:t>
      </w:r>
    </w:p>
    <w:p w14:paraId="1E1DF5E0" w14:textId="77777777" w:rsidR="005C3D48" w:rsidRPr="00411D9E" w:rsidRDefault="005C3D48" w:rsidP="005C3D48"/>
    <w:p w14:paraId="7E6E48B2" w14:textId="77777777" w:rsidR="005C3D48" w:rsidRPr="00411D9E" w:rsidRDefault="005C3D48" w:rsidP="005C3D48">
      <w:r w:rsidRPr="00411D9E">
        <w:rPr>
          <w:b/>
        </w:rPr>
        <w:lastRenderedPageBreak/>
        <w:t>Table 2.2</w:t>
      </w:r>
      <w:r w:rsidRPr="00411D9E">
        <w:t xml:space="preserve"> to </w:t>
      </w:r>
      <w:r w:rsidRPr="00411D9E">
        <w:rPr>
          <w:b/>
        </w:rPr>
        <w:t>Table 2.7</w:t>
      </w:r>
      <w:r w:rsidRPr="00411D9E">
        <w:t xml:space="preserve"> show rates up to one decimal place. Calculations to determine differences between rates are based upon unrounded rates. Due to rounding, differences in rates that are reported in the narrative may differ slightly from the difference between the rates as presented in the table.</w:t>
      </w:r>
    </w:p>
    <w:p w14:paraId="67E7C8F3" w14:textId="77777777" w:rsidR="005C3D48" w:rsidRPr="00411D9E" w:rsidRDefault="005C3D48" w:rsidP="005C3D48"/>
    <w:p w14:paraId="42150EE2" w14:textId="77777777" w:rsidR="005C3D48" w:rsidRPr="00411D9E" w:rsidRDefault="005C3D48" w:rsidP="005C3D48">
      <w:pPr>
        <w:rPr>
          <w:b/>
        </w:rPr>
      </w:pPr>
      <w:r w:rsidRPr="00411D9E">
        <w:t xml:space="preserve">Graphical representation of findings is provided for a subset of measures with sufficient data to provide informative illustrations to the tables in this section. These graphical representations can be found in the </w:t>
      </w:r>
      <w:r w:rsidRPr="00411D9E">
        <w:rPr>
          <w:b/>
        </w:rPr>
        <w:t>Appendix.</w:t>
      </w:r>
    </w:p>
    <w:p w14:paraId="3CE8D090" w14:textId="77777777" w:rsidR="005C3D48" w:rsidRPr="00411D9E" w:rsidRDefault="005C3D48" w:rsidP="005C3D48">
      <w:pPr>
        <w:rPr>
          <w:b/>
        </w:rPr>
      </w:pPr>
    </w:p>
    <w:p w14:paraId="4A9603B2" w14:textId="77777777" w:rsidR="005C3D48" w:rsidRPr="00411D9E" w:rsidRDefault="005C3D48" w:rsidP="005C3D48">
      <w:r w:rsidRPr="00411D9E">
        <w:t>As part of IPRO’s validation of Highmark PPO’s Performance Measures and CAHPS Survey results, the following are recommended areas of focus for the plan moving into the next reporting year. Particular attention has been paid to measures that are not only identified as opportunities for the current 2022 review year but were also identified as opportunities or did not show an improvement in rates in 2021.</w:t>
      </w:r>
    </w:p>
    <w:p w14:paraId="7818A644" w14:textId="2E7B3D2B" w:rsidR="005C3D48" w:rsidRPr="00411D9E" w:rsidRDefault="005C3D48" w:rsidP="00A0110E">
      <w:pPr>
        <w:pStyle w:val="ListParagraph"/>
        <w:numPr>
          <w:ilvl w:val="0"/>
          <w:numId w:val="24"/>
        </w:numPr>
      </w:pPr>
      <w:r w:rsidRPr="00411D9E">
        <w:t>It is recommended that Highmark PPO improve screening access for its members. Chlamydia Screening in Wo</w:t>
      </w:r>
      <w:r w:rsidR="00FF262E" w:rsidRPr="00411D9E">
        <w:t xml:space="preserve">men was an opportunity in 2020 </w:t>
      </w:r>
      <w:r w:rsidRPr="00411D9E">
        <w:t>and in 2021 was again identified as an opportunity.</w:t>
      </w:r>
    </w:p>
    <w:p w14:paraId="0123F1C1" w14:textId="77777777" w:rsidR="00FF262E" w:rsidRPr="00411D9E" w:rsidRDefault="00FF262E" w:rsidP="00FF262E"/>
    <w:p w14:paraId="64AF8067" w14:textId="77777777" w:rsidR="005C3D48" w:rsidRPr="00411D9E" w:rsidRDefault="005C3D48" w:rsidP="005C3D48">
      <w:pPr>
        <w:sectPr w:rsidR="005C3D48" w:rsidRPr="00411D9E" w:rsidSect="000950BF">
          <w:footerReference w:type="default" r:id="rId10"/>
          <w:pgSz w:w="12240" w:h="15840"/>
          <w:pgMar w:top="720" w:right="720" w:bottom="720" w:left="720" w:header="720" w:footer="720" w:gutter="0"/>
          <w:cols w:space="720"/>
          <w:titlePg/>
          <w:docGrid w:linePitch="360"/>
        </w:sectPr>
      </w:pPr>
    </w:p>
    <w:p w14:paraId="3BDDD971" w14:textId="77777777" w:rsidR="005C3D48" w:rsidRPr="00411D9E" w:rsidRDefault="005C3D48" w:rsidP="005C3D48">
      <w:pPr>
        <w:pStyle w:val="Heading3"/>
      </w:pPr>
      <w:bookmarkStart w:id="112" w:name="_Toc70508378"/>
      <w:bookmarkStart w:id="113" w:name="_Toc99026951"/>
      <w:r w:rsidRPr="00411D9E">
        <w:lastRenderedPageBreak/>
        <w:t>Access to/Availability of Care</w:t>
      </w:r>
      <w:bookmarkEnd w:id="112"/>
      <w:bookmarkEnd w:id="113"/>
    </w:p>
    <w:p w14:paraId="48EB9EB7" w14:textId="77777777" w:rsidR="005C3D48" w:rsidRPr="00411D9E" w:rsidRDefault="005C3D48" w:rsidP="005C3D48">
      <w:pPr>
        <w:rPr>
          <w:bCs/>
        </w:rPr>
      </w:pPr>
      <w:bookmarkStart w:id="114" w:name="_Toc478563552"/>
      <w:bookmarkStart w:id="115" w:name="_Toc512521051"/>
      <w:r w:rsidRPr="00411D9E">
        <w:t xml:space="preserve">No strengths are identified for the 2021 (MY 2020) </w:t>
      </w:r>
      <w:r w:rsidRPr="00411D9E">
        <w:rPr>
          <w:bCs/>
        </w:rPr>
        <w:t>Access to/Availability of Care performance measures.</w:t>
      </w:r>
    </w:p>
    <w:p w14:paraId="1234A415" w14:textId="77777777" w:rsidR="005C3D48" w:rsidRPr="00411D9E" w:rsidRDefault="005C3D48" w:rsidP="005C3D48">
      <w:pPr>
        <w:rPr>
          <w:bCs/>
        </w:rPr>
      </w:pPr>
    </w:p>
    <w:p w14:paraId="088765B1" w14:textId="77777777" w:rsidR="005C3D48" w:rsidRPr="00411D9E" w:rsidRDefault="005C3D48" w:rsidP="005C3D48">
      <w:pPr>
        <w:rPr>
          <w:bCs/>
        </w:rPr>
      </w:pPr>
      <w:bookmarkStart w:id="116" w:name="_Toc70508410"/>
      <w:r w:rsidRPr="00411D9E">
        <w:t xml:space="preserve">No opportunities for improvement are identified for the 2021 (MY 2020) </w:t>
      </w:r>
      <w:r w:rsidRPr="00411D9E">
        <w:rPr>
          <w:bCs/>
        </w:rPr>
        <w:t>Access to/Availability of Care performance measures.</w:t>
      </w:r>
    </w:p>
    <w:p w14:paraId="4D54E349" w14:textId="77777777" w:rsidR="005C3D48" w:rsidRPr="00411D9E" w:rsidRDefault="005C3D48" w:rsidP="005C3D48">
      <w:pPr>
        <w:pStyle w:val="tableheading"/>
      </w:pPr>
      <w:bookmarkStart w:id="117" w:name="_Toc99026987"/>
      <w:r w:rsidRPr="00411D9E">
        <w:t>Table 2.2: Access to/Availability of Care</w:t>
      </w:r>
      <w:bookmarkEnd w:id="114"/>
      <w:bookmarkEnd w:id="115"/>
      <w:bookmarkEnd w:id="116"/>
      <w:bookmarkEnd w:id="117"/>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22"/>
        <w:gridCol w:w="3051"/>
        <w:gridCol w:w="898"/>
        <w:gridCol w:w="809"/>
        <w:gridCol w:w="898"/>
        <w:gridCol w:w="987"/>
        <w:gridCol w:w="1076"/>
        <w:gridCol w:w="1166"/>
        <w:gridCol w:w="1166"/>
        <w:gridCol w:w="987"/>
        <w:gridCol w:w="987"/>
        <w:gridCol w:w="1543"/>
      </w:tblGrid>
      <w:tr w:rsidR="005C3D48" w:rsidRPr="00411D9E" w14:paraId="3AA9EB44" w14:textId="77777777" w:rsidTr="0053637F">
        <w:trPr>
          <w:cantSplit/>
          <w:trHeight w:val="294"/>
          <w:tblHeader/>
        </w:trPr>
        <w:tc>
          <w:tcPr>
            <w:tcW w:w="1346" w:type="pct"/>
            <w:gridSpan w:val="2"/>
            <w:shd w:val="clear" w:color="000000" w:fill="5F497A"/>
            <w:vAlign w:val="bottom"/>
            <w:hideMark/>
          </w:tcPr>
          <w:p w14:paraId="4CA032E6"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Indicator</w:t>
            </w:r>
          </w:p>
        </w:tc>
        <w:tc>
          <w:tcPr>
            <w:tcW w:w="1622" w:type="pct"/>
            <w:gridSpan w:val="5"/>
            <w:shd w:val="clear" w:color="000000" w:fill="5F497A"/>
            <w:vAlign w:val="bottom"/>
            <w:hideMark/>
          </w:tcPr>
          <w:p w14:paraId="38CD710E"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(MY 2020)</w:t>
            </w:r>
          </w:p>
        </w:tc>
        <w:tc>
          <w:tcPr>
            <w:tcW w:w="2033" w:type="pct"/>
            <w:gridSpan w:val="5"/>
            <w:shd w:val="clear" w:color="000000" w:fill="5F497A"/>
            <w:vAlign w:val="bottom"/>
            <w:hideMark/>
          </w:tcPr>
          <w:p w14:paraId="3C76F536" w14:textId="48E65417" w:rsidR="005C3D48" w:rsidRPr="00411D9E" w:rsidRDefault="005C3D48" w:rsidP="00FF262E">
            <w:pPr>
              <w:jc w:val="center"/>
              <w:rPr>
                <w:rFonts w:eastAsia="Times New Roman" w:cstheme="minorHAnsi"/>
                <w:b/>
                <w:color w:val="FFFFFF"/>
                <w:sz w:val="20"/>
                <w:szCs w:val="20"/>
                <w:vertAlign w:val="superscript"/>
                <w:lang w:bidi="ar-SA"/>
              </w:rPr>
            </w:pPr>
            <w:r w:rsidRPr="00411D9E">
              <w:rPr>
                <w:rFonts w:eastAsia="Times New Roman" w:cstheme="minorHAnsi"/>
                <w:b/>
                <w:color w:val="FFFFFF"/>
                <w:sz w:val="20"/>
                <w:szCs w:val="20"/>
                <w:lang w:bidi="ar-SA"/>
              </w:rPr>
              <w:t>Rate Comparison</w:t>
            </w:r>
            <w:r w:rsidR="00FF262E" w:rsidRPr="00411D9E">
              <w:rPr>
                <w:rFonts w:eastAsia="Times New Roman" w:cstheme="minorHAnsi"/>
                <w:b/>
                <w:color w:val="FFFFFF"/>
                <w:sz w:val="20"/>
                <w:szCs w:val="20"/>
                <w:vertAlign w:val="superscript"/>
                <w:lang w:bidi="ar-SA"/>
              </w:rPr>
              <w:t>1</w:t>
            </w:r>
          </w:p>
        </w:tc>
      </w:tr>
      <w:tr w:rsidR="005C3D48" w:rsidRPr="00411D9E" w14:paraId="5080374E" w14:textId="77777777" w:rsidTr="0053637F">
        <w:trPr>
          <w:cantSplit/>
          <w:trHeight w:val="332"/>
          <w:tblHeader/>
        </w:trPr>
        <w:tc>
          <w:tcPr>
            <w:tcW w:w="286" w:type="pct"/>
            <w:shd w:val="clear" w:color="000000" w:fill="5F497A"/>
            <w:vAlign w:val="bottom"/>
            <w:hideMark/>
          </w:tcPr>
          <w:p w14:paraId="23B35098" w14:textId="77777777" w:rsidR="005C3D48" w:rsidRPr="00411D9E" w:rsidRDefault="005C3D48" w:rsidP="00FF262E">
            <w:pPr>
              <w:ind w:right="-104"/>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Source</w:t>
            </w:r>
          </w:p>
        </w:tc>
        <w:tc>
          <w:tcPr>
            <w:tcW w:w="1060" w:type="pct"/>
            <w:shd w:val="clear" w:color="000000" w:fill="5F497A"/>
            <w:vAlign w:val="bottom"/>
            <w:hideMark/>
          </w:tcPr>
          <w:p w14:paraId="3127963C"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Name</w:t>
            </w:r>
          </w:p>
        </w:tc>
        <w:tc>
          <w:tcPr>
            <w:tcW w:w="312" w:type="pct"/>
            <w:shd w:val="clear" w:color="000000" w:fill="5F497A"/>
            <w:vAlign w:val="bottom"/>
            <w:hideMark/>
          </w:tcPr>
          <w:p w14:paraId="56BB4C6B" w14:textId="77777777" w:rsidR="005C3D48" w:rsidRPr="00411D9E" w:rsidRDefault="005C3D48" w:rsidP="00FF262E">
            <w:pPr>
              <w:jc w:val="center"/>
              <w:rPr>
                <w:rFonts w:eastAsia="Times New Roman" w:cstheme="minorHAnsi"/>
                <w:b/>
                <w:color w:val="FFFFFF"/>
                <w:sz w:val="20"/>
                <w:szCs w:val="20"/>
                <w:lang w:bidi="ar-SA"/>
              </w:rPr>
            </w:pPr>
            <w:proofErr w:type="spellStart"/>
            <w:r w:rsidRPr="00411D9E">
              <w:rPr>
                <w:rFonts w:eastAsia="Times New Roman" w:cstheme="minorHAnsi"/>
                <w:b/>
                <w:color w:val="FFFFFF"/>
                <w:sz w:val="20"/>
                <w:szCs w:val="20"/>
                <w:lang w:bidi="ar-SA"/>
              </w:rPr>
              <w:t>Denom</w:t>
            </w:r>
            <w:proofErr w:type="spellEnd"/>
          </w:p>
        </w:tc>
        <w:tc>
          <w:tcPr>
            <w:tcW w:w="281" w:type="pct"/>
            <w:shd w:val="clear" w:color="000000" w:fill="5F497A"/>
            <w:vAlign w:val="bottom"/>
            <w:hideMark/>
          </w:tcPr>
          <w:p w14:paraId="6A6F8FCB"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Num</w:t>
            </w:r>
          </w:p>
        </w:tc>
        <w:tc>
          <w:tcPr>
            <w:tcW w:w="312" w:type="pct"/>
            <w:shd w:val="clear" w:color="000000" w:fill="5F497A"/>
            <w:vAlign w:val="bottom"/>
            <w:hideMark/>
          </w:tcPr>
          <w:p w14:paraId="54EC404D"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Rate</w:t>
            </w:r>
          </w:p>
        </w:tc>
        <w:tc>
          <w:tcPr>
            <w:tcW w:w="343" w:type="pct"/>
            <w:shd w:val="clear" w:color="000000" w:fill="5F497A"/>
            <w:vAlign w:val="bottom"/>
            <w:hideMark/>
          </w:tcPr>
          <w:p w14:paraId="066BB6D9"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Lower 95% Confidence Limit</w:t>
            </w:r>
          </w:p>
        </w:tc>
        <w:tc>
          <w:tcPr>
            <w:tcW w:w="374" w:type="pct"/>
            <w:shd w:val="clear" w:color="000000" w:fill="5F497A"/>
            <w:vAlign w:val="bottom"/>
            <w:hideMark/>
          </w:tcPr>
          <w:p w14:paraId="6D525362"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Upper 95% Confidence Limit</w:t>
            </w:r>
          </w:p>
        </w:tc>
        <w:tc>
          <w:tcPr>
            <w:tcW w:w="405" w:type="pct"/>
            <w:shd w:val="clear" w:color="000000" w:fill="5F497A"/>
            <w:vAlign w:val="bottom"/>
            <w:hideMark/>
          </w:tcPr>
          <w:p w14:paraId="0A55CB6B"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2020 (MY 2019) Rate</w:t>
            </w:r>
          </w:p>
        </w:tc>
        <w:tc>
          <w:tcPr>
            <w:tcW w:w="405" w:type="pct"/>
            <w:shd w:val="clear" w:color="000000" w:fill="5F497A"/>
            <w:vAlign w:val="bottom"/>
            <w:hideMark/>
          </w:tcPr>
          <w:p w14:paraId="1869823E"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Rate</w:t>
            </w:r>
            <w:r w:rsidRPr="00411D9E">
              <w:rPr>
                <w:rFonts w:eastAsia="Times New Roman" w:cstheme="minorHAnsi"/>
                <w:b/>
                <w:color w:val="FFFFFF"/>
                <w:sz w:val="20"/>
                <w:szCs w:val="20"/>
                <w:lang w:bidi="ar-SA"/>
              </w:rPr>
              <w:br/>
              <w:t>Compared to 2020</w:t>
            </w:r>
          </w:p>
        </w:tc>
        <w:tc>
          <w:tcPr>
            <w:tcW w:w="343" w:type="pct"/>
            <w:shd w:val="clear" w:color="000000" w:fill="5F497A"/>
            <w:vAlign w:val="bottom"/>
            <w:hideMark/>
          </w:tcPr>
          <w:p w14:paraId="22B64B1C"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MMC</w:t>
            </w:r>
          </w:p>
        </w:tc>
        <w:tc>
          <w:tcPr>
            <w:tcW w:w="343" w:type="pct"/>
            <w:shd w:val="clear" w:color="000000" w:fill="5F497A"/>
            <w:vAlign w:val="bottom"/>
            <w:hideMark/>
          </w:tcPr>
          <w:p w14:paraId="466C28B2"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Rate</w:t>
            </w:r>
            <w:r w:rsidRPr="00411D9E">
              <w:rPr>
                <w:rFonts w:eastAsia="Times New Roman" w:cstheme="minorHAnsi"/>
                <w:b/>
                <w:color w:val="FFFFFF"/>
                <w:sz w:val="20"/>
                <w:szCs w:val="20"/>
                <w:lang w:bidi="ar-SA"/>
              </w:rPr>
              <w:br/>
              <w:t>Compared to MMC</w:t>
            </w:r>
          </w:p>
        </w:tc>
        <w:tc>
          <w:tcPr>
            <w:tcW w:w="536" w:type="pct"/>
            <w:shd w:val="clear" w:color="000000" w:fill="5F497A"/>
            <w:vAlign w:val="bottom"/>
            <w:hideMark/>
          </w:tcPr>
          <w:p w14:paraId="3E61FEFE"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HEDIS 2021 Percentile</w:t>
            </w:r>
          </w:p>
        </w:tc>
      </w:tr>
      <w:tr w:rsidR="005C3D48" w:rsidRPr="00411D9E" w14:paraId="0C1AA671" w14:textId="77777777" w:rsidTr="0053637F">
        <w:trPr>
          <w:cantSplit/>
          <w:trHeight w:val="276"/>
          <w:tblHeader/>
        </w:trPr>
        <w:tc>
          <w:tcPr>
            <w:tcW w:w="286" w:type="pct"/>
            <w:shd w:val="clear" w:color="auto" w:fill="FFFFFF" w:themeFill="background1"/>
            <w:vAlign w:val="center"/>
            <w:hideMark/>
          </w:tcPr>
          <w:p w14:paraId="61D68DCA" w14:textId="77777777" w:rsidR="005C3D48" w:rsidRPr="00411D9E" w:rsidRDefault="005C3D4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PA EQR</w:t>
            </w:r>
          </w:p>
        </w:tc>
        <w:tc>
          <w:tcPr>
            <w:tcW w:w="1060" w:type="pct"/>
            <w:shd w:val="clear" w:color="auto" w:fill="FFFFFF" w:themeFill="background1"/>
            <w:vAlign w:val="center"/>
            <w:hideMark/>
          </w:tcPr>
          <w:p w14:paraId="7F0A722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Contraceptive Care for All Women (Age 15–20 years): Most or Moderately Effective</w:t>
            </w:r>
          </w:p>
        </w:tc>
        <w:tc>
          <w:tcPr>
            <w:tcW w:w="312" w:type="pct"/>
            <w:shd w:val="clear" w:color="000000" w:fill="FFFFFF"/>
            <w:noWrap/>
            <w:vAlign w:val="center"/>
          </w:tcPr>
          <w:p w14:paraId="4EC9E7A2" w14:textId="77777777" w:rsidR="005C3D48" w:rsidRPr="00411D9E" w:rsidRDefault="005C3D48" w:rsidP="00FF262E">
            <w:pPr>
              <w:jc w:val="center"/>
              <w:rPr>
                <w:rFonts w:cstheme="minorHAnsi"/>
                <w:sz w:val="20"/>
                <w:szCs w:val="20"/>
              </w:rPr>
            </w:pPr>
            <w:r w:rsidRPr="00411D9E">
              <w:rPr>
                <w:rFonts w:cstheme="minorHAnsi"/>
                <w:sz w:val="20"/>
                <w:szCs w:val="20"/>
              </w:rPr>
              <w:t>1,086</w:t>
            </w:r>
          </w:p>
        </w:tc>
        <w:tc>
          <w:tcPr>
            <w:tcW w:w="281" w:type="pct"/>
            <w:shd w:val="clear" w:color="000000" w:fill="FFFFFF"/>
            <w:vAlign w:val="center"/>
          </w:tcPr>
          <w:p w14:paraId="32C804CC" w14:textId="77777777" w:rsidR="005C3D48" w:rsidRPr="00411D9E" w:rsidRDefault="005C3D48" w:rsidP="00FF262E">
            <w:pPr>
              <w:jc w:val="center"/>
              <w:rPr>
                <w:rFonts w:cstheme="minorHAnsi"/>
                <w:sz w:val="20"/>
                <w:szCs w:val="20"/>
              </w:rPr>
            </w:pPr>
            <w:r w:rsidRPr="00411D9E">
              <w:rPr>
                <w:rFonts w:cstheme="minorHAnsi"/>
                <w:sz w:val="20"/>
                <w:szCs w:val="20"/>
              </w:rPr>
              <w:t>287</w:t>
            </w:r>
          </w:p>
        </w:tc>
        <w:tc>
          <w:tcPr>
            <w:tcW w:w="312" w:type="pct"/>
            <w:shd w:val="clear" w:color="000000" w:fill="FFFFFF"/>
            <w:vAlign w:val="center"/>
          </w:tcPr>
          <w:p w14:paraId="3E6CE2DF" w14:textId="77777777" w:rsidR="005C3D48" w:rsidRPr="00411D9E" w:rsidRDefault="005C3D48" w:rsidP="00FF262E">
            <w:pPr>
              <w:jc w:val="center"/>
              <w:rPr>
                <w:rFonts w:cstheme="minorHAnsi"/>
                <w:b/>
                <w:bCs/>
                <w:sz w:val="20"/>
                <w:szCs w:val="20"/>
              </w:rPr>
            </w:pPr>
            <w:r w:rsidRPr="00411D9E">
              <w:rPr>
                <w:rFonts w:cstheme="minorHAnsi"/>
                <w:b/>
                <w:bCs/>
                <w:sz w:val="20"/>
                <w:szCs w:val="20"/>
              </w:rPr>
              <w:t>26.4%</w:t>
            </w:r>
          </w:p>
        </w:tc>
        <w:tc>
          <w:tcPr>
            <w:tcW w:w="343" w:type="pct"/>
            <w:shd w:val="clear" w:color="000000" w:fill="FFFFFF"/>
            <w:noWrap/>
            <w:vAlign w:val="center"/>
          </w:tcPr>
          <w:p w14:paraId="724859E7" w14:textId="77777777" w:rsidR="005C3D48" w:rsidRPr="00411D9E" w:rsidRDefault="005C3D48" w:rsidP="00FF262E">
            <w:pPr>
              <w:jc w:val="center"/>
              <w:rPr>
                <w:rFonts w:cstheme="minorHAnsi"/>
                <w:sz w:val="20"/>
                <w:szCs w:val="20"/>
              </w:rPr>
            </w:pPr>
            <w:r w:rsidRPr="00411D9E">
              <w:rPr>
                <w:rFonts w:cstheme="minorHAnsi"/>
                <w:sz w:val="20"/>
                <w:szCs w:val="20"/>
              </w:rPr>
              <w:t>23.8%</w:t>
            </w:r>
          </w:p>
        </w:tc>
        <w:tc>
          <w:tcPr>
            <w:tcW w:w="374" w:type="pct"/>
            <w:shd w:val="clear" w:color="000000" w:fill="FFFFFF"/>
            <w:noWrap/>
            <w:vAlign w:val="center"/>
          </w:tcPr>
          <w:p w14:paraId="5CADEB67" w14:textId="77777777" w:rsidR="005C3D48" w:rsidRPr="00411D9E" w:rsidRDefault="005C3D48" w:rsidP="00FF262E">
            <w:pPr>
              <w:jc w:val="center"/>
              <w:rPr>
                <w:rFonts w:cstheme="minorHAnsi"/>
                <w:sz w:val="20"/>
                <w:szCs w:val="20"/>
              </w:rPr>
            </w:pPr>
            <w:r w:rsidRPr="00411D9E">
              <w:rPr>
                <w:rFonts w:cstheme="minorHAnsi"/>
                <w:sz w:val="20"/>
                <w:szCs w:val="20"/>
              </w:rPr>
              <w:t>29.1%</w:t>
            </w:r>
          </w:p>
        </w:tc>
        <w:tc>
          <w:tcPr>
            <w:tcW w:w="405" w:type="pct"/>
            <w:shd w:val="clear" w:color="000000" w:fill="FFFFFF"/>
            <w:noWrap/>
            <w:vAlign w:val="center"/>
          </w:tcPr>
          <w:p w14:paraId="172CAB42" w14:textId="77777777" w:rsidR="005C3D48" w:rsidRPr="00411D9E" w:rsidRDefault="005C3D48" w:rsidP="00FF262E">
            <w:pPr>
              <w:jc w:val="center"/>
              <w:rPr>
                <w:rFonts w:cstheme="minorHAnsi"/>
                <w:sz w:val="20"/>
                <w:szCs w:val="20"/>
              </w:rPr>
            </w:pPr>
            <w:r w:rsidRPr="00411D9E">
              <w:rPr>
                <w:rFonts w:cstheme="minorHAnsi"/>
                <w:sz w:val="20"/>
                <w:szCs w:val="20"/>
              </w:rPr>
              <w:t>31.4%</w:t>
            </w:r>
          </w:p>
        </w:tc>
        <w:tc>
          <w:tcPr>
            <w:tcW w:w="405" w:type="pct"/>
            <w:shd w:val="clear" w:color="000000" w:fill="FFFFFF"/>
            <w:noWrap/>
            <w:vAlign w:val="center"/>
          </w:tcPr>
          <w:p w14:paraId="27B2B87A" w14:textId="77777777" w:rsidR="005C3D48" w:rsidRPr="00411D9E" w:rsidRDefault="005C3D48" w:rsidP="00FF262E">
            <w:pPr>
              <w:jc w:val="center"/>
              <w:rPr>
                <w:rFonts w:cstheme="minorHAnsi"/>
                <w:sz w:val="20"/>
                <w:szCs w:val="20"/>
              </w:rPr>
            </w:pPr>
            <w:r w:rsidRPr="00411D9E">
              <w:rPr>
                <w:rFonts w:cstheme="minorHAnsi"/>
                <w:sz w:val="20"/>
                <w:szCs w:val="20"/>
              </w:rPr>
              <w:t>-</w:t>
            </w:r>
          </w:p>
        </w:tc>
        <w:tc>
          <w:tcPr>
            <w:tcW w:w="343" w:type="pct"/>
            <w:shd w:val="clear" w:color="000000" w:fill="FFFFFF"/>
            <w:noWrap/>
            <w:vAlign w:val="center"/>
          </w:tcPr>
          <w:p w14:paraId="0E5BEE53" w14:textId="77777777" w:rsidR="005C3D48" w:rsidRPr="00411D9E" w:rsidRDefault="005C3D48" w:rsidP="00FF262E">
            <w:pPr>
              <w:jc w:val="center"/>
              <w:rPr>
                <w:rFonts w:cstheme="minorHAnsi"/>
                <w:sz w:val="20"/>
                <w:szCs w:val="20"/>
              </w:rPr>
            </w:pPr>
            <w:r w:rsidRPr="00411D9E">
              <w:rPr>
                <w:rFonts w:cstheme="minorHAnsi"/>
                <w:sz w:val="20"/>
                <w:szCs w:val="20"/>
              </w:rPr>
              <w:t>25.4%</w:t>
            </w:r>
          </w:p>
        </w:tc>
        <w:tc>
          <w:tcPr>
            <w:tcW w:w="343" w:type="pct"/>
            <w:shd w:val="clear" w:color="000000" w:fill="FFFFFF"/>
            <w:noWrap/>
            <w:vAlign w:val="center"/>
          </w:tcPr>
          <w:p w14:paraId="77D29CFF" w14:textId="77777777" w:rsidR="005C3D48" w:rsidRPr="00411D9E" w:rsidRDefault="005C3D48" w:rsidP="00FF262E">
            <w:pPr>
              <w:jc w:val="center"/>
              <w:rPr>
                <w:rFonts w:cstheme="minorHAnsi"/>
                <w:sz w:val="20"/>
                <w:szCs w:val="20"/>
              </w:rPr>
            </w:pPr>
            <w:proofErr w:type="spellStart"/>
            <w:r w:rsidRPr="00411D9E">
              <w:rPr>
                <w:rFonts w:cstheme="minorHAnsi"/>
                <w:sz w:val="20"/>
                <w:szCs w:val="20"/>
              </w:rPr>
              <w:t>n.s</w:t>
            </w:r>
            <w:proofErr w:type="spellEnd"/>
            <w:r w:rsidRPr="00411D9E">
              <w:rPr>
                <w:rFonts w:cstheme="minorHAnsi"/>
                <w:sz w:val="20"/>
                <w:szCs w:val="20"/>
              </w:rPr>
              <w:t>.</w:t>
            </w:r>
          </w:p>
        </w:tc>
        <w:tc>
          <w:tcPr>
            <w:tcW w:w="536" w:type="pct"/>
            <w:shd w:val="clear" w:color="000000" w:fill="FFFFFF"/>
            <w:vAlign w:val="center"/>
          </w:tcPr>
          <w:p w14:paraId="65DDE157" w14:textId="77777777" w:rsidR="005C3D48" w:rsidRPr="00411D9E" w:rsidRDefault="005C3D48" w:rsidP="00FF262E">
            <w:pPr>
              <w:jc w:val="center"/>
              <w:rPr>
                <w:rFonts w:cstheme="minorHAnsi"/>
                <w:sz w:val="20"/>
                <w:szCs w:val="20"/>
              </w:rPr>
            </w:pPr>
            <w:r w:rsidRPr="00411D9E">
              <w:rPr>
                <w:rFonts w:cstheme="minorHAnsi"/>
                <w:sz w:val="20"/>
                <w:szCs w:val="20"/>
              </w:rPr>
              <w:t>NA</w:t>
            </w:r>
          </w:p>
        </w:tc>
      </w:tr>
      <w:tr w:rsidR="005C3D48" w:rsidRPr="00411D9E" w14:paraId="762E5125" w14:textId="77777777" w:rsidTr="0053637F">
        <w:trPr>
          <w:cantSplit/>
          <w:trHeight w:val="396"/>
          <w:tblHeader/>
        </w:trPr>
        <w:tc>
          <w:tcPr>
            <w:tcW w:w="286" w:type="pct"/>
            <w:shd w:val="clear" w:color="auto" w:fill="FFFFFF" w:themeFill="background1"/>
            <w:vAlign w:val="center"/>
            <w:hideMark/>
          </w:tcPr>
          <w:p w14:paraId="756FFCBD" w14:textId="77777777" w:rsidR="005C3D48" w:rsidRPr="00411D9E" w:rsidRDefault="005C3D4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PA EQR</w:t>
            </w:r>
          </w:p>
        </w:tc>
        <w:tc>
          <w:tcPr>
            <w:tcW w:w="1060" w:type="pct"/>
            <w:shd w:val="clear" w:color="auto" w:fill="FFFFFF" w:themeFill="background1"/>
            <w:vAlign w:val="center"/>
            <w:hideMark/>
          </w:tcPr>
          <w:p w14:paraId="643FC7A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Contraceptive Care for All Women (Age 15–20 years): LARC</w:t>
            </w:r>
          </w:p>
        </w:tc>
        <w:tc>
          <w:tcPr>
            <w:tcW w:w="312" w:type="pct"/>
            <w:shd w:val="clear" w:color="000000" w:fill="FFFFFF"/>
            <w:noWrap/>
            <w:vAlign w:val="center"/>
          </w:tcPr>
          <w:p w14:paraId="7DDA7E1F" w14:textId="77777777" w:rsidR="005C3D48" w:rsidRPr="00411D9E" w:rsidRDefault="005C3D48" w:rsidP="00FF262E">
            <w:pPr>
              <w:jc w:val="center"/>
              <w:rPr>
                <w:rFonts w:cstheme="minorHAnsi"/>
                <w:sz w:val="20"/>
                <w:szCs w:val="20"/>
              </w:rPr>
            </w:pPr>
            <w:r w:rsidRPr="00411D9E">
              <w:rPr>
                <w:rFonts w:cstheme="minorHAnsi"/>
                <w:sz w:val="20"/>
                <w:szCs w:val="20"/>
              </w:rPr>
              <w:t>1,086</w:t>
            </w:r>
          </w:p>
        </w:tc>
        <w:tc>
          <w:tcPr>
            <w:tcW w:w="281" w:type="pct"/>
            <w:shd w:val="clear" w:color="000000" w:fill="FFFFFF"/>
            <w:vAlign w:val="center"/>
          </w:tcPr>
          <w:p w14:paraId="42255729" w14:textId="77777777" w:rsidR="005C3D48" w:rsidRPr="00411D9E" w:rsidRDefault="005C3D48" w:rsidP="00FF262E">
            <w:pPr>
              <w:jc w:val="center"/>
              <w:rPr>
                <w:rFonts w:cstheme="minorHAnsi"/>
                <w:sz w:val="20"/>
                <w:szCs w:val="20"/>
              </w:rPr>
            </w:pPr>
            <w:r w:rsidRPr="00411D9E">
              <w:rPr>
                <w:rFonts w:cstheme="minorHAnsi"/>
                <w:sz w:val="20"/>
                <w:szCs w:val="20"/>
              </w:rPr>
              <w:t>24</w:t>
            </w:r>
          </w:p>
        </w:tc>
        <w:tc>
          <w:tcPr>
            <w:tcW w:w="312" w:type="pct"/>
            <w:shd w:val="clear" w:color="000000" w:fill="FFFFFF"/>
            <w:vAlign w:val="center"/>
          </w:tcPr>
          <w:p w14:paraId="2D8D88F3" w14:textId="77777777" w:rsidR="005C3D48" w:rsidRPr="00411D9E" w:rsidRDefault="005C3D48" w:rsidP="00FF262E">
            <w:pPr>
              <w:jc w:val="center"/>
              <w:rPr>
                <w:rFonts w:cstheme="minorHAnsi"/>
                <w:b/>
                <w:bCs/>
                <w:sz w:val="20"/>
                <w:szCs w:val="20"/>
              </w:rPr>
            </w:pPr>
            <w:r w:rsidRPr="00411D9E">
              <w:rPr>
                <w:rFonts w:cstheme="minorHAnsi"/>
                <w:b/>
                <w:bCs/>
                <w:sz w:val="20"/>
                <w:szCs w:val="20"/>
              </w:rPr>
              <w:t>2.2%</w:t>
            </w:r>
          </w:p>
        </w:tc>
        <w:tc>
          <w:tcPr>
            <w:tcW w:w="343" w:type="pct"/>
            <w:shd w:val="clear" w:color="000000" w:fill="FFFFFF"/>
            <w:noWrap/>
            <w:vAlign w:val="center"/>
          </w:tcPr>
          <w:p w14:paraId="29CBAFF0" w14:textId="77777777" w:rsidR="005C3D48" w:rsidRPr="00411D9E" w:rsidRDefault="005C3D48" w:rsidP="00FF262E">
            <w:pPr>
              <w:jc w:val="center"/>
              <w:rPr>
                <w:rFonts w:cstheme="minorHAnsi"/>
                <w:sz w:val="20"/>
                <w:szCs w:val="20"/>
              </w:rPr>
            </w:pPr>
            <w:r w:rsidRPr="00411D9E">
              <w:rPr>
                <w:rFonts w:cstheme="minorHAnsi"/>
                <w:sz w:val="20"/>
                <w:szCs w:val="20"/>
              </w:rPr>
              <w:t>1.3%</w:t>
            </w:r>
          </w:p>
        </w:tc>
        <w:tc>
          <w:tcPr>
            <w:tcW w:w="374" w:type="pct"/>
            <w:shd w:val="clear" w:color="000000" w:fill="FFFFFF"/>
            <w:noWrap/>
            <w:vAlign w:val="center"/>
          </w:tcPr>
          <w:p w14:paraId="062965FA" w14:textId="77777777" w:rsidR="005C3D48" w:rsidRPr="00411D9E" w:rsidRDefault="005C3D48" w:rsidP="00FF262E">
            <w:pPr>
              <w:jc w:val="center"/>
              <w:rPr>
                <w:rFonts w:cstheme="minorHAnsi"/>
                <w:sz w:val="20"/>
                <w:szCs w:val="20"/>
              </w:rPr>
            </w:pPr>
            <w:r w:rsidRPr="00411D9E">
              <w:rPr>
                <w:rFonts w:cstheme="minorHAnsi"/>
                <w:sz w:val="20"/>
                <w:szCs w:val="20"/>
              </w:rPr>
              <w:t>3.1%</w:t>
            </w:r>
          </w:p>
        </w:tc>
        <w:tc>
          <w:tcPr>
            <w:tcW w:w="405" w:type="pct"/>
            <w:shd w:val="clear" w:color="000000" w:fill="FFFFFF"/>
            <w:noWrap/>
            <w:vAlign w:val="center"/>
          </w:tcPr>
          <w:p w14:paraId="7D39EED9" w14:textId="77777777" w:rsidR="005C3D48" w:rsidRPr="00411D9E" w:rsidRDefault="005C3D48" w:rsidP="00FF262E">
            <w:pPr>
              <w:jc w:val="center"/>
              <w:rPr>
                <w:rFonts w:cstheme="minorHAnsi"/>
                <w:sz w:val="20"/>
                <w:szCs w:val="20"/>
              </w:rPr>
            </w:pPr>
            <w:r w:rsidRPr="00411D9E">
              <w:rPr>
                <w:rFonts w:cstheme="minorHAnsi"/>
                <w:sz w:val="20"/>
                <w:szCs w:val="20"/>
              </w:rPr>
              <w:t>2.2%</w:t>
            </w:r>
          </w:p>
        </w:tc>
        <w:tc>
          <w:tcPr>
            <w:tcW w:w="405" w:type="pct"/>
            <w:shd w:val="clear" w:color="000000" w:fill="FFFFFF"/>
            <w:noWrap/>
            <w:vAlign w:val="center"/>
          </w:tcPr>
          <w:p w14:paraId="328D0287" w14:textId="77777777" w:rsidR="005C3D48" w:rsidRPr="00411D9E" w:rsidRDefault="005C3D48" w:rsidP="00FF262E">
            <w:pPr>
              <w:jc w:val="center"/>
              <w:rPr>
                <w:rFonts w:cstheme="minorHAnsi"/>
                <w:sz w:val="20"/>
                <w:szCs w:val="20"/>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000000" w:fill="FFFFFF"/>
            <w:noWrap/>
            <w:vAlign w:val="center"/>
          </w:tcPr>
          <w:p w14:paraId="66A6CD15" w14:textId="77777777" w:rsidR="005C3D48" w:rsidRPr="00411D9E" w:rsidRDefault="005C3D48" w:rsidP="00FF262E">
            <w:pPr>
              <w:jc w:val="center"/>
              <w:rPr>
                <w:rFonts w:cstheme="minorHAnsi"/>
                <w:sz w:val="20"/>
                <w:szCs w:val="20"/>
              </w:rPr>
            </w:pPr>
            <w:r w:rsidRPr="00411D9E">
              <w:rPr>
                <w:rFonts w:cstheme="minorHAnsi"/>
                <w:sz w:val="20"/>
                <w:szCs w:val="20"/>
              </w:rPr>
              <w:t>1.9%</w:t>
            </w:r>
          </w:p>
        </w:tc>
        <w:tc>
          <w:tcPr>
            <w:tcW w:w="343" w:type="pct"/>
            <w:shd w:val="clear" w:color="000000" w:fill="FFFFFF"/>
            <w:noWrap/>
            <w:vAlign w:val="center"/>
          </w:tcPr>
          <w:p w14:paraId="281688E1" w14:textId="77777777" w:rsidR="005C3D48" w:rsidRPr="00411D9E" w:rsidRDefault="005C3D48" w:rsidP="00FF262E">
            <w:pPr>
              <w:jc w:val="center"/>
              <w:rPr>
                <w:rFonts w:cstheme="minorHAnsi"/>
                <w:sz w:val="20"/>
                <w:szCs w:val="20"/>
              </w:rPr>
            </w:pPr>
            <w:proofErr w:type="spellStart"/>
            <w:r w:rsidRPr="00411D9E">
              <w:rPr>
                <w:rFonts w:cstheme="minorHAnsi"/>
                <w:sz w:val="20"/>
                <w:szCs w:val="20"/>
              </w:rPr>
              <w:t>n.s</w:t>
            </w:r>
            <w:proofErr w:type="spellEnd"/>
            <w:r w:rsidRPr="00411D9E">
              <w:rPr>
                <w:rFonts w:cstheme="minorHAnsi"/>
                <w:sz w:val="20"/>
                <w:szCs w:val="20"/>
              </w:rPr>
              <w:t>.</w:t>
            </w:r>
          </w:p>
        </w:tc>
        <w:tc>
          <w:tcPr>
            <w:tcW w:w="536" w:type="pct"/>
            <w:shd w:val="clear" w:color="000000" w:fill="FFFFFF"/>
            <w:vAlign w:val="center"/>
          </w:tcPr>
          <w:p w14:paraId="038DE8F2" w14:textId="77777777" w:rsidR="005C3D48" w:rsidRPr="00411D9E" w:rsidRDefault="005C3D48" w:rsidP="00FF262E">
            <w:pPr>
              <w:jc w:val="center"/>
              <w:rPr>
                <w:rFonts w:cstheme="minorHAnsi"/>
                <w:sz w:val="20"/>
                <w:szCs w:val="20"/>
              </w:rPr>
            </w:pPr>
            <w:r w:rsidRPr="00411D9E">
              <w:rPr>
                <w:rFonts w:cstheme="minorHAnsi"/>
                <w:sz w:val="20"/>
                <w:szCs w:val="20"/>
              </w:rPr>
              <w:t>NA</w:t>
            </w:r>
          </w:p>
        </w:tc>
      </w:tr>
      <w:tr w:rsidR="00435688" w:rsidRPr="00411D9E" w14:paraId="1F208602" w14:textId="77777777" w:rsidTr="00435688">
        <w:trPr>
          <w:cantSplit/>
          <w:trHeight w:val="69"/>
          <w:tblHeader/>
        </w:trPr>
        <w:tc>
          <w:tcPr>
            <w:tcW w:w="286" w:type="pct"/>
            <w:shd w:val="clear" w:color="auto" w:fill="FFFFFF" w:themeFill="background1"/>
            <w:vAlign w:val="center"/>
            <w:hideMark/>
          </w:tcPr>
          <w:p w14:paraId="69EBF259" w14:textId="77777777" w:rsidR="00435688" w:rsidRPr="00411D9E" w:rsidRDefault="0043568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PA EQR</w:t>
            </w:r>
          </w:p>
        </w:tc>
        <w:tc>
          <w:tcPr>
            <w:tcW w:w="1060" w:type="pct"/>
            <w:shd w:val="clear" w:color="auto" w:fill="FFFFFF" w:themeFill="background1"/>
            <w:vAlign w:val="center"/>
            <w:hideMark/>
          </w:tcPr>
          <w:p w14:paraId="1BBD2E8E" w14:textId="77777777" w:rsidR="00435688" w:rsidRPr="00411D9E" w:rsidRDefault="0043568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Contraceptive Care for Postpartum Women (Age 15–20 years): Most or moderately effective contraception—3 days</w:t>
            </w:r>
          </w:p>
        </w:tc>
        <w:tc>
          <w:tcPr>
            <w:tcW w:w="312" w:type="pct"/>
            <w:shd w:val="clear" w:color="000000" w:fill="FFFFFF"/>
            <w:noWrap/>
            <w:vAlign w:val="center"/>
          </w:tcPr>
          <w:p w14:paraId="43AFB87B" w14:textId="77777777" w:rsidR="00435688" w:rsidRPr="00411D9E" w:rsidRDefault="00435688" w:rsidP="00FF262E">
            <w:pPr>
              <w:jc w:val="center"/>
              <w:rPr>
                <w:rFonts w:cstheme="minorHAnsi"/>
                <w:sz w:val="20"/>
                <w:szCs w:val="20"/>
              </w:rPr>
            </w:pPr>
            <w:r w:rsidRPr="00411D9E">
              <w:rPr>
                <w:rFonts w:cstheme="minorHAnsi"/>
                <w:sz w:val="20"/>
                <w:szCs w:val="20"/>
              </w:rPr>
              <w:t>4</w:t>
            </w:r>
          </w:p>
        </w:tc>
        <w:tc>
          <w:tcPr>
            <w:tcW w:w="281" w:type="pct"/>
            <w:shd w:val="clear" w:color="000000" w:fill="FFFFFF"/>
            <w:vAlign w:val="center"/>
          </w:tcPr>
          <w:p w14:paraId="474517AE" w14:textId="77777777" w:rsidR="00435688" w:rsidRPr="00411D9E" w:rsidRDefault="00435688" w:rsidP="00FF262E">
            <w:pPr>
              <w:jc w:val="center"/>
              <w:rPr>
                <w:rFonts w:cstheme="minorHAnsi"/>
                <w:sz w:val="20"/>
                <w:szCs w:val="20"/>
              </w:rPr>
            </w:pPr>
            <w:r w:rsidRPr="00411D9E">
              <w:rPr>
                <w:rFonts w:cstheme="minorHAnsi"/>
                <w:sz w:val="20"/>
                <w:szCs w:val="20"/>
              </w:rPr>
              <w:t>0</w:t>
            </w:r>
          </w:p>
        </w:tc>
        <w:tc>
          <w:tcPr>
            <w:tcW w:w="312" w:type="pct"/>
            <w:shd w:val="clear" w:color="000000" w:fill="FFFFFF"/>
            <w:vAlign w:val="center"/>
          </w:tcPr>
          <w:p w14:paraId="40AA559D" w14:textId="0CD8EFDB" w:rsidR="00435688" w:rsidRPr="00411D9E" w:rsidRDefault="00435688" w:rsidP="00FF262E">
            <w:pPr>
              <w:jc w:val="center"/>
              <w:rPr>
                <w:rFonts w:cstheme="minorHAnsi"/>
                <w:b/>
                <w:bCs/>
                <w:sz w:val="20"/>
                <w:szCs w:val="20"/>
              </w:rPr>
            </w:pPr>
            <w:r w:rsidRPr="00411D9E">
              <w:rPr>
                <w:rFonts w:cstheme="minorHAnsi"/>
                <w:b/>
                <w:bCs/>
                <w:sz w:val="20"/>
                <w:szCs w:val="20"/>
              </w:rPr>
              <w:t>N/A</w:t>
            </w:r>
          </w:p>
        </w:tc>
        <w:tc>
          <w:tcPr>
            <w:tcW w:w="343" w:type="pct"/>
            <w:shd w:val="clear" w:color="000000" w:fill="FFFFFF"/>
            <w:noWrap/>
            <w:vAlign w:val="center"/>
          </w:tcPr>
          <w:p w14:paraId="61A334FC" w14:textId="79765E07" w:rsidR="00435688" w:rsidRPr="00411D9E" w:rsidRDefault="00435688" w:rsidP="00FF262E">
            <w:pPr>
              <w:jc w:val="center"/>
              <w:rPr>
                <w:rFonts w:cstheme="minorHAnsi"/>
                <w:sz w:val="20"/>
                <w:szCs w:val="20"/>
              </w:rPr>
            </w:pPr>
            <w:r w:rsidRPr="00411D9E">
              <w:rPr>
                <w:rFonts w:cstheme="minorHAnsi"/>
                <w:sz w:val="20"/>
                <w:szCs w:val="20"/>
              </w:rPr>
              <w:t>N/A</w:t>
            </w:r>
          </w:p>
        </w:tc>
        <w:tc>
          <w:tcPr>
            <w:tcW w:w="374" w:type="pct"/>
            <w:shd w:val="clear" w:color="000000" w:fill="FFFFFF"/>
            <w:noWrap/>
            <w:vAlign w:val="center"/>
          </w:tcPr>
          <w:p w14:paraId="4D34964A" w14:textId="2333CA8D" w:rsidR="00435688" w:rsidRPr="00411D9E" w:rsidRDefault="00435688" w:rsidP="00435688">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7576808D" w14:textId="121F9DEB" w:rsidR="00435688" w:rsidRPr="00411D9E" w:rsidRDefault="00435688" w:rsidP="00435688">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5E2EA219" w14:textId="4D20BC99" w:rsidR="00435688" w:rsidRPr="00411D9E" w:rsidRDefault="00435688" w:rsidP="00435688">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3E0D831B" w14:textId="4581B842" w:rsidR="00435688" w:rsidRPr="00411D9E" w:rsidRDefault="00435688" w:rsidP="00435688">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276B7D79" w14:textId="7222C51D" w:rsidR="00435688" w:rsidRPr="00411D9E" w:rsidRDefault="00435688" w:rsidP="00435688">
            <w:pPr>
              <w:jc w:val="center"/>
              <w:rPr>
                <w:rFonts w:cstheme="minorHAnsi"/>
                <w:sz w:val="20"/>
                <w:szCs w:val="20"/>
              </w:rPr>
            </w:pPr>
            <w:r w:rsidRPr="00411D9E">
              <w:rPr>
                <w:rFonts w:cstheme="minorHAnsi"/>
                <w:sz w:val="20"/>
                <w:szCs w:val="20"/>
              </w:rPr>
              <w:t>N/A</w:t>
            </w:r>
          </w:p>
        </w:tc>
        <w:tc>
          <w:tcPr>
            <w:tcW w:w="536" w:type="pct"/>
            <w:shd w:val="clear" w:color="000000" w:fill="FFFFFF"/>
            <w:vAlign w:val="center"/>
          </w:tcPr>
          <w:p w14:paraId="61B95C8D" w14:textId="77777777" w:rsidR="00435688" w:rsidRPr="00411D9E" w:rsidRDefault="00435688" w:rsidP="00FF262E">
            <w:pPr>
              <w:jc w:val="center"/>
              <w:rPr>
                <w:rFonts w:cstheme="minorHAnsi"/>
                <w:sz w:val="20"/>
                <w:szCs w:val="20"/>
              </w:rPr>
            </w:pPr>
            <w:r w:rsidRPr="00411D9E">
              <w:rPr>
                <w:rFonts w:cstheme="minorHAnsi"/>
                <w:sz w:val="20"/>
                <w:szCs w:val="20"/>
              </w:rPr>
              <w:t>NA</w:t>
            </w:r>
          </w:p>
        </w:tc>
      </w:tr>
      <w:tr w:rsidR="00435688" w:rsidRPr="00411D9E" w14:paraId="347B21C8" w14:textId="77777777" w:rsidTr="0053637F">
        <w:trPr>
          <w:cantSplit/>
          <w:trHeight w:val="109"/>
          <w:tblHeader/>
        </w:trPr>
        <w:tc>
          <w:tcPr>
            <w:tcW w:w="286" w:type="pct"/>
            <w:shd w:val="clear" w:color="auto" w:fill="FFFFFF" w:themeFill="background1"/>
            <w:vAlign w:val="center"/>
            <w:hideMark/>
          </w:tcPr>
          <w:p w14:paraId="3DC1CD13" w14:textId="77777777" w:rsidR="00435688" w:rsidRPr="00411D9E" w:rsidRDefault="0043568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PA EQR</w:t>
            </w:r>
          </w:p>
        </w:tc>
        <w:tc>
          <w:tcPr>
            <w:tcW w:w="1060" w:type="pct"/>
            <w:shd w:val="clear" w:color="auto" w:fill="FFFFFF" w:themeFill="background1"/>
            <w:vAlign w:val="center"/>
            <w:hideMark/>
          </w:tcPr>
          <w:p w14:paraId="4EE51D48" w14:textId="77777777" w:rsidR="00435688" w:rsidRPr="00411D9E" w:rsidRDefault="0043568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Contraceptive Care for Postpartum Women (Age 15–20 years): Most or moderately effective contraception—60 days</w:t>
            </w:r>
          </w:p>
        </w:tc>
        <w:tc>
          <w:tcPr>
            <w:tcW w:w="312" w:type="pct"/>
            <w:shd w:val="clear" w:color="000000" w:fill="FFFFFF"/>
            <w:noWrap/>
            <w:vAlign w:val="center"/>
          </w:tcPr>
          <w:p w14:paraId="46A122A8" w14:textId="77777777" w:rsidR="00435688" w:rsidRPr="00411D9E" w:rsidRDefault="00435688" w:rsidP="00FF262E">
            <w:pPr>
              <w:jc w:val="center"/>
              <w:rPr>
                <w:rFonts w:cstheme="minorHAnsi"/>
                <w:sz w:val="20"/>
                <w:szCs w:val="20"/>
              </w:rPr>
            </w:pPr>
            <w:r w:rsidRPr="00411D9E">
              <w:rPr>
                <w:rFonts w:cstheme="minorHAnsi"/>
                <w:sz w:val="20"/>
                <w:szCs w:val="20"/>
              </w:rPr>
              <w:t>4</w:t>
            </w:r>
          </w:p>
        </w:tc>
        <w:tc>
          <w:tcPr>
            <w:tcW w:w="281" w:type="pct"/>
            <w:shd w:val="clear" w:color="000000" w:fill="FFFFFF"/>
            <w:vAlign w:val="center"/>
          </w:tcPr>
          <w:p w14:paraId="2EBB5628" w14:textId="77777777" w:rsidR="00435688" w:rsidRPr="00411D9E" w:rsidRDefault="00435688" w:rsidP="00FF262E">
            <w:pPr>
              <w:jc w:val="center"/>
              <w:rPr>
                <w:rFonts w:cstheme="minorHAnsi"/>
                <w:sz w:val="20"/>
                <w:szCs w:val="20"/>
              </w:rPr>
            </w:pPr>
            <w:r w:rsidRPr="00411D9E">
              <w:rPr>
                <w:rFonts w:cstheme="minorHAnsi"/>
                <w:sz w:val="20"/>
                <w:szCs w:val="20"/>
              </w:rPr>
              <w:t>2</w:t>
            </w:r>
          </w:p>
        </w:tc>
        <w:tc>
          <w:tcPr>
            <w:tcW w:w="312" w:type="pct"/>
            <w:shd w:val="clear" w:color="000000" w:fill="FFFFFF"/>
            <w:vAlign w:val="center"/>
          </w:tcPr>
          <w:p w14:paraId="63E50F2D" w14:textId="6E834DBD" w:rsidR="00435688" w:rsidRPr="00411D9E" w:rsidRDefault="00435688" w:rsidP="00FF262E">
            <w:pPr>
              <w:jc w:val="center"/>
              <w:rPr>
                <w:rFonts w:cstheme="minorHAnsi"/>
                <w:b/>
                <w:bCs/>
                <w:sz w:val="20"/>
                <w:szCs w:val="20"/>
              </w:rPr>
            </w:pPr>
            <w:r w:rsidRPr="00411D9E">
              <w:rPr>
                <w:rFonts w:cstheme="minorHAnsi"/>
                <w:b/>
                <w:bCs/>
                <w:sz w:val="20"/>
                <w:szCs w:val="20"/>
              </w:rPr>
              <w:t>N/A</w:t>
            </w:r>
          </w:p>
        </w:tc>
        <w:tc>
          <w:tcPr>
            <w:tcW w:w="343" w:type="pct"/>
            <w:shd w:val="clear" w:color="000000" w:fill="FFFFFF"/>
            <w:noWrap/>
            <w:vAlign w:val="center"/>
          </w:tcPr>
          <w:p w14:paraId="65841899" w14:textId="40BAEC93" w:rsidR="00435688" w:rsidRPr="00411D9E" w:rsidRDefault="00435688" w:rsidP="00FF262E">
            <w:pPr>
              <w:jc w:val="center"/>
              <w:rPr>
                <w:rFonts w:cstheme="minorHAnsi"/>
                <w:sz w:val="20"/>
                <w:szCs w:val="20"/>
              </w:rPr>
            </w:pPr>
            <w:r w:rsidRPr="00411D9E">
              <w:rPr>
                <w:rFonts w:cstheme="minorHAnsi"/>
                <w:sz w:val="20"/>
                <w:szCs w:val="20"/>
              </w:rPr>
              <w:t>N/A</w:t>
            </w:r>
          </w:p>
        </w:tc>
        <w:tc>
          <w:tcPr>
            <w:tcW w:w="374" w:type="pct"/>
            <w:shd w:val="clear" w:color="000000" w:fill="FFFFFF"/>
            <w:noWrap/>
            <w:vAlign w:val="center"/>
          </w:tcPr>
          <w:p w14:paraId="17B08AF6" w14:textId="08C8A07D"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6ACFCFFD" w14:textId="0196A308"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416B07D5" w14:textId="11EBEA26"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42185803" w14:textId="00CAEADF"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3AF53891" w14:textId="54D47AC3" w:rsidR="00435688" w:rsidRPr="00411D9E" w:rsidRDefault="00435688" w:rsidP="00FF262E">
            <w:pPr>
              <w:jc w:val="center"/>
              <w:rPr>
                <w:rFonts w:cstheme="minorHAnsi"/>
                <w:sz w:val="20"/>
                <w:szCs w:val="20"/>
              </w:rPr>
            </w:pPr>
            <w:r w:rsidRPr="00411D9E">
              <w:rPr>
                <w:rFonts w:cstheme="minorHAnsi"/>
                <w:sz w:val="20"/>
                <w:szCs w:val="20"/>
              </w:rPr>
              <w:t>N/A</w:t>
            </w:r>
          </w:p>
        </w:tc>
        <w:tc>
          <w:tcPr>
            <w:tcW w:w="536" w:type="pct"/>
            <w:shd w:val="clear" w:color="000000" w:fill="FFFFFF"/>
            <w:vAlign w:val="center"/>
          </w:tcPr>
          <w:p w14:paraId="6C87E578" w14:textId="77777777" w:rsidR="00435688" w:rsidRPr="00411D9E" w:rsidRDefault="00435688" w:rsidP="00FF262E">
            <w:pPr>
              <w:jc w:val="center"/>
              <w:rPr>
                <w:rFonts w:cstheme="minorHAnsi"/>
                <w:sz w:val="20"/>
                <w:szCs w:val="20"/>
              </w:rPr>
            </w:pPr>
            <w:r w:rsidRPr="00411D9E">
              <w:rPr>
                <w:rFonts w:cstheme="minorHAnsi"/>
                <w:sz w:val="20"/>
                <w:szCs w:val="20"/>
              </w:rPr>
              <w:t>NA</w:t>
            </w:r>
          </w:p>
        </w:tc>
      </w:tr>
      <w:tr w:rsidR="00435688" w:rsidRPr="00411D9E" w14:paraId="704DE330" w14:textId="77777777" w:rsidTr="0053637F">
        <w:trPr>
          <w:cantSplit/>
          <w:trHeight w:val="69"/>
          <w:tblHeader/>
        </w:trPr>
        <w:tc>
          <w:tcPr>
            <w:tcW w:w="286" w:type="pct"/>
            <w:shd w:val="clear" w:color="auto" w:fill="FFFFFF" w:themeFill="background1"/>
            <w:vAlign w:val="center"/>
            <w:hideMark/>
          </w:tcPr>
          <w:p w14:paraId="72CBD2CA" w14:textId="77777777" w:rsidR="00435688" w:rsidRPr="00411D9E" w:rsidRDefault="0043568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PA EQR</w:t>
            </w:r>
          </w:p>
        </w:tc>
        <w:tc>
          <w:tcPr>
            <w:tcW w:w="1060" w:type="pct"/>
            <w:shd w:val="clear" w:color="auto" w:fill="FFFFFF" w:themeFill="background1"/>
            <w:vAlign w:val="center"/>
            <w:hideMark/>
          </w:tcPr>
          <w:p w14:paraId="1062871F" w14:textId="77777777" w:rsidR="00435688" w:rsidRPr="00411D9E" w:rsidRDefault="0043568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Contraceptive Care for Postpartum Women (Age 15–20 years): LARC—3 days</w:t>
            </w:r>
          </w:p>
        </w:tc>
        <w:tc>
          <w:tcPr>
            <w:tcW w:w="312" w:type="pct"/>
            <w:shd w:val="clear" w:color="000000" w:fill="FFFFFF"/>
            <w:noWrap/>
            <w:vAlign w:val="center"/>
          </w:tcPr>
          <w:p w14:paraId="2EE66DEE" w14:textId="77777777" w:rsidR="00435688" w:rsidRPr="00411D9E" w:rsidRDefault="00435688" w:rsidP="00FF262E">
            <w:pPr>
              <w:jc w:val="center"/>
              <w:rPr>
                <w:rFonts w:cstheme="minorHAnsi"/>
                <w:sz w:val="20"/>
                <w:szCs w:val="20"/>
              </w:rPr>
            </w:pPr>
            <w:r w:rsidRPr="00411D9E">
              <w:rPr>
                <w:rFonts w:cstheme="minorHAnsi"/>
                <w:sz w:val="20"/>
                <w:szCs w:val="20"/>
              </w:rPr>
              <w:t>4</w:t>
            </w:r>
          </w:p>
        </w:tc>
        <w:tc>
          <w:tcPr>
            <w:tcW w:w="281" w:type="pct"/>
            <w:shd w:val="clear" w:color="000000" w:fill="FFFFFF"/>
            <w:vAlign w:val="center"/>
          </w:tcPr>
          <w:p w14:paraId="591409BE" w14:textId="77777777" w:rsidR="00435688" w:rsidRPr="00411D9E" w:rsidRDefault="00435688" w:rsidP="00FF262E">
            <w:pPr>
              <w:jc w:val="center"/>
              <w:rPr>
                <w:rFonts w:cstheme="minorHAnsi"/>
                <w:sz w:val="20"/>
                <w:szCs w:val="20"/>
              </w:rPr>
            </w:pPr>
            <w:r w:rsidRPr="00411D9E">
              <w:rPr>
                <w:rFonts w:cstheme="minorHAnsi"/>
                <w:sz w:val="20"/>
                <w:szCs w:val="20"/>
              </w:rPr>
              <w:t>0</w:t>
            </w:r>
          </w:p>
        </w:tc>
        <w:tc>
          <w:tcPr>
            <w:tcW w:w="312" w:type="pct"/>
            <w:shd w:val="clear" w:color="000000" w:fill="FFFFFF"/>
            <w:vAlign w:val="center"/>
          </w:tcPr>
          <w:p w14:paraId="70C6A665" w14:textId="398ADBA8" w:rsidR="00435688" w:rsidRPr="00411D9E" w:rsidRDefault="00435688" w:rsidP="00FF262E">
            <w:pPr>
              <w:jc w:val="center"/>
              <w:rPr>
                <w:rFonts w:cstheme="minorHAnsi"/>
                <w:b/>
                <w:bCs/>
                <w:sz w:val="20"/>
                <w:szCs w:val="20"/>
              </w:rPr>
            </w:pPr>
            <w:r w:rsidRPr="00411D9E">
              <w:rPr>
                <w:rFonts w:cstheme="minorHAnsi"/>
                <w:b/>
                <w:bCs/>
                <w:sz w:val="20"/>
                <w:szCs w:val="20"/>
              </w:rPr>
              <w:t>N/A</w:t>
            </w:r>
          </w:p>
        </w:tc>
        <w:tc>
          <w:tcPr>
            <w:tcW w:w="343" w:type="pct"/>
            <w:shd w:val="clear" w:color="000000" w:fill="FFFFFF"/>
            <w:noWrap/>
            <w:vAlign w:val="center"/>
          </w:tcPr>
          <w:p w14:paraId="0FEA71DF" w14:textId="31EDF0D3" w:rsidR="00435688" w:rsidRPr="00411D9E" w:rsidRDefault="00435688" w:rsidP="00FF262E">
            <w:pPr>
              <w:jc w:val="center"/>
              <w:rPr>
                <w:rFonts w:cstheme="minorHAnsi"/>
                <w:sz w:val="20"/>
                <w:szCs w:val="20"/>
              </w:rPr>
            </w:pPr>
            <w:r w:rsidRPr="00411D9E">
              <w:rPr>
                <w:rFonts w:cstheme="minorHAnsi"/>
                <w:sz w:val="20"/>
                <w:szCs w:val="20"/>
              </w:rPr>
              <w:t>N/A</w:t>
            </w:r>
          </w:p>
        </w:tc>
        <w:tc>
          <w:tcPr>
            <w:tcW w:w="374" w:type="pct"/>
            <w:shd w:val="clear" w:color="000000" w:fill="FFFFFF"/>
            <w:noWrap/>
            <w:vAlign w:val="center"/>
          </w:tcPr>
          <w:p w14:paraId="301F312F" w14:textId="017202F3"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37AEA241" w14:textId="138ECA4E"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41936AB6" w14:textId="0F728D3B"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4F718C74" w14:textId="0C9F3B44"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52260ACB" w14:textId="54DC5CDD" w:rsidR="00435688" w:rsidRPr="00411D9E" w:rsidRDefault="00435688" w:rsidP="00FF262E">
            <w:pPr>
              <w:jc w:val="center"/>
              <w:rPr>
                <w:rFonts w:cstheme="minorHAnsi"/>
                <w:sz w:val="20"/>
                <w:szCs w:val="20"/>
              </w:rPr>
            </w:pPr>
            <w:r w:rsidRPr="00411D9E">
              <w:rPr>
                <w:rFonts w:cstheme="minorHAnsi"/>
                <w:sz w:val="20"/>
                <w:szCs w:val="20"/>
              </w:rPr>
              <w:t>N/A</w:t>
            </w:r>
          </w:p>
        </w:tc>
        <w:tc>
          <w:tcPr>
            <w:tcW w:w="536" w:type="pct"/>
            <w:shd w:val="clear" w:color="000000" w:fill="FFFFFF"/>
            <w:vAlign w:val="center"/>
          </w:tcPr>
          <w:p w14:paraId="1878E09F" w14:textId="77777777" w:rsidR="00435688" w:rsidRPr="00411D9E" w:rsidRDefault="00435688" w:rsidP="00FF262E">
            <w:pPr>
              <w:jc w:val="center"/>
              <w:rPr>
                <w:rFonts w:cstheme="minorHAnsi"/>
                <w:sz w:val="20"/>
                <w:szCs w:val="20"/>
              </w:rPr>
            </w:pPr>
            <w:r w:rsidRPr="00411D9E">
              <w:rPr>
                <w:rFonts w:cstheme="minorHAnsi"/>
                <w:sz w:val="20"/>
                <w:szCs w:val="20"/>
              </w:rPr>
              <w:t>NA</w:t>
            </w:r>
          </w:p>
        </w:tc>
      </w:tr>
      <w:tr w:rsidR="00435688" w:rsidRPr="00411D9E" w14:paraId="4D471E8D" w14:textId="77777777" w:rsidTr="0053637F">
        <w:trPr>
          <w:cantSplit/>
          <w:trHeight w:val="69"/>
          <w:tblHeader/>
        </w:trPr>
        <w:tc>
          <w:tcPr>
            <w:tcW w:w="286" w:type="pct"/>
            <w:shd w:val="clear" w:color="auto" w:fill="FFFFFF" w:themeFill="background1"/>
            <w:vAlign w:val="center"/>
            <w:hideMark/>
          </w:tcPr>
          <w:p w14:paraId="7711A7D0" w14:textId="77777777" w:rsidR="00435688" w:rsidRPr="00411D9E" w:rsidRDefault="0043568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PA EQR</w:t>
            </w:r>
          </w:p>
        </w:tc>
        <w:tc>
          <w:tcPr>
            <w:tcW w:w="1060" w:type="pct"/>
            <w:shd w:val="clear" w:color="auto" w:fill="FFFFFF" w:themeFill="background1"/>
            <w:vAlign w:val="center"/>
            <w:hideMark/>
          </w:tcPr>
          <w:p w14:paraId="7B5FCEAB" w14:textId="77777777" w:rsidR="00435688" w:rsidRPr="00411D9E" w:rsidRDefault="0043568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Contraceptive Care for Postpartum Women (Age 15–20 years): LARC—60 days</w:t>
            </w:r>
          </w:p>
        </w:tc>
        <w:tc>
          <w:tcPr>
            <w:tcW w:w="312" w:type="pct"/>
            <w:shd w:val="clear" w:color="000000" w:fill="FFFFFF"/>
            <w:noWrap/>
            <w:vAlign w:val="center"/>
          </w:tcPr>
          <w:p w14:paraId="25887CEB" w14:textId="77777777" w:rsidR="00435688" w:rsidRPr="00411D9E" w:rsidRDefault="00435688" w:rsidP="00FF262E">
            <w:pPr>
              <w:jc w:val="center"/>
              <w:rPr>
                <w:rFonts w:cstheme="minorHAnsi"/>
                <w:sz w:val="20"/>
                <w:szCs w:val="20"/>
              </w:rPr>
            </w:pPr>
            <w:r w:rsidRPr="00411D9E">
              <w:rPr>
                <w:rFonts w:cstheme="minorHAnsi"/>
                <w:sz w:val="20"/>
                <w:szCs w:val="20"/>
              </w:rPr>
              <w:t>4</w:t>
            </w:r>
          </w:p>
        </w:tc>
        <w:tc>
          <w:tcPr>
            <w:tcW w:w="281" w:type="pct"/>
            <w:shd w:val="clear" w:color="000000" w:fill="FFFFFF"/>
            <w:vAlign w:val="center"/>
          </w:tcPr>
          <w:p w14:paraId="002D1486" w14:textId="77777777" w:rsidR="00435688" w:rsidRPr="00411D9E" w:rsidRDefault="00435688" w:rsidP="00FF262E">
            <w:pPr>
              <w:jc w:val="center"/>
              <w:rPr>
                <w:rFonts w:cstheme="minorHAnsi"/>
                <w:sz w:val="20"/>
                <w:szCs w:val="20"/>
              </w:rPr>
            </w:pPr>
            <w:r w:rsidRPr="00411D9E">
              <w:rPr>
                <w:rFonts w:cstheme="minorHAnsi"/>
                <w:sz w:val="20"/>
                <w:szCs w:val="20"/>
              </w:rPr>
              <w:t>1</w:t>
            </w:r>
          </w:p>
        </w:tc>
        <w:tc>
          <w:tcPr>
            <w:tcW w:w="312" w:type="pct"/>
            <w:shd w:val="clear" w:color="000000" w:fill="FFFFFF"/>
            <w:vAlign w:val="center"/>
          </w:tcPr>
          <w:p w14:paraId="5C79014A" w14:textId="45BB0C4F" w:rsidR="00435688" w:rsidRPr="00411D9E" w:rsidRDefault="00435688" w:rsidP="00FF262E">
            <w:pPr>
              <w:jc w:val="center"/>
              <w:rPr>
                <w:rFonts w:cstheme="minorHAnsi"/>
                <w:b/>
                <w:bCs/>
                <w:sz w:val="20"/>
                <w:szCs w:val="20"/>
              </w:rPr>
            </w:pPr>
            <w:r w:rsidRPr="00411D9E">
              <w:rPr>
                <w:rFonts w:cstheme="minorHAnsi"/>
                <w:b/>
                <w:bCs/>
                <w:sz w:val="20"/>
                <w:szCs w:val="20"/>
              </w:rPr>
              <w:t>N/A</w:t>
            </w:r>
          </w:p>
        </w:tc>
        <w:tc>
          <w:tcPr>
            <w:tcW w:w="343" w:type="pct"/>
            <w:shd w:val="clear" w:color="000000" w:fill="FFFFFF"/>
            <w:noWrap/>
            <w:vAlign w:val="center"/>
          </w:tcPr>
          <w:p w14:paraId="29335EF5" w14:textId="6A78CA37" w:rsidR="00435688" w:rsidRPr="00411D9E" w:rsidRDefault="00435688" w:rsidP="00FF262E">
            <w:pPr>
              <w:jc w:val="center"/>
              <w:rPr>
                <w:rFonts w:cstheme="minorHAnsi"/>
                <w:sz w:val="20"/>
                <w:szCs w:val="20"/>
              </w:rPr>
            </w:pPr>
            <w:r w:rsidRPr="00411D9E">
              <w:rPr>
                <w:rFonts w:cstheme="minorHAnsi"/>
                <w:sz w:val="20"/>
                <w:szCs w:val="20"/>
              </w:rPr>
              <w:t>N/A</w:t>
            </w:r>
          </w:p>
        </w:tc>
        <w:tc>
          <w:tcPr>
            <w:tcW w:w="374" w:type="pct"/>
            <w:shd w:val="clear" w:color="000000" w:fill="FFFFFF"/>
            <w:noWrap/>
            <w:vAlign w:val="center"/>
          </w:tcPr>
          <w:p w14:paraId="32CEB485" w14:textId="1165E5E0"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3EF03226" w14:textId="1800740B"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1FC0C1DC" w14:textId="4987A845"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40D9D789" w14:textId="1C4D04B8"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002E689B" w14:textId="02EF7473" w:rsidR="00435688" w:rsidRPr="00411D9E" w:rsidRDefault="00435688" w:rsidP="00FF262E">
            <w:pPr>
              <w:jc w:val="center"/>
              <w:rPr>
                <w:rFonts w:cstheme="minorHAnsi"/>
                <w:sz w:val="20"/>
                <w:szCs w:val="20"/>
              </w:rPr>
            </w:pPr>
            <w:r w:rsidRPr="00411D9E">
              <w:rPr>
                <w:rFonts w:cstheme="minorHAnsi"/>
                <w:sz w:val="20"/>
                <w:szCs w:val="20"/>
              </w:rPr>
              <w:t>N/A</w:t>
            </w:r>
          </w:p>
        </w:tc>
        <w:tc>
          <w:tcPr>
            <w:tcW w:w="536" w:type="pct"/>
            <w:shd w:val="clear" w:color="000000" w:fill="FFFFFF"/>
            <w:vAlign w:val="center"/>
          </w:tcPr>
          <w:p w14:paraId="0F6FC0E1" w14:textId="77777777" w:rsidR="00435688" w:rsidRPr="00411D9E" w:rsidRDefault="00435688" w:rsidP="00FF262E">
            <w:pPr>
              <w:jc w:val="center"/>
              <w:rPr>
                <w:rFonts w:cstheme="minorHAnsi"/>
                <w:sz w:val="20"/>
                <w:szCs w:val="20"/>
              </w:rPr>
            </w:pPr>
            <w:r w:rsidRPr="00411D9E">
              <w:rPr>
                <w:rFonts w:cstheme="minorHAnsi"/>
                <w:sz w:val="20"/>
                <w:szCs w:val="20"/>
              </w:rPr>
              <w:t>NA</w:t>
            </w:r>
          </w:p>
        </w:tc>
      </w:tr>
      <w:tr w:rsidR="00435688" w:rsidRPr="00411D9E" w14:paraId="566DC93B" w14:textId="77777777" w:rsidTr="0053637F">
        <w:trPr>
          <w:cantSplit/>
          <w:trHeight w:val="359"/>
          <w:tblHeader/>
        </w:trPr>
        <w:tc>
          <w:tcPr>
            <w:tcW w:w="286" w:type="pct"/>
            <w:shd w:val="clear" w:color="auto" w:fill="FFFFFF" w:themeFill="background1"/>
            <w:vAlign w:val="center"/>
            <w:hideMark/>
          </w:tcPr>
          <w:p w14:paraId="3C6BF2E0" w14:textId="77777777" w:rsidR="00435688" w:rsidRPr="00411D9E" w:rsidRDefault="00435688" w:rsidP="00FF262E">
            <w:pPr>
              <w:ind w:right="-104"/>
              <w:jc w:val="left"/>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hideMark/>
          </w:tcPr>
          <w:p w14:paraId="14515DC2" w14:textId="77777777" w:rsidR="00435688" w:rsidRPr="00411D9E" w:rsidRDefault="00435688" w:rsidP="00FF262E">
            <w:pPr>
              <w:ind w:left="76"/>
              <w:jc w:val="left"/>
              <w:rPr>
                <w:rFonts w:eastAsia="Times New Roman" w:cstheme="minorHAnsi"/>
                <w:sz w:val="20"/>
                <w:szCs w:val="20"/>
                <w:lang w:bidi="ar-SA"/>
              </w:rPr>
            </w:pPr>
            <w:r w:rsidRPr="00411D9E">
              <w:rPr>
                <w:rFonts w:eastAsia="Times New Roman" w:cstheme="minorHAnsi"/>
                <w:sz w:val="20"/>
                <w:szCs w:val="20"/>
                <w:lang w:bidi="ar-SA"/>
              </w:rPr>
              <w:t>Pharmacotherapy for Opioid Use Disorder (16–19 years)</w:t>
            </w:r>
          </w:p>
        </w:tc>
        <w:tc>
          <w:tcPr>
            <w:tcW w:w="312" w:type="pct"/>
            <w:shd w:val="clear" w:color="000000" w:fill="FFFFFF"/>
            <w:noWrap/>
            <w:vAlign w:val="center"/>
          </w:tcPr>
          <w:p w14:paraId="1086A1EA" w14:textId="77777777" w:rsidR="00435688" w:rsidRPr="00411D9E" w:rsidRDefault="00435688" w:rsidP="00FF262E">
            <w:pPr>
              <w:jc w:val="center"/>
              <w:rPr>
                <w:rFonts w:cstheme="minorHAnsi"/>
                <w:sz w:val="20"/>
                <w:szCs w:val="20"/>
              </w:rPr>
            </w:pPr>
            <w:r w:rsidRPr="00411D9E">
              <w:rPr>
                <w:rFonts w:cstheme="minorHAnsi"/>
                <w:sz w:val="20"/>
                <w:szCs w:val="20"/>
              </w:rPr>
              <w:t>0</w:t>
            </w:r>
          </w:p>
        </w:tc>
        <w:tc>
          <w:tcPr>
            <w:tcW w:w="281" w:type="pct"/>
            <w:shd w:val="clear" w:color="000000" w:fill="FFFFFF"/>
            <w:vAlign w:val="center"/>
          </w:tcPr>
          <w:p w14:paraId="17FE3799" w14:textId="77777777" w:rsidR="00435688" w:rsidRPr="00411D9E" w:rsidRDefault="00435688" w:rsidP="00FF262E">
            <w:pPr>
              <w:jc w:val="center"/>
              <w:rPr>
                <w:rFonts w:cstheme="minorHAnsi"/>
                <w:sz w:val="20"/>
                <w:szCs w:val="20"/>
              </w:rPr>
            </w:pPr>
            <w:r w:rsidRPr="00411D9E">
              <w:rPr>
                <w:rFonts w:cstheme="minorHAnsi"/>
                <w:sz w:val="20"/>
                <w:szCs w:val="20"/>
              </w:rPr>
              <w:t>0</w:t>
            </w:r>
          </w:p>
        </w:tc>
        <w:tc>
          <w:tcPr>
            <w:tcW w:w="312" w:type="pct"/>
            <w:shd w:val="clear" w:color="000000" w:fill="FFFFFF"/>
            <w:vAlign w:val="center"/>
          </w:tcPr>
          <w:p w14:paraId="0EA794CB" w14:textId="07E00442" w:rsidR="00435688" w:rsidRPr="00411D9E" w:rsidRDefault="00435688" w:rsidP="00FF262E">
            <w:pPr>
              <w:jc w:val="center"/>
              <w:rPr>
                <w:rFonts w:cstheme="minorHAnsi"/>
                <w:b/>
                <w:bCs/>
                <w:sz w:val="20"/>
                <w:szCs w:val="20"/>
              </w:rPr>
            </w:pPr>
            <w:r w:rsidRPr="00411D9E">
              <w:rPr>
                <w:rFonts w:cstheme="minorHAnsi"/>
                <w:b/>
                <w:bCs/>
                <w:sz w:val="20"/>
                <w:szCs w:val="20"/>
              </w:rPr>
              <w:t>N/A</w:t>
            </w:r>
          </w:p>
        </w:tc>
        <w:tc>
          <w:tcPr>
            <w:tcW w:w="343" w:type="pct"/>
            <w:shd w:val="clear" w:color="000000" w:fill="FFFFFF"/>
            <w:noWrap/>
            <w:vAlign w:val="center"/>
          </w:tcPr>
          <w:p w14:paraId="4E03E9AA" w14:textId="5BAB0644" w:rsidR="00435688" w:rsidRPr="00411D9E" w:rsidRDefault="00435688" w:rsidP="00FF262E">
            <w:pPr>
              <w:jc w:val="center"/>
              <w:rPr>
                <w:rFonts w:cstheme="minorHAnsi"/>
                <w:sz w:val="20"/>
                <w:szCs w:val="20"/>
              </w:rPr>
            </w:pPr>
            <w:r w:rsidRPr="00411D9E">
              <w:rPr>
                <w:rFonts w:cstheme="minorHAnsi"/>
                <w:sz w:val="20"/>
                <w:szCs w:val="20"/>
              </w:rPr>
              <w:t>N/A</w:t>
            </w:r>
          </w:p>
        </w:tc>
        <w:tc>
          <w:tcPr>
            <w:tcW w:w="374" w:type="pct"/>
            <w:shd w:val="clear" w:color="000000" w:fill="FFFFFF"/>
            <w:noWrap/>
            <w:vAlign w:val="center"/>
          </w:tcPr>
          <w:p w14:paraId="07280843" w14:textId="17F67889"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vAlign w:val="center"/>
          </w:tcPr>
          <w:p w14:paraId="25D19C3A" w14:textId="38371952" w:rsidR="00435688" w:rsidRPr="00411D9E" w:rsidRDefault="00435688" w:rsidP="00FF262E">
            <w:pPr>
              <w:jc w:val="center"/>
              <w:rPr>
                <w:rFonts w:cstheme="minorHAnsi"/>
                <w:sz w:val="20"/>
                <w:szCs w:val="20"/>
              </w:rPr>
            </w:pPr>
            <w:r w:rsidRPr="00411D9E">
              <w:rPr>
                <w:rFonts w:cstheme="minorHAnsi"/>
                <w:sz w:val="20"/>
                <w:szCs w:val="20"/>
              </w:rPr>
              <w:t>N/A</w:t>
            </w:r>
          </w:p>
        </w:tc>
        <w:tc>
          <w:tcPr>
            <w:tcW w:w="405" w:type="pct"/>
            <w:shd w:val="clear" w:color="000000" w:fill="FFFFFF"/>
            <w:noWrap/>
            <w:vAlign w:val="center"/>
          </w:tcPr>
          <w:p w14:paraId="75632526" w14:textId="25BA6F77"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vAlign w:val="center"/>
          </w:tcPr>
          <w:p w14:paraId="779518F7" w14:textId="1405466F" w:rsidR="00435688" w:rsidRPr="00411D9E" w:rsidRDefault="00435688" w:rsidP="00FF262E">
            <w:pPr>
              <w:jc w:val="center"/>
              <w:rPr>
                <w:rFonts w:cstheme="minorHAnsi"/>
                <w:sz w:val="20"/>
                <w:szCs w:val="20"/>
              </w:rPr>
            </w:pPr>
            <w:r w:rsidRPr="00411D9E">
              <w:rPr>
                <w:rFonts w:cstheme="minorHAnsi"/>
                <w:sz w:val="20"/>
                <w:szCs w:val="20"/>
              </w:rPr>
              <w:t>N/A</w:t>
            </w:r>
          </w:p>
        </w:tc>
        <w:tc>
          <w:tcPr>
            <w:tcW w:w="343" w:type="pct"/>
            <w:shd w:val="clear" w:color="000000" w:fill="FFFFFF"/>
            <w:noWrap/>
            <w:vAlign w:val="center"/>
          </w:tcPr>
          <w:p w14:paraId="2DEBA6CE" w14:textId="288DC6C4" w:rsidR="00435688" w:rsidRPr="00411D9E" w:rsidRDefault="00435688" w:rsidP="00FF262E">
            <w:pPr>
              <w:jc w:val="center"/>
              <w:rPr>
                <w:rFonts w:cstheme="minorHAnsi"/>
                <w:sz w:val="20"/>
                <w:szCs w:val="20"/>
              </w:rPr>
            </w:pPr>
            <w:r w:rsidRPr="00411D9E">
              <w:rPr>
                <w:rFonts w:cstheme="minorHAnsi"/>
                <w:sz w:val="20"/>
                <w:szCs w:val="20"/>
              </w:rPr>
              <w:t>N/A</w:t>
            </w:r>
          </w:p>
        </w:tc>
        <w:tc>
          <w:tcPr>
            <w:tcW w:w="536" w:type="pct"/>
            <w:shd w:val="clear" w:color="000000" w:fill="FFFFFF"/>
            <w:vAlign w:val="center"/>
          </w:tcPr>
          <w:p w14:paraId="446AF60A" w14:textId="77777777" w:rsidR="00435688" w:rsidRPr="00411D9E" w:rsidRDefault="00435688" w:rsidP="00FF262E">
            <w:pPr>
              <w:jc w:val="center"/>
              <w:rPr>
                <w:rFonts w:cstheme="minorHAnsi"/>
                <w:sz w:val="20"/>
                <w:szCs w:val="20"/>
              </w:rPr>
            </w:pPr>
            <w:r w:rsidRPr="00411D9E">
              <w:rPr>
                <w:rFonts w:cstheme="minorHAnsi"/>
                <w:sz w:val="20"/>
                <w:szCs w:val="20"/>
              </w:rPr>
              <w:t>NA</w:t>
            </w:r>
          </w:p>
        </w:tc>
      </w:tr>
    </w:tbl>
    <w:p w14:paraId="044DD159" w14:textId="77777777" w:rsidR="0053637F" w:rsidRPr="00411D9E" w:rsidRDefault="0053637F" w:rsidP="0053637F">
      <w:pPr>
        <w:jc w:val="left"/>
        <w:rPr>
          <w:sz w:val="20"/>
          <w:szCs w:val="20"/>
        </w:rPr>
      </w:pPr>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w:t>
      </w:r>
      <w:r w:rsidRPr="00411D9E">
        <w:rPr>
          <w:rFonts w:cstheme="minorHAnsi"/>
          <w:sz w:val="20"/>
          <w:szCs w:val="20"/>
        </w:rPr>
        <w:t>−</w:t>
      </w:r>
      <w:r w:rsidRPr="00411D9E">
        <w:rPr>
          <w:sz w:val="20"/>
          <w:szCs w:val="20"/>
        </w:rPr>
        <w:t>,” and no statistically significant change by “</w:t>
      </w:r>
      <w:proofErr w:type="spellStart"/>
      <w:r w:rsidRPr="00411D9E">
        <w:rPr>
          <w:sz w:val="20"/>
          <w:szCs w:val="20"/>
        </w:rPr>
        <w:t>n.s</w:t>
      </w:r>
      <w:proofErr w:type="spellEnd"/>
      <w:r w:rsidRPr="00411D9E">
        <w:rPr>
          <w:sz w:val="20"/>
          <w:szCs w:val="20"/>
        </w:rPr>
        <w:t xml:space="preserve">.” </w:t>
      </w:r>
      <w:r w:rsidRPr="00411D9E">
        <w:rPr>
          <w:bCs/>
          <w:sz w:val="20"/>
          <w:szCs w:val="20"/>
        </w:rPr>
        <w:t>For comparison of MY 2020 rates to CHIP MMC rates, the “+” denotes that the plan rate exceeds the CHIP MMC rate, the “</w:t>
      </w:r>
      <w:r w:rsidRPr="00411D9E">
        <w:rPr>
          <w:rFonts w:cstheme="minorHAnsi"/>
          <w:sz w:val="20"/>
          <w:szCs w:val="20"/>
        </w:rPr>
        <w:t>−</w:t>
      </w:r>
      <w:r w:rsidRPr="00411D9E">
        <w:rPr>
          <w:bCs/>
          <w:sz w:val="20"/>
          <w:szCs w:val="20"/>
        </w:rPr>
        <w:t>” denotes that the MMC rate exceeds the plan rate, and “</w:t>
      </w:r>
      <w:proofErr w:type="spellStart"/>
      <w:r w:rsidRPr="00411D9E">
        <w:rPr>
          <w:bCs/>
          <w:sz w:val="20"/>
          <w:szCs w:val="20"/>
        </w:rPr>
        <w:t>n.s</w:t>
      </w:r>
      <w:proofErr w:type="spellEnd"/>
      <w:r w:rsidRPr="00411D9E">
        <w:rPr>
          <w:bCs/>
          <w:sz w:val="20"/>
          <w:szCs w:val="20"/>
        </w:rPr>
        <w:t>.” denotes no statistically significant difference between the two rates.</w:t>
      </w:r>
    </w:p>
    <w:p w14:paraId="4CCDAFFA" w14:textId="16D5986C" w:rsidR="005C3D48" w:rsidRPr="00411D9E" w:rsidRDefault="0053637F" w:rsidP="0053637F">
      <w:pPr>
        <w:jc w:val="left"/>
        <w:rPr>
          <w:sz w:val="20"/>
          <w:szCs w:val="20"/>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w:t>
      </w:r>
    </w:p>
    <w:p w14:paraId="09E4F7F8" w14:textId="77777777" w:rsidR="005C3D48" w:rsidRPr="00411D9E" w:rsidRDefault="005C3D48" w:rsidP="005C3D48">
      <w:pPr>
        <w:spacing w:after="200" w:line="276" w:lineRule="auto"/>
        <w:jc w:val="left"/>
        <w:rPr>
          <w:rFonts w:asciiTheme="majorHAnsi" w:eastAsiaTheme="majorEastAsia" w:hAnsiTheme="majorHAnsi" w:cstheme="majorBidi"/>
          <w:b/>
          <w:bCs/>
          <w:color w:val="4F81BD" w:themeColor="accent1"/>
        </w:rPr>
      </w:pPr>
      <w:bookmarkStart w:id="118" w:name="_Toc70508379"/>
      <w:r w:rsidRPr="00411D9E">
        <w:br w:type="page"/>
      </w:r>
    </w:p>
    <w:p w14:paraId="30099905" w14:textId="77777777" w:rsidR="005C3D48" w:rsidRPr="00411D9E" w:rsidRDefault="005C3D48" w:rsidP="005C3D48">
      <w:pPr>
        <w:pStyle w:val="Heading3"/>
      </w:pPr>
      <w:bookmarkStart w:id="119" w:name="_Toc99026952"/>
      <w:r w:rsidRPr="00411D9E">
        <w:lastRenderedPageBreak/>
        <w:t>Well-Care Visits and Immunizations</w:t>
      </w:r>
      <w:bookmarkEnd w:id="118"/>
      <w:bookmarkEnd w:id="119"/>
    </w:p>
    <w:p w14:paraId="7B4029EF" w14:textId="77777777" w:rsidR="005C3D48" w:rsidRPr="00411D9E" w:rsidRDefault="005C3D48" w:rsidP="005C3D48">
      <w:pPr>
        <w:rPr>
          <w:bCs/>
        </w:rPr>
      </w:pPr>
      <w:r w:rsidRPr="00411D9E">
        <w:t>Strengths are identified for the following 2021 (MY 2020) Well-Care Visits and Immunizations</w:t>
      </w:r>
      <w:r w:rsidRPr="00411D9E">
        <w:rPr>
          <w:bCs/>
        </w:rPr>
        <w:t xml:space="preserve"> performance measures.</w:t>
      </w:r>
    </w:p>
    <w:p w14:paraId="67959CD9" w14:textId="77777777" w:rsidR="005C3D48" w:rsidRPr="00411D9E" w:rsidRDefault="005C3D48" w:rsidP="00A0110E">
      <w:pPr>
        <w:pStyle w:val="ListParagraph"/>
        <w:numPr>
          <w:ilvl w:val="0"/>
          <w:numId w:val="22"/>
        </w:numPr>
        <w:ind w:left="1080"/>
      </w:pPr>
      <w:r w:rsidRPr="00411D9E">
        <w:t>The following rates are statistically significantly above/better than the 2021 MMC weighted average:</w:t>
      </w:r>
    </w:p>
    <w:p w14:paraId="71AF27BE" w14:textId="77777777" w:rsidR="005C3D48" w:rsidRPr="00411D9E" w:rsidRDefault="005C3D48" w:rsidP="00A0110E">
      <w:pPr>
        <w:pStyle w:val="ListParagraph"/>
        <w:numPr>
          <w:ilvl w:val="1"/>
          <w:numId w:val="22"/>
        </w:numPr>
      </w:pPr>
      <w:r w:rsidRPr="00411D9E">
        <w:t>Weight Assessment and Counseling for Nutrition and Physical Activity for Children/Adolescents—BMI percentile (12–17 years).</w:t>
      </w:r>
    </w:p>
    <w:p w14:paraId="679487FA" w14:textId="77777777" w:rsidR="005C3D48" w:rsidRPr="00411D9E" w:rsidRDefault="005C3D48" w:rsidP="005C3D48">
      <w:pPr>
        <w:pStyle w:val="ListParagraph"/>
        <w:ind w:left="1440"/>
      </w:pPr>
    </w:p>
    <w:p w14:paraId="483167A6" w14:textId="77777777" w:rsidR="005C3D48" w:rsidRPr="00411D9E" w:rsidRDefault="005C3D48" w:rsidP="005C3D48">
      <w:r w:rsidRPr="00411D9E">
        <w:t>Opportunities for improvement are identified for the following Well-Care Visits and Immunizations performance measures.</w:t>
      </w:r>
    </w:p>
    <w:p w14:paraId="2A621F60" w14:textId="77777777" w:rsidR="005C3D48" w:rsidRPr="00411D9E" w:rsidRDefault="005C3D48" w:rsidP="00A0110E">
      <w:pPr>
        <w:pStyle w:val="ListParagraph"/>
        <w:numPr>
          <w:ilvl w:val="0"/>
          <w:numId w:val="22"/>
        </w:numPr>
        <w:ind w:left="1080"/>
      </w:pPr>
      <w:r w:rsidRPr="00411D9E">
        <w:t xml:space="preserve">The following rates are statistically </w:t>
      </w:r>
      <w:r w:rsidRPr="00411D9E">
        <w:rPr>
          <w:rFonts w:eastAsiaTheme="minorEastAsia"/>
          <w:lang w:bidi="en-US"/>
        </w:rPr>
        <w:t>significantly below/worse</w:t>
      </w:r>
      <w:r w:rsidRPr="00411D9E">
        <w:t xml:space="preserve"> than the 2021 MMC weighted average:</w:t>
      </w:r>
    </w:p>
    <w:p w14:paraId="115A7813" w14:textId="77777777" w:rsidR="005C3D48" w:rsidRPr="00411D9E" w:rsidRDefault="005C3D48" w:rsidP="00A0110E">
      <w:pPr>
        <w:pStyle w:val="ListParagraph"/>
        <w:numPr>
          <w:ilvl w:val="1"/>
          <w:numId w:val="22"/>
        </w:numPr>
      </w:pPr>
      <w:r w:rsidRPr="00411D9E">
        <w:t>Immunizations for Adolescents—HPV; and</w:t>
      </w:r>
    </w:p>
    <w:p w14:paraId="56BD2E58" w14:textId="77777777" w:rsidR="005C3D48" w:rsidRPr="00411D9E" w:rsidRDefault="005C3D48" w:rsidP="00A0110E">
      <w:pPr>
        <w:pStyle w:val="ListParagraph"/>
        <w:numPr>
          <w:ilvl w:val="1"/>
          <w:numId w:val="22"/>
        </w:numPr>
      </w:pPr>
      <w:r w:rsidRPr="00411D9E">
        <w:t>Immunizations for Adolescents—Combination 2.</w:t>
      </w:r>
    </w:p>
    <w:p w14:paraId="32A7BDB6" w14:textId="77777777" w:rsidR="005C3D48" w:rsidRPr="00411D9E" w:rsidRDefault="005C3D48" w:rsidP="005C3D48">
      <w:pPr>
        <w:pStyle w:val="tableheading"/>
      </w:pPr>
      <w:bookmarkStart w:id="120" w:name="_Toc478563553"/>
      <w:bookmarkStart w:id="121" w:name="_Toc512521052"/>
      <w:bookmarkStart w:id="122" w:name="_Toc70508411"/>
      <w:bookmarkStart w:id="123" w:name="_Toc99026988"/>
      <w:r w:rsidRPr="00411D9E">
        <w:t>Table 2.3: Well-Care Visits and Immunizations</w:t>
      </w:r>
      <w:bookmarkEnd w:id="120"/>
      <w:bookmarkEnd w:id="121"/>
      <w:bookmarkEnd w:id="122"/>
      <w:bookmarkEnd w:id="123"/>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3"/>
        <w:gridCol w:w="3859"/>
        <w:gridCol w:w="720"/>
        <w:gridCol w:w="720"/>
        <w:gridCol w:w="717"/>
        <w:gridCol w:w="1076"/>
        <w:gridCol w:w="1168"/>
        <w:gridCol w:w="987"/>
        <w:gridCol w:w="987"/>
        <w:gridCol w:w="826"/>
        <w:gridCol w:w="970"/>
        <w:gridCol w:w="1537"/>
      </w:tblGrid>
      <w:tr w:rsidR="005C3D48" w:rsidRPr="00411D9E" w14:paraId="093CA15E" w14:textId="77777777" w:rsidTr="00FF262E">
        <w:trPr>
          <w:cantSplit/>
          <w:trHeight w:val="287"/>
          <w:tblHeader/>
        </w:trPr>
        <w:tc>
          <w:tcPr>
            <w:tcW w:w="1627" w:type="pct"/>
            <w:gridSpan w:val="2"/>
            <w:shd w:val="clear" w:color="000000" w:fill="5F497A"/>
            <w:vAlign w:val="bottom"/>
            <w:hideMark/>
          </w:tcPr>
          <w:p w14:paraId="6825BD7D"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Indicator</w:t>
            </w:r>
          </w:p>
        </w:tc>
        <w:tc>
          <w:tcPr>
            <w:tcW w:w="1529" w:type="pct"/>
            <w:gridSpan w:val="5"/>
            <w:shd w:val="clear" w:color="000000" w:fill="5F497A"/>
            <w:vAlign w:val="bottom"/>
            <w:hideMark/>
          </w:tcPr>
          <w:p w14:paraId="0AE36477"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(MY 2020)</w:t>
            </w:r>
          </w:p>
        </w:tc>
        <w:tc>
          <w:tcPr>
            <w:tcW w:w="1844" w:type="pct"/>
            <w:gridSpan w:val="5"/>
            <w:shd w:val="clear" w:color="000000" w:fill="5F497A"/>
            <w:vAlign w:val="bottom"/>
            <w:hideMark/>
          </w:tcPr>
          <w:p w14:paraId="5091ECF7" w14:textId="4734DC68" w:rsidR="005C3D48" w:rsidRPr="00411D9E" w:rsidRDefault="005C3D48" w:rsidP="00FF262E">
            <w:pPr>
              <w:jc w:val="center"/>
              <w:rPr>
                <w:rFonts w:eastAsia="Times New Roman" w:cstheme="minorHAnsi"/>
                <w:b/>
                <w:color w:val="FFFFFF"/>
                <w:sz w:val="20"/>
                <w:szCs w:val="20"/>
                <w:vertAlign w:val="superscript"/>
                <w:lang w:bidi="ar-SA"/>
              </w:rPr>
            </w:pPr>
            <w:r w:rsidRPr="00411D9E">
              <w:rPr>
                <w:rFonts w:eastAsia="Times New Roman" w:cstheme="minorHAnsi"/>
                <w:b/>
                <w:color w:val="FFFFFF"/>
                <w:sz w:val="20"/>
                <w:szCs w:val="20"/>
                <w:lang w:bidi="ar-SA"/>
              </w:rPr>
              <w:t>Rate Comparison</w:t>
            </w:r>
            <w:r w:rsidR="00FF262E" w:rsidRPr="00411D9E">
              <w:rPr>
                <w:rFonts w:eastAsia="Times New Roman" w:cstheme="minorHAnsi"/>
                <w:b/>
                <w:color w:val="FFFFFF"/>
                <w:sz w:val="20"/>
                <w:szCs w:val="20"/>
                <w:vertAlign w:val="superscript"/>
                <w:lang w:bidi="ar-SA"/>
              </w:rPr>
              <w:t>1</w:t>
            </w:r>
          </w:p>
        </w:tc>
      </w:tr>
      <w:tr w:rsidR="005C3D48" w:rsidRPr="00411D9E" w14:paraId="68EDD5AB" w14:textId="77777777" w:rsidTr="00FF262E">
        <w:trPr>
          <w:cantSplit/>
          <w:trHeight w:val="67"/>
          <w:tblHeader/>
        </w:trPr>
        <w:tc>
          <w:tcPr>
            <w:tcW w:w="286" w:type="pct"/>
            <w:shd w:val="clear" w:color="000000" w:fill="5F497A"/>
            <w:vAlign w:val="bottom"/>
            <w:hideMark/>
          </w:tcPr>
          <w:p w14:paraId="76073A42"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Source</w:t>
            </w:r>
          </w:p>
        </w:tc>
        <w:tc>
          <w:tcPr>
            <w:tcW w:w="1341" w:type="pct"/>
            <w:shd w:val="clear" w:color="000000" w:fill="5F497A"/>
            <w:vAlign w:val="bottom"/>
            <w:hideMark/>
          </w:tcPr>
          <w:p w14:paraId="0E52EF24"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Name</w:t>
            </w:r>
          </w:p>
        </w:tc>
        <w:tc>
          <w:tcPr>
            <w:tcW w:w="250" w:type="pct"/>
            <w:shd w:val="clear" w:color="000000" w:fill="5F497A"/>
            <w:vAlign w:val="bottom"/>
            <w:hideMark/>
          </w:tcPr>
          <w:p w14:paraId="1EACE09E" w14:textId="77777777" w:rsidR="005C3D48" w:rsidRPr="00411D9E" w:rsidRDefault="005C3D48" w:rsidP="00FF262E">
            <w:pPr>
              <w:jc w:val="center"/>
              <w:rPr>
                <w:rFonts w:eastAsia="Times New Roman" w:cstheme="minorHAnsi"/>
                <w:b/>
                <w:color w:val="FFFFFF"/>
                <w:sz w:val="20"/>
                <w:szCs w:val="20"/>
                <w:lang w:bidi="ar-SA"/>
              </w:rPr>
            </w:pPr>
            <w:proofErr w:type="spellStart"/>
            <w:r w:rsidRPr="00411D9E">
              <w:rPr>
                <w:rFonts w:eastAsia="Times New Roman" w:cstheme="minorHAnsi"/>
                <w:b/>
                <w:color w:val="FFFFFF"/>
                <w:sz w:val="20"/>
                <w:szCs w:val="20"/>
                <w:lang w:bidi="ar-SA"/>
              </w:rPr>
              <w:t>Denom</w:t>
            </w:r>
            <w:proofErr w:type="spellEnd"/>
          </w:p>
        </w:tc>
        <w:tc>
          <w:tcPr>
            <w:tcW w:w="250" w:type="pct"/>
            <w:shd w:val="clear" w:color="000000" w:fill="5F497A"/>
            <w:vAlign w:val="bottom"/>
            <w:hideMark/>
          </w:tcPr>
          <w:p w14:paraId="6931CB23"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Num</w:t>
            </w:r>
          </w:p>
        </w:tc>
        <w:tc>
          <w:tcPr>
            <w:tcW w:w="249" w:type="pct"/>
            <w:shd w:val="clear" w:color="000000" w:fill="5F497A"/>
            <w:vAlign w:val="bottom"/>
            <w:hideMark/>
          </w:tcPr>
          <w:p w14:paraId="364AF155"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Rate</w:t>
            </w:r>
          </w:p>
        </w:tc>
        <w:tc>
          <w:tcPr>
            <w:tcW w:w="374" w:type="pct"/>
            <w:shd w:val="clear" w:color="000000" w:fill="5F497A"/>
            <w:vAlign w:val="bottom"/>
            <w:hideMark/>
          </w:tcPr>
          <w:p w14:paraId="741907C4"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Lower 95% Confidence Limit</w:t>
            </w:r>
          </w:p>
        </w:tc>
        <w:tc>
          <w:tcPr>
            <w:tcW w:w="406" w:type="pct"/>
            <w:shd w:val="clear" w:color="000000" w:fill="5F497A"/>
            <w:vAlign w:val="bottom"/>
            <w:hideMark/>
          </w:tcPr>
          <w:p w14:paraId="7F4BEBC0"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Upper 95% Confidence Limit</w:t>
            </w:r>
          </w:p>
        </w:tc>
        <w:tc>
          <w:tcPr>
            <w:tcW w:w="343" w:type="pct"/>
            <w:shd w:val="clear" w:color="000000" w:fill="5F497A"/>
            <w:vAlign w:val="bottom"/>
            <w:hideMark/>
          </w:tcPr>
          <w:p w14:paraId="1EA02734"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2020 (MY 2019) Rate</w:t>
            </w:r>
          </w:p>
        </w:tc>
        <w:tc>
          <w:tcPr>
            <w:tcW w:w="343" w:type="pct"/>
            <w:shd w:val="clear" w:color="000000" w:fill="5F497A"/>
            <w:vAlign w:val="bottom"/>
            <w:hideMark/>
          </w:tcPr>
          <w:p w14:paraId="010CB283"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Rate Compared to 2020</w:t>
            </w:r>
          </w:p>
        </w:tc>
        <w:tc>
          <w:tcPr>
            <w:tcW w:w="287" w:type="pct"/>
            <w:shd w:val="clear" w:color="000000" w:fill="5F497A"/>
            <w:vAlign w:val="bottom"/>
            <w:hideMark/>
          </w:tcPr>
          <w:p w14:paraId="5F28FD0A"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MMC</w:t>
            </w:r>
          </w:p>
        </w:tc>
        <w:tc>
          <w:tcPr>
            <w:tcW w:w="337" w:type="pct"/>
            <w:shd w:val="clear" w:color="000000" w:fill="5F497A"/>
            <w:vAlign w:val="bottom"/>
            <w:hideMark/>
          </w:tcPr>
          <w:p w14:paraId="42806457"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Rate Compared to MMC</w:t>
            </w:r>
          </w:p>
        </w:tc>
        <w:tc>
          <w:tcPr>
            <w:tcW w:w="534" w:type="pct"/>
            <w:shd w:val="clear" w:color="000000" w:fill="5F497A"/>
            <w:vAlign w:val="bottom"/>
            <w:hideMark/>
          </w:tcPr>
          <w:p w14:paraId="52963EA3"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HEDIS 2021 Percentile</w:t>
            </w:r>
          </w:p>
        </w:tc>
      </w:tr>
      <w:tr w:rsidR="005C3D48" w:rsidRPr="00411D9E" w14:paraId="4A8B2384" w14:textId="77777777" w:rsidTr="00FF262E">
        <w:trPr>
          <w:cantSplit/>
          <w:trHeight w:val="67"/>
        </w:trPr>
        <w:tc>
          <w:tcPr>
            <w:tcW w:w="286" w:type="pct"/>
            <w:shd w:val="clear" w:color="auto" w:fill="FFFFFF" w:themeFill="background1"/>
            <w:vAlign w:val="center"/>
            <w:hideMark/>
          </w:tcPr>
          <w:p w14:paraId="072AF4E4"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1601744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BMI percentile (3–11 years)</w:t>
            </w:r>
          </w:p>
        </w:tc>
        <w:tc>
          <w:tcPr>
            <w:tcW w:w="250" w:type="pct"/>
            <w:shd w:val="clear" w:color="000000" w:fill="FFFFFF"/>
            <w:noWrap/>
            <w:vAlign w:val="center"/>
            <w:hideMark/>
          </w:tcPr>
          <w:p w14:paraId="50D7343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3,433</w:t>
            </w:r>
          </w:p>
        </w:tc>
        <w:tc>
          <w:tcPr>
            <w:tcW w:w="250" w:type="pct"/>
            <w:shd w:val="clear" w:color="000000" w:fill="FFFFFF"/>
            <w:vAlign w:val="center"/>
            <w:hideMark/>
          </w:tcPr>
          <w:p w14:paraId="6AFA188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139</w:t>
            </w:r>
          </w:p>
        </w:tc>
        <w:tc>
          <w:tcPr>
            <w:tcW w:w="249" w:type="pct"/>
            <w:shd w:val="clear" w:color="000000" w:fill="FFFFFF"/>
            <w:vAlign w:val="center"/>
            <w:hideMark/>
          </w:tcPr>
          <w:p w14:paraId="178D2136"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84.8%</w:t>
            </w:r>
          </w:p>
        </w:tc>
        <w:tc>
          <w:tcPr>
            <w:tcW w:w="374" w:type="pct"/>
            <w:shd w:val="clear" w:color="000000" w:fill="FFFFFF"/>
            <w:noWrap/>
            <w:vAlign w:val="center"/>
          </w:tcPr>
          <w:p w14:paraId="1C3FC07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83.5%</w:t>
            </w:r>
          </w:p>
        </w:tc>
        <w:tc>
          <w:tcPr>
            <w:tcW w:w="406" w:type="pct"/>
            <w:shd w:val="clear" w:color="000000" w:fill="FFFFFF"/>
            <w:noWrap/>
            <w:vAlign w:val="center"/>
          </w:tcPr>
          <w:p w14:paraId="54C6DF9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86.0%</w:t>
            </w:r>
          </w:p>
        </w:tc>
        <w:tc>
          <w:tcPr>
            <w:tcW w:w="343" w:type="pct"/>
            <w:shd w:val="clear" w:color="000000" w:fill="FFFFFF"/>
            <w:noWrap/>
            <w:vAlign w:val="center"/>
          </w:tcPr>
          <w:p w14:paraId="6C7C2ED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84.6%</w:t>
            </w:r>
          </w:p>
        </w:tc>
        <w:tc>
          <w:tcPr>
            <w:tcW w:w="343" w:type="pct"/>
            <w:shd w:val="clear" w:color="000000" w:fill="FFFFFF"/>
            <w:noWrap/>
            <w:vAlign w:val="center"/>
          </w:tcPr>
          <w:p w14:paraId="731EEF62"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04D282C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83.4%</w:t>
            </w:r>
          </w:p>
        </w:tc>
        <w:tc>
          <w:tcPr>
            <w:tcW w:w="337" w:type="pct"/>
            <w:shd w:val="clear" w:color="000000" w:fill="FFFFFF"/>
            <w:noWrap/>
            <w:vAlign w:val="center"/>
          </w:tcPr>
          <w:p w14:paraId="1AF0EA9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2764367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5B029116" w14:textId="77777777" w:rsidTr="00FF262E">
        <w:trPr>
          <w:cantSplit/>
          <w:trHeight w:val="67"/>
        </w:trPr>
        <w:tc>
          <w:tcPr>
            <w:tcW w:w="286" w:type="pct"/>
            <w:shd w:val="clear" w:color="auto" w:fill="FFFFFF" w:themeFill="background1"/>
            <w:vAlign w:val="center"/>
            <w:hideMark/>
          </w:tcPr>
          <w:p w14:paraId="56DE4B14"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28F32D1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BMI percentile (12–17 years)</w:t>
            </w:r>
          </w:p>
        </w:tc>
        <w:tc>
          <w:tcPr>
            <w:tcW w:w="250" w:type="pct"/>
            <w:shd w:val="clear" w:color="000000" w:fill="FFFFFF"/>
            <w:noWrap/>
            <w:vAlign w:val="center"/>
            <w:hideMark/>
          </w:tcPr>
          <w:p w14:paraId="1415714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2,821</w:t>
            </w:r>
          </w:p>
        </w:tc>
        <w:tc>
          <w:tcPr>
            <w:tcW w:w="250" w:type="pct"/>
            <w:shd w:val="clear" w:color="000000" w:fill="FFFFFF"/>
            <w:vAlign w:val="center"/>
            <w:hideMark/>
          </w:tcPr>
          <w:p w14:paraId="15A73A7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120</w:t>
            </w:r>
          </w:p>
        </w:tc>
        <w:tc>
          <w:tcPr>
            <w:tcW w:w="249" w:type="pct"/>
            <w:shd w:val="clear" w:color="000000" w:fill="FFFFFF"/>
            <w:vAlign w:val="center"/>
            <w:hideMark/>
          </w:tcPr>
          <w:p w14:paraId="4B7A84E7"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85.1%</w:t>
            </w:r>
          </w:p>
        </w:tc>
        <w:tc>
          <w:tcPr>
            <w:tcW w:w="374" w:type="pct"/>
            <w:shd w:val="clear" w:color="000000" w:fill="FFFFFF"/>
            <w:noWrap/>
            <w:vAlign w:val="center"/>
          </w:tcPr>
          <w:p w14:paraId="3649690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83.8%</w:t>
            </w:r>
          </w:p>
        </w:tc>
        <w:tc>
          <w:tcPr>
            <w:tcW w:w="406" w:type="pct"/>
            <w:shd w:val="clear" w:color="000000" w:fill="FFFFFF"/>
            <w:noWrap/>
            <w:vAlign w:val="center"/>
          </w:tcPr>
          <w:p w14:paraId="395047C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86.4%</w:t>
            </w:r>
          </w:p>
        </w:tc>
        <w:tc>
          <w:tcPr>
            <w:tcW w:w="343" w:type="pct"/>
            <w:shd w:val="clear" w:color="000000" w:fill="FFFFFF"/>
            <w:noWrap/>
            <w:vAlign w:val="center"/>
          </w:tcPr>
          <w:p w14:paraId="57DF7E2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83.6%</w:t>
            </w:r>
          </w:p>
        </w:tc>
        <w:tc>
          <w:tcPr>
            <w:tcW w:w="343" w:type="pct"/>
            <w:shd w:val="clear" w:color="000000" w:fill="FFFFFF"/>
            <w:noWrap/>
            <w:vAlign w:val="center"/>
          </w:tcPr>
          <w:p w14:paraId="33F69F1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17420CC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80.7%</w:t>
            </w:r>
          </w:p>
        </w:tc>
        <w:tc>
          <w:tcPr>
            <w:tcW w:w="337" w:type="pct"/>
            <w:shd w:val="clear" w:color="000000" w:fill="FFFFFF"/>
            <w:noWrap/>
            <w:vAlign w:val="center"/>
          </w:tcPr>
          <w:p w14:paraId="5BF1C6F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656B28A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70EC4A3B" w14:textId="77777777" w:rsidTr="00FF262E">
        <w:trPr>
          <w:cantSplit/>
          <w:trHeight w:val="67"/>
        </w:trPr>
        <w:tc>
          <w:tcPr>
            <w:tcW w:w="286" w:type="pct"/>
            <w:shd w:val="clear" w:color="auto" w:fill="FFFFFF" w:themeFill="background1"/>
            <w:vAlign w:val="center"/>
            <w:hideMark/>
          </w:tcPr>
          <w:p w14:paraId="0C84E8B7"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61E0614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BMI percentile (Total)</w:t>
            </w:r>
          </w:p>
        </w:tc>
        <w:tc>
          <w:tcPr>
            <w:tcW w:w="250" w:type="pct"/>
            <w:shd w:val="clear" w:color="000000" w:fill="FFFFFF"/>
            <w:noWrap/>
            <w:vAlign w:val="center"/>
            <w:hideMark/>
          </w:tcPr>
          <w:p w14:paraId="78011F2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6,254</w:t>
            </w:r>
          </w:p>
        </w:tc>
        <w:tc>
          <w:tcPr>
            <w:tcW w:w="250" w:type="pct"/>
            <w:shd w:val="clear" w:color="000000" w:fill="FFFFFF"/>
            <w:vAlign w:val="center"/>
            <w:hideMark/>
          </w:tcPr>
          <w:p w14:paraId="5E163CF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259</w:t>
            </w:r>
          </w:p>
        </w:tc>
        <w:tc>
          <w:tcPr>
            <w:tcW w:w="249" w:type="pct"/>
            <w:shd w:val="clear" w:color="000000" w:fill="FFFFFF"/>
            <w:vAlign w:val="center"/>
            <w:hideMark/>
          </w:tcPr>
          <w:p w14:paraId="162DC958"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84.9%</w:t>
            </w:r>
          </w:p>
        </w:tc>
        <w:tc>
          <w:tcPr>
            <w:tcW w:w="374" w:type="pct"/>
            <w:shd w:val="clear" w:color="000000" w:fill="FFFFFF"/>
            <w:noWrap/>
            <w:vAlign w:val="center"/>
          </w:tcPr>
          <w:p w14:paraId="7591E0E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84.0%</w:t>
            </w:r>
          </w:p>
        </w:tc>
        <w:tc>
          <w:tcPr>
            <w:tcW w:w="406" w:type="pct"/>
            <w:shd w:val="clear" w:color="000000" w:fill="FFFFFF"/>
            <w:noWrap/>
            <w:vAlign w:val="center"/>
          </w:tcPr>
          <w:p w14:paraId="786CDC2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85.8%</w:t>
            </w:r>
          </w:p>
        </w:tc>
        <w:tc>
          <w:tcPr>
            <w:tcW w:w="343" w:type="pct"/>
            <w:shd w:val="clear" w:color="000000" w:fill="FFFFFF"/>
            <w:noWrap/>
            <w:vAlign w:val="center"/>
          </w:tcPr>
          <w:p w14:paraId="0346718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84.2%</w:t>
            </w:r>
          </w:p>
        </w:tc>
        <w:tc>
          <w:tcPr>
            <w:tcW w:w="343" w:type="pct"/>
            <w:shd w:val="clear" w:color="000000" w:fill="FFFFFF"/>
            <w:noWrap/>
            <w:vAlign w:val="center"/>
          </w:tcPr>
          <w:p w14:paraId="407D114B"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190D434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82.2%</w:t>
            </w:r>
          </w:p>
        </w:tc>
        <w:tc>
          <w:tcPr>
            <w:tcW w:w="337" w:type="pct"/>
            <w:shd w:val="clear" w:color="000000" w:fill="FFFFFF"/>
            <w:noWrap/>
            <w:vAlign w:val="center"/>
          </w:tcPr>
          <w:p w14:paraId="2CDA4A1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4D592BA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31691810" w14:textId="77777777" w:rsidTr="00FF262E">
        <w:trPr>
          <w:cantSplit/>
          <w:trHeight w:val="67"/>
        </w:trPr>
        <w:tc>
          <w:tcPr>
            <w:tcW w:w="286" w:type="pct"/>
            <w:shd w:val="clear" w:color="auto" w:fill="FFFFFF" w:themeFill="background1"/>
            <w:vAlign w:val="center"/>
            <w:hideMark/>
          </w:tcPr>
          <w:p w14:paraId="33E8ABDA"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00158BC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Counseling for Nutrition (3–11 years)</w:t>
            </w:r>
          </w:p>
        </w:tc>
        <w:tc>
          <w:tcPr>
            <w:tcW w:w="250" w:type="pct"/>
            <w:shd w:val="clear" w:color="000000" w:fill="FFFFFF"/>
            <w:noWrap/>
            <w:vAlign w:val="center"/>
            <w:hideMark/>
          </w:tcPr>
          <w:p w14:paraId="559F68D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3,433</w:t>
            </w:r>
          </w:p>
        </w:tc>
        <w:tc>
          <w:tcPr>
            <w:tcW w:w="250" w:type="pct"/>
            <w:shd w:val="clear" w:color="000000" w:fill="FFFFFF"/>
            <w:vAlign w:val="center"/>
            <w:hideMark/>
          </w:tcPr>
          <w:p w14:paraId="5F85F85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126</w:t>
            </w:r>
          </w:p>
        </w:tc>
        <w:tc>
          <w:tcPr>
            <w:tcW w:w="249" w:type="pct"/>
            <w:shd w:val="clear" w:color="000000" w:fill="FFFFFF"/>
            <w:vAlign w:val="center"/>
            <w:hideMark/>
          </w:tcPr>
          <w:p w14:paraId="319603B8"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76.8%</w:t>
            </w:r>
          </w:p>
        </w:tc>
        <w:tc>
          <w:tcPr>
            <w:tcW w:w="374" w:type="pct"/>
            <w:shd w:val="clear" w:color="000000" w:fill="FFFFFF"/>
            <w:noWrap/>
            <w:vAlign w:val="center"/>
          </w:tcPr>
          <w:p w14:paraId="63196DF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75.4%</w:t>
            </w:r>
          </w:p>
        </w:tc>
        <w:tc>
          <w:tcPr>
            <w:tcW w:w="406" w:type="pct"/>
            <w:shd w:val="clear" w:color="000000" w:fill="FFFFFF"/>
            <w:noWrap/>
            <w:vAlign w:val="center"/>
          </w:tcPr>
          <w:p w14:paraId="619C07C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78.3%</w:t>
            </w:r>
          </w:p>
        </w:tc>
        <w:tc>
          <w:tcPr>
            <w:tcW w:w="343" w:type="pct"/>
            <w:shd w:val="clear" w:color="000000" w:fill="FFFFFF"/>
            <w:noWrap/>
            <w:vAlign w:val="center"/>
          </w:tcPr>
          <w:p w14:paraId="39E22FF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78.5%</w:t>
            </w:r>
          </w:p>
        </w:tc>
        <w:tc>
          <w:tcPr>
            <w:tcW w:w="343" w:type="pct"/>
            <w:shd w:val="clear" w:color="000000" w:fill="FFFFFF"/>
            <w:noWrap/>
            <w:vAlign w:val="center"/>
          </w:tcPr>
          <w:p w14:paraId="3557AB3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7F50408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79.0%</w:t>
            </w:r>
          </w:p>
        </w:tc>
        <w:tc>
          <w:tcPr>
            <w:tcW w:w="337" w:type="pct"/>
            <w:shd w:val="clear" w:color="000000" w:fill="FFFFFF"/>
            <w:noWrap/>
            <w:vAlign w:val="center"/>
          </w:tcPr>
          <w:p w14:paraId="44C9972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04B8678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27BD4690" w14:textId="77777777" w:rsidTr="00FF262E">
        <w:trPr>
          <w:cantSplit/>
          <w:trHeight w:val="67"/>
        </w:trPr>
        <w:tc>
          <w:tcPr>
            <w:tcW w:w="286" w:type="pct"/>
            <w:shd w:val="clear" w:color="auto" w:fill="FFFFFF" w:themeFill="background1"/>
            <w:vAlign w:val="center"/>
            <w:hideMark/>
          </w:tcPr>
          <w:p w14:paraId="27CCEC1D"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7B8AE74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Counseling for Nutrition (12–17 years)</w:t>
            </w:r>
          </w:p>
        </w:tc>
        <w:tc>
          <w:tcPr>
            <w:tcW w:w="250" w:type="pct"/>
            <w:shd w:val="clear" w:color="000000" w:fill="FFFFFF"/>
            <w:noWrap/>
            <w:vAlign w:val="center"/>
            <w:hideMark/>
          </w:tcPr>
          <w:p w14:paraId="1AD696D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2,821</w:t>
            </w:r>
          </w:p>
        </w:tc>
        <w:tc>
          <w:tcPr>
            <w:tcW w:w="250" w:type="pct"/>
            <w:shd w:val="clear" w:color="000000" w:fill="FFFFFF"/>
            <w:vAlign w:val="center"/>
            <w:hideMark/>
          </w:tcPr>
          <w:p w14:paraId="35654AB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109</w:t>
            </w:r>
          </w:p>
        </w:tc>
        <w:tc>
          <w:tcPr>
            <w:tcW w:w="249" w:type="pct"/>
            <w:shd w:val="clear" w:color="000000" w:fill="FFFFFF"/>
            <w:vAlign w:val="center"/>
            <w:hideMark/>
          </w:tcPr>
          <w:p w14:paraId="09F00016"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77.3%</w:t>
            </w:r>
          </w:p>
        </w:tc>
        <w:tc>
          <w:tcPr>
            <w:tcW w:w="374" w:type="pct"/>
            <w:shd w:val="clear" w:color="000000" w:fill="FFFFFF"/>
            <w:noWrap/>
            <w:vAlign w:val="center"/>
          </w:tcPr>
          <w:p w14:paraId="574008E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75.7%</w:t>
            </w:r>
          </w:p>
        </w:tc>
        <w:tc>
          <w:tcPr>
            <w:tcW w:w="406" w:type="pct"/>
            <w:shd w:val="clear" w:color="000000" w:fill="FFFFFF"/>
            <w:noWrap/>
            <w:vAlign w:val="center"/>
          </w:tcPr>
          <w:p w14:paraId="4EA29FF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78.9%</w:t>
            </w:r>
          </w:p>
        </w:tc>
        <w:tc>
          <w:tcPr>
            <w:tcW w:w="343" w:type="pct"/>
            <w:shd w:val="clear" w:color="000000" w:fill="FFFFFF"/>
            <w:noWrap/>
            <w:vAlign w:val="center"/>
          </w:tcPr>
          <w:p w14:paraId="4FDFD85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74.5%</w:t>
            </w:r>
          </w:p>
        </w:tc>
        <w:tc>
          <w:tcPr>
            <w:tcW w:w="343" w:type="pct"/>
            <w:shd w:val="clear" w:color="000000" w:fill="FFFFFF"/>
            <w:noWrap/>
            <w:vAlign w:val="center"/>
          </w:tcPr>
          <w:p w14:paraId="597A727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4987282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75.4%</w:t>
            </w:r>
          </w:p>
        </w:tc>
        <w:tc>
          <w:tcPr>
            <w:tcW w:w="337" w:type="pct"/>
            <w:shd w:val="clear" w:color="000000" w:fill="FFFFFF"/>
            <w:noWrap/>
            <w:vAlign w:val="center"/>
          </w:tcPr>
          <w:p w14:paraId="611C854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1E330E6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0E927F47" w14:textId="77777777" w:rsidTr="00FF262E">
        <w:trPr>
          <w:cantSplit/>
          <w:trHeight w:val="67"/>
        </w:trPr>
        <w:tc>
          <w:tcPr>
            <w:tcW w:w="286" w:type="pct"/>
            <w:shd w:val="clear" w:color="auto" w:fill="FFFFFF" w:themeFill="background1"/>
            <w:vAlign w:val="center"/>
            <w:hideMark/>
          </w:tcPr>
          <w:p w14:paraId="2348C96C"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3A63F62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Counseling for Nutrition (Total)</w:t>
            </w:r>
          </w:p>
        </w:tc>
        <w:tc>
          <w:tcPr>
            <w:tcW w:w="250" w:type="pct"/>
            <w:shd w:val="clear" w:color="000000" w:fill="FFFFFF"/>
            <w:noWrap/>
            <w:vAlign w:val="center"/>
            <w:hideMark/>
          </w:tcPr>
          <w:p w14:paraId="27E7C9D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6,254</w:t>
            </w:r>
          </w:p>
        </w:tc>
        <w:tc>
          <w:tcPr>
            <w:tcW w:w="250" w:type="pct"/>
            <w:shd w:val="clear" w:color="000000" w:fill="FFFFFF"/>
            <w:vAlign w:val="center"/>
            <w:hideMark/>
          </w:tcPr>
          <w:p w14:paraId="0236ADA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235</w:t>
            </w:r>
          </w:p>
        </w:tc>
        <w:tc>
          <w:tcPr>
            <w:tcW w:w="249" w:type="pct"/>
            <w:shd w:val="clear" w:color="000000" w:fill="FFFFFF"/>
            <w:vAlign w:val="center"/>
            <w:hideMark/>
          </w:tcPr>
          <w:p w14:paraId="06B1694B"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77.1%</w:t>
            </w:r>
          </w:p>
        </w:tc>
        <w:tc>
          <w:tcPr>
            <w:tcW w:w="374" w:type="pct"/>
            <w:shd w:val="clear" w:color="000000" w:fill="FFFFFF"/>
            <w:noWrap/>
            <w:vAlign w:val="center"/>
          </w:tcPr>
          <w:p w14:paraId="5F21128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76.0%</w:t>
            </w:r>
          </w:p>
        </w:tc>
        <w:tc>
          <w:tcPr>
            <w:tcW w:w="406" w:type="pct"/>
            <w:shd w:val="clear" w:color="000000" w:fill="FFFFFF"/>
            <w:noWrap/>
            <w:vAlign w:val="center"/>
          </w:tcPr>
          <w:p w14:paraId="12CFA87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78.1%</w:t>
            </w:r>
          </w:p>
        </w:tc>
        <w:tc>
          <w:tcPr>
            <w:tcW w:w="343" w:type="pct"/>
            <w:shd w:val="clear" w:color="000000" w:fill="FFFFFF"/>
            <w:noWrap/>
            <w:vAlign w:val="center"/>
          </w:tcPr>
          <w:p w14:paraId="437D831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76.7%</w:t>
            </w:r>
          </w:p>
        </w:tc>
        <w:tc>
          <w:tcPr>
            <w:tcW w:w="343" w:type="pct"/>
            <w:shd w:val="clear" w:color="000000" w:fill="FFFFFF"/>
            <w:noWrap/>
            <w:vAlign w:val="center"/>
          </w:tcPr>
          <w:p w14:paraId="411BD2BE"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6370896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77.5%</w:t>
            </w:r>
          </w:p>
        </w:tc>
        <w:tc>
          <w:tcPr>
            <w:tcW w:w="337" w:type="pct"/>
            <w:shd w:val="clear" w:color="000000" w:fill="FFFFFF"/>
            <w:noWrap/>
            <w:vAlign w:val="center"/>
          </w:tcPr>
          <w:p w14:paraId="6F533D9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676E53D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1F2963BE" w14:textId="77777777" w:rsidTr="00FF262E">
        <w:trPr>
          <w:cantSplit/>
          <w:trHeight w:val="67"/>
        </w:trPr>
        <w:tc>
          <w:tcPr>
            <w:tcW w:w="286" w:type="pct"/>
            <w:shd w:val="clear" w:color="auto" w:fill="FFFFFF" w:themeFill="background1"/>
            <w:vAlign w:val="center"/>
            <w:hideMark/>
          </w:tcPr>
          <w:p w14:paraId="25296E0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341" w:type="pct"/>
            <w:shd w:val="clear" w:color="auto" w:fill="FFFFFF" w:themeFill="background1"/>
            <w:vAlign w:val="center"/>
            <w:hideMark/>
          </w:tcPr>
          <w:p w14:paraId="416FEFD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Counseling for Physical Activity (3–11 years)</w:t>
            </w:r>
          </w:p>
        </w:tc>
        <w:tc>
          <w:tcPr>
            <w:tcW w:w="250" w:type="pct"/>
            <w:shd w:val="clear" w:color="000000" w:fill="FFFFFF"/>
            <w:noWrap/>
            <w:vAlign w:val="center"/>
            <w:hideMark/>
          </w:tcPr>
          <w:p w14:paraId="7E5011D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3,433</w:t>
            </w:r>
          </w:p>
        </w:tc>
        <w:tc>
          <w:tcPr>
            <w:tcW w:w="250" w:type="pct"/>
            <w:shd w:val="clear" w:color="000000" w:fill="FFFFFF"/>
            <w:vAlign w:val="center"/>
            <w:hideMark/>
          </w:tcPr>
          <w:p w14:paraId="60CA75E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123</w:t>
            </w:r>
          </w:p>
        </w:tc>
        <w:tc>
          <w:tcPr>
            <w:tcW w:w="249" w:type="pct"/>
            <w:shd w:val="clear" w:color="000000" w:fill="FFFFFF"/>
            <w:vAlign w:val="center"/>
            <w:hideMark/>
          </w:tcPr>
          <w:p w14:paraId="5219C2F5"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75.0%</w:t>
            </w:r>
          </w:p>
        </w:tc>
        <w:tc>
          <w:tcPr>
            <w:tcW w:w="374" w:type="pct"/>
            <w:shd w:val="clear" w:color="000000" w:fill="FFFFFF"/>
            <w:noWrap/>
            <w:vAlign w:val="center"/>
          </w:tcPr>
          <w:p w14:paraId="4159190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73.5%</w:t>
            </w:r>
          </w:p>
        </w:tc>
        <w:tc>
          <w:tcPr>
            <w:tcW w:w="406" w:type="pct"/>
            <w:shd w:val="clear" w:color="000000" w:fill="FFFFFF"/>
            <w:noWrap/>
            <w:vAlign w:val="center"/>
          </w:tcPr>
          <w:p w14:paraId="122119B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76.5%</w:t>
            </w:r>
          </w:p>
        </w:tc>
        <w:tc>
          <w:tcPr>
            <w:tcW w:w="343" w:type="pct"/>
            <w:shd w:val="clear" w:color="000000" w:fill="FFFFFF"/>
            <w:noWrap/>
            <w:vAlign w:val="center"/>
          </w:tcPr>
          <w:p w14:paraId="1AE3B5C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72.8%</w:t>
            </w:r>
          </w:p>
        </w:tc>
        <w:tc>
          <w:tcPr>
            <w:tcW w:w="343" w:type="pct"/>
            <w:shd w:val="clear" w:color="000000" w:fill="FFFFFF"/>
            <w:noWrap/>
            <w:vAlign w:val="center"/>
          </w:tcPr>
          <w:p w14:paraId="2CC2682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392211C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76.1%</w:t>
            </w:r>
          </w:p>
        </w:tc>
        <w:tc>
          <w:tcPr>
            <w:tcW w:w="337" w:type="pct"/>
            <w:shd w:val="clear" w:color="000000" w:fill="FFFFFF"/>
            <w:noWrap/>
            <w:vAlign w:val="center"/>
          </w:tcPr>
          <w:p w14:paraId="6B11044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06DE748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0BDC9B20" w14:textId="77777777" w:rsidTr="00FF262E">
        <w:trPr>
          <w:cantSplit/>
          <w:trHeight w:val="67"/>
        </w:trPr>
        <w:tc>
          <w:tcPr>
            <w:tcW w:w="286" w:type="pct"/>
            <w:shd w:val="clear" w:color="auto" w:fill="FFFFFF" w:themeFill="background1"/>
            <w:vAlign w:val="center"/>
            <w:hideMark/>
          </w:tcPr>
          <w:p w14:paraId="11E43DCD"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7C23A9C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Counseling for Physical Activity (12–17 years)</w:t>
            </w:r>
          </w:p>
        </w:tc>
        <w:tc>
          <w:tcPr>
            <w:tcW w:w="250" w:type="pct"/>
            <w:shd w:val="clear" w:color="000000" w:fill="FFFFFF"/>
            <w:noWrap/>
            <w:vAlign w:val="center"/>
            <w:hideMark/>
          </w:tcPr>
          <w:p w14:paraId="7F351BF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2,821</w:t>
            </w:r>
          </w:p>
        </w:tc>
        <w:tc>
          <w:tcPr>
            <w:tcW w:w="250" w:type="pct"/>
            <w:shd w:val="clear" w:color="000000" w:fill="FFFFFF"/>
            <w:vAlign w:val="center"/>
            <w:hideMark/>
          </w:tcPr>
          <w:p w14:paraId="337FE44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108</w:t>
            </w:r>
          </w:p>
        </w:tc>
        <w:tc>
          <w:tcPr>
            <w:tcW w:w="249" w:type="pct"/>
            <w:shd w:val="clear" w:color="000000" w:fill="FFFFFF"/>
            <w:vAlign w:val="center"/>
            <w:hideMark/>
          </w:tcPr>
          <w:p w14:paraId="4C6514CA"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76.6%</w:t>
            </w:r>
          </w:p>
        </w:tc>
        <w:tc>
          <w:tcPr>
            <w:tcW w:w="374" w:type="pct"/>
            <w:shd w:val="clear" w:color="000000" w:fill="FFFFFF"/>
            <w:noWrap/>
            <w:vAlign w:val="center"/>
          </w:tcPr>
          <w:p w14:paraId="5CDB6E8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75.0%</w:t>
            </w:r>
          </w:p>
        </w:tc>
        <w:tc>
          <w:tcPr>
            <w:tcW w:w="406" w:type="pct"/>
            <w:shd w:val="clear" w:color="000000" w:fill="FFFFFF"/>
            <w:noWrap/>
            <w:vAlign w:val="center"/>
          </w:tcPr>
          <w:p w14:paraId="692C5FD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78.2%</w:t>
            </w:r>
          </w:p>
        </w:tc>
        <w:tc>
          <w:tcPr>
            <w:tcW w:w="343" w:type="pct"/>
            <w:shd w:val="clear" w:color="000000" w:fill="FFFFFF"/>
            <w:noWrap/>
            <w:vAlign w:val="center"/>
          </w:tcPr>
          <w:p w14:paraId="6665FF1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80.6%</w:t>
            </w:r>
          </w:p>
        </w:tc>
        <w:tc>
          <w:tcPr>
            <w:tcW w:w="343" w:type="pct"/>
            <w:shd w:val="clear" w:color="000000" w:fill="FFFFFF"/>
            <w:noWrap/>
            <w:vAlign w:val="center"/>
          </w:tcPr>
          <w:p w14:paraId="71F9025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78DB47F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75.2%</w:t>
            </w:r>
          </w:p>
        </w:tc>
        <w:tc>
          <w:tcPr>
            <w:tcW w:w="337" w:type="pct"/>
            <w:shd w:val="clear" w:color="000000" w:fill="FFFFFF"/>
            <w:noWrap/>
            <w:vAlign w:val="center"/>
          </w:tcPr>
          <w:p w14:paraId="0F6423C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0FBE1FF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1D95F7F7" w14:textId="77777777" w:rsidTr="00FF262E">
        <w:trPr>
          <w:cantSplit/>
          <w:trHeight w:val="67"/>
        </w:trPr>
        <w:tc>
          <w:tcPr>
            <w:tcW w:w="286" w:type="pct"/>
            <w:shd w:val="clear" w:color="auto" w:fill="FFFFFF" w:themeFill="background1"/>
            <w:vAlign w:val="center"/>
            <w:hideMark/>
          </w:tcPr>
          <w:p w14:paraId="2937D90B"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5E8E3A3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Weight Assessment and Counseling for Nutrition and Physical Activity for Children/Adolescents—</w:t>
            </w:r>
            <w:r w:rsidRPr="00411D9E">
              <w:rPr>
                <w:rFonts w:eastAsia="Times New Roman" w:cstheme="minorHAnsi"/>
                <w:sz w:val="20"/>
                <w:szCs w:val="20"/>
                <w:lang w:bidi="ar-SA"/>
              </w:rPr>
              <w:br/>
              <w:t>Counseling for Physical Activity (Total)</w:t>
            </w:r>
          </w:p>
        </w:tc>
        <w:tc>
          <w:tcPr>
            <w:tcW w:w="250" w:type="pct"/>
            <w:shd w:val="clear" w:color="000000" w:fill="FFFFFF"/>
            <w:noWrap/>
            <w:vAlign w:val="center"/>
            <w:hideMark/>
          </w:tcPr>
          <w:p w14:paraId="115CF55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6,254</w:t>
            </w:r>
          </w:p>
        </w:tc>
        <w:tc>
          <w:tcPr>
            <w:tcW w:w="250" w:type="pct"/>
            <w:shd w:val="clear" w:color="000000" w:fill="FFFFFF"/>
            <w:vAlign w:val="center"/>
            <w:hideMark/>
          </w:tcPr>
          <w:p w14:paraId="363C4FB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231</w:t>
            </w:r>
          </w:p>
        </w:tc>
        <w:tc>
          <w:tcPr>
            <w:tcW w:w="249" w:type="pct"/>
            <w:shd w:val="clear" w:color="000000" w:fill="FFFFFF"/>
            <w:vAlign w:val="center"/>
            <w:hideMark/>
          </w:tcPr>
          <w:p w14:paraId="42CADBCC"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75.7%</w:t>
            </w:r>
          </w:p>
        </w:tc>
        <w:tc>
          <w:tcPr>
            <w:tcW w:w="374" w:type="pct"/>
            <w:shd w:val="clear" w:color="000000" w:fill="FFFFFF"/>
            <w:noWrap/>
            <w:vAlign w:val="center"/>
          </w:tcPr>
          <w:p w14:paraId="7B5F036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74.7%</w:t>
            </w:r>
          </w:p>
        </w:tc>
        <w:tc>
          <w:tcPr>
            <w:tcW w:w="406" w:type="pct"/>
            <w:shd w:val="clear" w:color="000000" w:fill="FFFFFF"/>
            <w:noWrap/>
            <w:vAlign w:val="center"/>
          </w:tcPr>
          <w:p w14:paraId="0712DF5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76.8%</w:t>
            </w:r>
          </w:p>
        </w:tc>
        <w:tc>
          <w:tcPr>
            <w:tcW w:w="343" w:type="pct"/>
            <w:shd w:val="clear" w:color="000000" w:fill="FFFFFF"/>
            <w:noWrap/>
            <w:vAlign w:val="center"/>
          </w:tcPr>
          <w:p w14:paraId="7A0EBA6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76.4%</w:t>
            </w:r>
          </w:p>
        </w:tc>
        <w:tc>
          <w:tcPr>
            <w:tcW w:w="343" w:type="pct"/>
            <w:shd w:val="clear" w:color="000000" w:fill="FFFFFF"/>
            <w:noWrap/>
            <w:vAlign w:val="center"/>
          </w:tcPr>
          <w:p w14:paraId="22114122"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0AFC6ED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75.8%</w:t>
            </w:r>
          </w:p>
        </w:tc>
        <w:tc>
          <w:tcPr>
            <w:tcW w:w="337" w:type="pct"/>
            <w:shd w:val="clear" w:color="000000" w:fill="FFFFFF"/>
            <w:noWrap/>
            <w:vAlign w:val="center"/>
          </w:tcPr>
          <w:p w14:paraId="1134545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1F94769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1B295676" w14:textId="77777777" w:rsidTr="00FF262E">
        <w:trPr>
          <w:cantSplit/>
          <w:trHeight w:val="67"/>
        </w:trPr>
        <w:tc>
          <w:tcPr>
            <w:tcW w:w="286" w:type="pct"/>
            <w:shd w:val="clear" w:color="auto" w:fill="FFFFFF" w:themeFill="background1"/>
            <w:vAlign w:val="center"/>
            <w:hideMark/>
          </w:tcPr>
          <w:p w14:paraId="1D567D4C"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1A1199C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Status—DTaP</w:t>
            </w:r>
          </w:p>
        </w:tc>
        <w:tc>
          <w:tcPr>
            <w:tcW w:w="250" w:type="pct"/>
            <w:shd w:val="clear" w:color="000000" w:fill="FFFFFF"/>
            <w:noWrap/>
            <w:vAlign w:val="center"/>
            <w:hideMark/>
          </w:tcPr>
          <w:p w14:paraId="3045914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77E43CA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102</w:t>
            </w:r>
          </w:p>
        </w:tc>
        <w:tc>
          <w:tcPr>
            <w:tcW w:w="249" w:type="pct"/>
            <w:shd w:val="clear" w:color="000000" w:fill="FFFFFF"/>
            <w:vAlign w:val="center"/>
            <w:hideMark/>
          </w:tcPr>
          <w:p w14:paraId="09F76195"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86.4%</w:t>
            </w:r>
          </w:p>
        </w:tc>
        <w:tc>
          <w:tcPr>
            <w:tcW w:w="374" w:type="pct"/>
            <w:shd w:val="clear" w:color="000000" w:fill="FFFFFF"/>
            <w:noWrap/>
            <w:vAlign w:val="center"/>
          </w:tcPr>
          <w:p w14:paraId="72674A4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79.8%</w:t>
            </w:r>
          </w:p>
        </w:tc>
        <w:tc>
          <w:tcPr>
            <w:tcW w:w="406" w:type="pct"/>
            <w:shd w:val="clear" w:color="000000" w:fill="FFFFFF"/>
            <w:noWrap/>
            <w:vAlign w:val="center"/>
          </w:tcPr>
          <w:p w14:paraId="7F9A362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93.0%</w:t>
            </w:r>
          </w:p>
        </w:tc>
        <w:tc>
          <w:tcPr>
            <w:tcW w:w="343" w:type="pct"/>
            <w:shd w:val="clear" w:color="000000" w:fill="FFFFFF"/>
            <w:noWrap/>
            <w:vAlign w:val="center"/>
          </w:tcPr>
          <w:p w14:paraId="5A1C496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81.0%</w:t>
            </w:r>
          </w:p>
        </w:tc>
        <w:tc>
          <w:tcPr>
            <w:tcW w:w="343" w:type="pct"/>
            <w:shd w:val="clear" w:color="000000" w:fill="FFFFFF"/>
            <w:noWrap/>
            <w:vAlign w:val="center"/>
          </w:tcPr>
          <w:p w14:paraId="0A3939DC"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506D51F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87.2%</w:t>
            </w:r>
          </w:p>
        </w:tc>
        <w:tc>
          <w:tcPr>
            <w:tcW w:w="337" w:type="pct"/>
            <w:shd w:val="clear" w:color="000000" w:fill="FFFFFF"/>
            <w:noWrap/>
            <w:vAlign w:val="center"/>
          </w:tcPr>
          <w:p w14:paraId="0CED33B1"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02E4B61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01020A28" w14:textId="77777777" w:rsidTr="00FF262E">
        <w:trPr>
          <w:cantSplit/>
          <w:trHeight w:val="67"/>
        </w:trPr>
        <w:tc>
          <w:tcPr>
            <w:tcW w:w="286" w:type="pct"/>
            <w:shd w:val="clear" w:color="auto" w:fill="FFFFFF" w:themeFill="background1"/>
            <w:vAlign w:val="center"/>
            <w:hideMark/>
          </w:tcPr>
          <w:p w14:paraId="1BE6ADC3"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7BA4C17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Status—IPV</w:t>
            </w:r>
          </w:p>
        </w:tc>
        <w:tc>
          <w:tcPr>
            <w:tcW w:w="250" w:type="pct"/>
            <w:shd w:val="clear" w:color="000000" w:fill="FFFFFF"/>
            <w:noWrap/>
            <w:vAlign w:val="center"/>
            <w:hideMark/>
          </w:tcPr>
          <w:p w14:paraId="7A9FECB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64482E1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108</w:t>
            </w:r>
          </w:p>
        </w:tc>
        <w:tc>
          <w:tcPr>
            <w:tcW w:w="249" w:type="pct"/>
            <w:shd w:val="clear" w:color="000000" w:fill="FFFFFF"/>
            <w:vAlign w:val="center"/>
            <w:hideMark/>
          </w:tcPr>
          <w:p w14:paraId="401E43C9"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91.5%</w:t>
            </w:r>
          </w:p>
        </w:tc>
        <w:tc>
          <w:tcPr>
            <w:tcW w:w="374" w:type="pct"/>
            <w:shd w:val="clear" w:color="000000" w:fill="FFFFFF"/>
            <w:noWrap/>
            <w:vAlign w:val="center"/>
          </w:tcPr>
          <w:p w14:paraId="641B5EC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86.1%</w:t>
            </w:r>
          </w:p>
        </w:tc>
        <w:tc>
          <w:tcPr>
            <w:tcW w:w="406" w:type="pct"/>
            <w:shd w:val="clear" w:color="000000" w:fill="FFFFFF"/>
            <w:noWrap/>
            <w:vAlign w:val="center"/>
          </w:tcPr>
          <w:p w14:paraId="090F82D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97.0%</w:t>
            </w:r>
          </w:p>
        </w:tc>
        <w:tc>
          <w:tcPr>
            <w:tcW w:w="343" w:type="pct"/>
            <w:shd w:val="clear" w:color="000000" w:fill="FFFFFF"/>
            <w:noWrap/>
            <w:vAlign w:val="center"/>
          </w:tcPr>
          <w:p w14:paraId="331BFCD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82.8%</w:t>
            </w:r>
          </w:p>
        </w:tc>
        <w:tc>
          <w:tcPr>
            <w:tcW w:w="343" w:type="pct"/>
            <w:shd w:val="clear" w:color="000000" w:fill="FFFFFF"/>
            <w:noWrap/>
            <w:vAlign w:val="center"/>
          </w:tcPr>
          <w:p w14:paraId="53C0033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08496FB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93.3%</w:t>
            </w:r>
          </w:p>
        </w:tc>
        <w:tc>
          <w:tcPr>
            <w:tcW w:w="337" w:type="pct"/>
            <w:shd w:val="clear" w:color="000000" w:fill="FFFFFF"/>
            <w:noWrap/>
            <w:vAlign w:val="center"/>
          </w:tcPr>
          <w:p w14:paraId="04507610"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1DCDF37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4596716B" w14:textId="77777777" w:rsidTr="00FF262E">
        <w:trPr>
          <w:cantSplit/>
          <w:trHeight w:val="67"/>
        </w:trPr>
        <w:tc>
          <w:tcPr>
            <w:tcW w:w="286" w:type="pct"/>
            <w:shd w:val="clear" w:color="auto" w:fill="FFFFFF" w:themeFill="background1"/>
            <w:vAlign w:val="center"/>
            <w:hideMark/>
          </w:tcPr>
          <w:p w14:paraId="464C3F8D"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762EE5B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Status—MMR</w:t>
            </w:r>
          </w:p>
        </w:tc>
        <w:tc>
          <w:tcPr>
            <w:tcW w:w="250" w:type="pct"/>
            <w:shd w:val="clear" w:color="000000" w:fill="FFFFFF"/>
            <w:noWrap/>
            <w:vAlign w:val="center"/>
            <w:hideMark/>
          </w:tcPr>
          <w:p w14:paraId="002F1BC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2A48B49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108</w:t>
            </w:r>
          </w:p>
        </w:tc>
        <w:tc>
          <w:tcPr>
            <w:tcW w:w="249" w:type="pct"/>
            <w:shd w:val="clear" w:color="000000" w:fill="FFFFFF"/>
            <w:vAlign w:val="center"/>
            <w:hideMark/>
          </w:tcPr>
          <w:p w14:paraId="42442FBD"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91.5%</w:t>
            </w:r>
          </w:p>
        </w:tc>
        <w:tc>
          <w:tcPr>
            <w:tcW w:w="374" w:type="pct"/>
            <w:shd w:val="clear" w:color="000000" w:fill="FFFFFF"/>
            <w:noWrap/>
            <w:vAlign w:val="center"/>
          </w:tcPr>
          <w:p w14:paraId="4CE840B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86.1%</w:t>
            </w:r>
          </w:p>
        </w:tc>
        <w:tc>
          <w:tcPr>
            <w:tcW w:w="406" w:type="pct"/>
            <w:shd w:val="clear" w:color="000000" w:fill="FFFFFF"/>
            <w:noWrap/>
            <w:vAlign w:val="center"/>
          </w:tcPr>
          <w:p w14:paraId="0506E11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97.0%</w:t>
            </w:r>
          </w:p>
        </w:tc>
        <w:tc>
          <w:tcPr>
            <w:tcW w:w="343" w:type="pct"/>
            <w:shd w:val="clear" w:color="000000" w:fill="FFFFFF"/>
            <w:noWrap/>
            <w:vAlign w:val="center"/>
          </w:tcPr>
          <w:p w14:paraId="73F6869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86.2%</w:t>
            </w:r>
          </w:p>
        </w:tc>
        <w:tc>
          <w:tcPr>
            <w:tcW w:w="343" w:type="pct"/>
            <w:shd w:val="clear" w:color="000000" w:fill="FFFFFF"/>
            <w:noWrap/>
            <w:vAlign w:val="center"/>
          </w:tcPr>
          <w:p w14:paraId="53977C5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758A1C1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92.8%</w:t>
            </w:r>
          </w:p>
        </w:tc>
        <w:tc>
          <w:tcPr>
            <w:tcW w:w="337" w:type="pct"/>
            <w:shd w:val="clear" w:color="000000" w:fill="FFFFFF"/>
            <w:noWrap/>
            <w:vAlign w:val="center"/>
          </w:tcPr>
          <w:p w14:paraId="4E64ED02"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10E53E5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75CE2A7A" w14:textId="77777777" w:rsidTr="00FF262E">
        <w:trPr>
          <w:cantSplit/>
          <w:trHeight w:val="67"/>
        </w:trPr>
        <w:tc>
          <w:tcPr>
            <w:tcW w:w="286" w:type="pct"/>
            <w:shd w:val="clear" w:color="auto" w:fill="FFFFFF" w:themeFill="background1"/>
            <w:vAlign w:val="center"/>
            <w:hideMark/>
          </w:tcPr>
          <w:p w14:paraId="3789E479"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400EBE30" w14:textId="40ADC0EA"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w:t>
            </w:r>
            <w:proofErr w:type="spellStart"/>
            <w:r w:rsidR="00E45F45">
              <w:rPr>
                <w:rFonts w:eastAsia="Times New Roman" w:cstheme="minorHAnsi"/>
                <w:sz w:val="20"/>
                <w:szCs w:val="20"/>
                <w:lang w:bidi="ar-SA"/>
              </w:rPr>
              <w:t>HiB</w:t>
            </w:r>
            <w:proofErr w:type="spellEnd"/>
          </w:p>
        </w:tc>
        <w:tc>
          <w:tcPr>
            <w:tcW w:w="250" w:type="pct"/>
            <w:shd w:val="clear" w:color="000000" w:fill="FFFFFF"/>
            <w:noWrap/>
            <w:vAlign w:val="center"/>
            <w:hideMark/>
          </w:tcPr>
          <w:p w14:paraId="10A3152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5B701BB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107</w:t>
            </w:r>
          </w:p>
        </w:tc>
        <w:tc>
          <w:tcPr>
            <w:tcW w:w="249" w:type="pct"/>
            <w:shd w:val="clear" w:color="000000" w:fill="FFFFFF"/>
            <w:vAlign w:val="center"/>
            <w:hideMark/>
          </w:tcPr>
          <w:p w14:paraId="76E50AEE"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90.7%</w:t>
            </w:r>
          </w:p>
        </w:tc>
        <w:tc>
          <w:tcPr>
            <w:tcW w:w="374" w:type="pct"/>
            <w:shd w:val="clear" w:color="000000" w:fill="FFFFFF"/>
            <w:noWrap/>
            <w:vAlign w:val="center"/>
          </w:tcPr>
          <w:p w14:paraId="4BE1548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85.0%</w:t>
            </w:r>
          </w:p>
        </w:tc>
        <w:tc>
          <w:tcPr>
            <w:tcW w:w="406" w:type="pct"/>
            <w:shd w:val="clear" w:color="000000" w:fill="FFFFFF"/>
            <w:noWrap/>
            <w:vAlign w:val="center"/>
          </w:tcPr>
          <w:p w14:paraId="1E74B9D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96.3%</w:t>
            </w:r>
          </w:p>
        </w:tc>
        <w:tc>
          <w:tcPr>
            <w:tcW w:w="343" w:type="pct"/>
            <w:shd w:val="clear" w:color="000000" w:fill="FFFFFF"/>
            <w:noWrap/>
            <w:vAlign w:val="center"/>
          </w:tcPr>
          <w:p w14:paraId="7F0AAED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84.5%</w:t>
            </w:r>
          </w:p>
        </w:tc>
        <w:tc>
          <w:tcPr>
            <w:tcW w:w="343" w:type="pct"/>
            <w:shd w:val="clear" w:color="000000" w:fill="FFFFFF"/>
            <w:noWrap/>
            <w:vAlign w:val="center"/>
          </w:tcPr>
          <w:p w14:paraId="57E37036"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4B54A14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93.0%</w:t>
            </w:r>
          </w:p>
        </w:tc>
        <w:tc>
          <w:tcPr>
            <w:tcW w:w="337" w:type="pct"/>
            <w:shd w:val="clear" w:color="000000" w:fill="FFFFFF"/>
            <w:noWrap/>
            <w:vAlign w:val="center"/>
          </w:tcPr>
          <w:p w14:paraId="08BD1770"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5938DEF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2092AB3C" w14:textId="77777777" w:rsidTr="00FF262E">
        <w:trPr>
          <w:cantSplit/>
          <w:trHeight w:val="67"/>
        </w:trPr>
        <w:tc>
          <w:tcPr>
            <w:tcW w:w="286" w:type="pct"/>
            <w:shd w:val="clear" w:color="auto" w:fill="FFFFFF" w:themeFill="background1"/>
            <w:vAlign w:val="center"/>
            <w:hideMark/>
          </w:tcPr>
          <w:p w14:paraId="0140837C"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2300D49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Status—Hepatitis B</w:t>
            </w:r>
          </w:p>
        </w:tc>
        <w:tc>
          <w:tcPr>
            <w:tcW w:w="250" w:type="pct"/>
            <w:shd w:val="clear" w:color="000000" w:fill="FFFFFF"/>
            <w:noWrap/>
            <w:vAlign w:val="center"/>
            <w:hideMark/>
          </w:tcPr>
          <w:p w14:paraId="71E83C3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755BA28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105</w:t>
            </w:r>
          </w:p>
        </w:tc>
        <w:tc>
          <w:tcPr>
            <w:tcW w:w="249" w:type="pct"/>
            <w:shd w:val="clear" w:color="000000" w:fill="FFFFFF"/>
            <w:vAlign w:val="center"/>
            <w:hideMark/>
          </w:tcPr>
          <w:p w14:paraId="5777C7E0"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89.0%</w:t>
            </w:r>
          </w:p>
        </w:tc>
        <w:tc>
          <w:tcPr>
            <w:tcW w:w="374" w:type="pct"/>
            <w:shd w:val="clear" w:color="000000" w:fill="FFFFFF"/>
            <w:noWrap/>
            <w:vAlign w:val="center"/>
          </w:tcPr>
          <w:p w14:paraId="293BAF5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82.9%</w:t>
            </w:r>
          </w:p>
        </w:tc>
        <w:tc>
          <w:tcPr>
            <w:tcW w:w="406" w:type="pct"/>
            <w:shd w:val="clear" w:color="000000" w:fill="FFFFFF"/>
            <w:noWrap/>
            <w:vAlign w:val="center"/>
          </w:tcPr>
          <w:p w14:paraId="71C1B98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95.1%</w:t>
            </w:r>
          </w:p>
        </w:tc>
        <w:tc>
          <w:tcPr>
            <w:tcW w:w="343" w:type="pct"/>
            <w:shd w:val="clear" w:color="000000" w:fill="FFFFFF"/>
            <w:noWrap/>
            <w:vAlign w:val="center"/>
          </w:tcPr>
          <w:p w14:paraId="2FF82B1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82.8%</w:t>
            </w:r>
          </w:p>
        </w:tc>
        <w:tc>
          <w:tcPr>
            <w:tcW w:w="343" w:type="pct"/>
            <w:shd w:val="clear" w:color="000000" w:fill="FFFFFF"/>
            <w:noWrap/>
            <w:vAlign w:val="center"/>
          </w:tcPr>
          <w:p w14:paraId="5E9AF01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78F9AC8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92.4%</w:t>
            </w:r>
          </w:p>
        </w:tc>
        <w:tc>
          <w:tcPr>
            <w:tcW w:w="337" w:type="pct"/>
            <w:shd w:val="clear" w:color="000000" w:fill="FFFFFF"/>
            <w:noWrap/>
            <w:vAlign w:val="center"/>
          </w:tcPr>
          <w:p w14:paraId="1D5C686C"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7D1EC5A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16F52225" w14:textId="77777777" w:rsidTr="00FF262E">
        <w:trPr>
          <w:cantSplit/>
          <w:trHeight w:val="67"/>
        </w:trPr>
        <w:tc>
          <w:tcPr>
            <w:tcW w:w="286" w:type="pct"/>
            <w:shd w:val="clear" w:color="auto" w:fill="FFFFFF" w:themeFill="background1"/>
            <w:vAlign w:val="center"/>
            <w:hideMark/>
          </w:tcPr>
          <w:p w14:paraId="35BFDC90"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1C7D49E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Status—VZV</w:t>
            </w:r>
          </w:p>
        </w:tc>
        <w:tc>
          <w:tcPr>
            <w:tcW w:w="250" w:type="pct"/>
            <w:shd w:val="clear" w:color="000000" w:fill="FFFFFF"/>
            <w:noWrap/>
            <w:vAlign w:val="center"/>
            <w:hideMark/>
          </w:tcPr>
          <w:p w14:paraId="0D8897E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4C385E3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106</w:t>
            </w:r>
          </w:p>
        </w:tc>
        <w:tc>
          <w:tcPr>
            <w:tcW w:w="249" w:type="pct"/>
            <w:shd w:val="clear" w:color="000000" w:fill="FFFFFF"/>
            <w:vAlign w:val="center"/>
            <w:hideMark/>
          </w:tcPr>
          <w:p w14:paraId="29837A5D"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89.8%</w:t>
            </w:r>
          </w:p>
        </w:tc>
        <w:tc>
          <w:tcPr>
            <w:tcW w:w="374" w:type="pct"/>
            <w:shd w:val="clear" w:color="000000" w:fill="FFFFFF"/>
            <w:noWrap/>
            <w:vAlign w:val="center"/>
          </w:tcPr>
          <w:p w14:paraId="33FA0A7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84.0%</w:t>
            </w:r>
          </w:p>
        </w:tc>
        <w:tc>
          <w:tcPr>
            <w:tcW w:w="406" w:type="pct"/>
            <w:shd w:val="clear" w:color="000000" w:fill="FFFFFF"/>
            <w:noWrap/>
            <w:vAlign w:val="center"/>
          </w:tcPr>
          <w:p w14:paraId="1A70586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95.7%</w:t>
            </w:r>
          </w:p>
        </w:tc>
        <w:tc>
          <w:tcPr>
            <w:tcW w:w="343" w:type="pct"/>
            <w:shd w:val="clear" w:color="000000" w:fill="FFFFFF"/>
            <w:noWrap/>
            <w:vAlign w:val="center"/>
          </w:tcPr>
          <w:p w14:paraId="62FCA48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85.3%</w:t>
            </w:r>
          </w:p>
        </w:tc>
        <w:tc>
          <w:tcPr>
            <w:tcW w:w="343" w:type="pct"/>
            <w:shd w:val="clear" w:color="000000" w:fill="FFFFFF"/>
            <w:noWrap/>
            <w:vAlign w:val="center"/>
          </w:tcPr>
          <w:p w14:paraId="1141074B"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06C194D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91.9%</w:t>
            </w:r>
          </w:p>
        </w:tc>
        <w:tc>
          <w:tcPr>
            <w:tcW w:w="337" w:type="pct"/>
            <w:shd w:val="clear" w:color="000000" w:fill="FFFFFF"/>
            <w:noWrap/>
            <w:vAlign w:val="center"/>
          </w:tcPr>
          <w:p w14:paraId="4B772E8E"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3641D78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48B5FA56" w14:textId="77777777" w:rsidTr="00FF262E">
        <w:trPr>
          <w:cantSplit/>
          <w:trHeight w:val="67"/>
        </w:trPr>
        <w:tc>
          <w:tcPr>
            <w:tcW w:w="286" w:type="pct"/>
            <w:shd w:val="clear" w:color="auto" w:fill="FFFFFF" w:themeFill="background1"/>
            <w:vAlign w:val="center"/>
            <w:hideMark/>
          </w:tcPr>
          <w:p w14:paraId="552B9458"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03E6E8F0"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Status—Pneumococcal Conjugate</w:t>
            </w:r>
          </w:p>
        </w:tc>
        <w:tc>
          <w:tcPr>
            <w:tcW w:w="250" w:type="pct"/>
            <w:shd w:val="clear" w:color="000000" w:fill="FFFFFF"/>
            <w:noWrap/>
            <w:vAlign w:val="center"/>
            <w:hideMark/>
          </w:tcPr>
          <w:p w14:paraId="4C82E10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5400B3D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100</w:t>
            </w:r>
          </w:p>
        </w:tc>
        <w:tc>
          <w:tcPr>
            <w:tcW w:w="249" w:type="pct"/>
            <w:shd w:val="clear" w:color="000000" w:fill="FFFFFF"/>
            <w:vAlign w:val="center"/>
            <w:hideMark/>
          </w:tcPr>
          <w:p w14:paraId="39FF620C"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84.8%</w:t>
            </w:r>
          </w:p>
        </w:tc>
        <w:tc>
          <w:tcPr>
            <w:tcW w:w="374" w:type="pct"/>
            <w:shd w:val="clear" w:color="000000" w:fill="FFFFFF"/>
            <w:noWrap/>
            <w:vAlign w:val="center"/>
          </w:tcPr>
          <w:p w14:paraId="1561294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77.8%</w:t>
            </w:r>
          </w:p>
        </w:tc>
        <w:tc>
          <w:tcPr>
            <w:tcW w:w="406" w:type="pct"/>
            <w:shd w:val="clear" w:color="000000" w:fill="FFFFFF"/>
            <w:noWrap/>
            <w:vAlign w:val="center"/>
          </w:tcPr>
          <w:p w14:paraId="4B791DC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91.7%</w:t>
            </w:r>
          </w:p>
        </w:tc>
        <w:tc>
          <w:tcPr>
            <w:tcW w:w="343" w:type="pct"/>
            <w:shd w:val="clear" w:color="000000" w:fill="FFFFFF"/>
            <w:noWrap/>
            <w:vAlign w:val="center"/>
          </w:tcPr>
          <w:p w14:paraId="0078096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81.0%</w:t>
            </w:r>
          </w:p>
        </w:tc>
        <w:tc>
          <w:tcPr>
            <w:tcW w:w="343" w:type="pct"/>
            <w:shd w:val="clear" w:color="000000" w:fill="FFFFFF"/>
            <w:noWrap/>
            <w:vAlign w:val="center"/>
          </w:tcPr>
          <w:p w14:paraId="180C768D"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312CCE6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88.8%</w:t>
            </w:r>
          </w:p>
        </w:tc>
        <w:tc>
          <w:tcPr>
            <w:tcW w:w="337" w:type="pct"/>
            <w:shd w:val="clear" w:color="000000" w:fill="FFFFFF"/>
            <w:noWrap/>
            <w:vAlign w:val="center"/>
          </w:tcPr>
          <w:p w14:paraId="1EF7EA5A"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27E64A1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6A1A2018" w14:textId="77777777" w:rsidTr="00FF262E">
        <w:trPr>
          <w:cantSplit/>
          <w:trHeight w:val="67"/>
        </w:trPr>
        <w:tc>
          <w:tcPr>
            <w:tcW w:w="286" w:type="pct"/>
            <w:shd w:val="clear" w:color="auto" w:fill="FFFFFF" w:themeFill="background1"/>
            <w:vAlign w:val="center"/>
            <w:hideMark/>
          </w:tcPr>
          <w:p w14:paraId="0851957E"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3CE0AF4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Status—Hepatitis A</w:t>
            </w:r>
          </w:p>
        </w:tc>
        <w:tc>
          <w:tcPr>
            <w:tcW w:w="250" w:type="pct"/>
            <w:shd w:val="clear" w:color="000000" w:fill="FFFFFF"/>
            <w:noWrap/>
            <w:vAlign w:val="center"/>
            <w:hideMark/>
          </w:tcPr>
          <w:p w14:paraId="12B132F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32FC6D4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102</w:t>
            </w:r>
          </w:p>
        </w:tc>
        <w:tc>
          <w:tcPr>
            <w:tcW w:w="249" w:type="pct"/>
            <w:shd w:val="clear" w:color="000000" w:fill="FFFFFF"/>
            <w:vAlign w:val="center"/>
            <w:hideMark/>
          </w:tcPr>
          <w:p w14:paraId="18F9A7FF"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86.4%</w:t>
            </w:r>
          </w:p>
        </w:tc>
        <w:tc>
          <w:tcPr>
            <w:tcW w:w="374" w:type="pct"/>
            <w:shd w:val="clear" w:color="000000" w:fill="FFFFFF"/>
            <w:noWrap/>
            <w:vAlign w:val="center"/>
          </w:tcPr>
          <w:p w14:paraId="3CAE9BA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79.8%</w:t>
            </w:r>
          </w:p>
        </w:tc>
        <w:tc>
          <w:tcPr>
            <w:tcW w:w="406" w:type="pct"/>
            <w:shd w:val="clear" w:color="000000" w:fill="FFFFFF"/>
            <w:noWrap/>
            <w:vAlign w:val="center"/>
          </w:tcPr>
          <w:p w14:paraId="11955FF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93.0%</w:t>
            </w:r>
          </w:p>
        </w:tc>
        <w:tc>
          <w:tcPr>
            <w:tcW w:w="343" w:type="pct"/>
            <w:shd w:val="clear" w:color="000000" w:fill="FFFFFF"/>
            <w:noWrap/>
            <w:vAlign w:val="center"/>
          </w:tcPr>
          <w:p w14:paraId="2A8F062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82.8%</w:t>
            </w:r>
          </w:p>
        </w:tc>
        <w:tc>
          <w:tcPr>
            <w:tcW w:w="343" w:type="pct"/>
            <w:shd w:val="clear" w:color="000000" w:fill="FFFFFF"/>
            <w:noWrap/>
            <w:vAlign w:val="center"/>
          </w:tcPr>
          <w:p w14:paraId="4BEB0ECF"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13A3E77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89.2%</w:t>
            </w:r>
          </w:p>
        </w:tc>
        <w:tc>
          <w:tcPr>
            <w:tcW w:w="337" w:type="pct"/>
            <w:shd w:val="clear" w:color="000000" w:fill="FFFFFF"/>
            <w:noWrap/>
            <w:vAlign w:val="center"/>
          </w:tcPr>
          <w:p w14:paraId="11F409B7"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5A25758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250D24A6" w14:textId="77777777" w:rsidTr="00FF262E">
        <w:trPr>
          <w:cantSplit/>
          <w:trHeight w:val="142"/>
        </w:trPr>
        <w:tc>
          <w:tcPr>
            <w:tcW w:w="286" w:type="pct"/>
            <w:shd w:val="clear" w:color="auto" w:fill="FFFFFF" w:themeFill="background1"/>
            <w:vAlign w:val="center"/>
            <w:hideMark/>
          </w:tcPr>
          <w:p w14:paraId="074E1C14"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5A97D93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Status—Rotavirus</w:t>
            </w:r>
          </w:p>
        </w:tc>
        <w:tc>
          <w:tcPr>
            <w:tcW w:w="250" w:type="pct"/>
            <w:shd w:val="clear" w:color="000000" w:fill="FFFFFF"/>
            <w:noWrap/>
            <w:vAlign w:val="center"/>
            <w:hideMark/>
          </w:tcPr>
          <w:p w14:paraId="0E743A4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1BEC1A2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93</w:t>
            </w:r>
          </w:p>
        </w:tc>
        <w:tc>
          <w:tcPr>
            <w:tcW w:w="249" w:type="pct"/>
            <w:shd w:val="clear" w:color="000000" w:fill="FFFFFF"/>
            <w:vAlign w:val="center"/>
            <w:hideMark/>
          </w:tcPr>
          <w:p w14:paraId="4BB3D64E"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78.8%</w:t>
            </w:r>
          </w:p>
        </w:tc>
        <w:tc>
          <w:tcPr>
            <w:tcW w:w="374" w:type="pct"/>
            <w:shd w:val="clear" w:color="000000" w:fill="FFFFFF"/>
            <w:noWrap/>
            <w:vAlign w:val="center"/>
          </w:tcPr>
          <w:p w14:paraId="4D31588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71.0%</w:t>
            </w:r>
          </w:p>
        </w:tc>
        <w:tc>
          <w:tcPr>
            <w:tcW w:w="406" w:type="pct"/>
            <w:shd w:val="clear" w:color="000000" w:fill="FFFFFF"/>
            <w:noWrap/>
            <w:vAlign w:val="center"/>
          </w:tcPr>
          <w:p w14:paraId="791D5BD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86.6%</w:t>
            </w:r>
          </w:p>
        </w:tc>
        <w:tc>
          <w:tcPr>
            <w:tcW w:w="343" w:type="pct"/>
            <w:shd w:val="clear" w:color="000000" w:fill="FFFFFF"/>
            <w:noWrap/>
            <w:vAlign w:val="center"/>
          </w:tcPr>
          <w:p w14:paraId="76589D5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72.4%</w:t>
            </w:r>
          </w:p>
        </w:tc>
        <w:tc>
          <w:tcPr>
            <w:tcW w:w="343" w:type="pct"/>
            <w:shd w:val="clear" w:color="000000" w:fill="FFFFFF"/>
            <w:noWrap/>
            <w:vAlign w:val="center"/>
          </w:tcPr>
          <w:p w14:paraId="409A18C2"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72B49CD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81.8%</w:t>
            </w:r>
          </w:p>
        </w:tc>
        <w:tc>
          <w:tcPr>
            <w:tcW w:w="337" w:type="pct"/>
            <w:shd w:val="clear" w:color="000000" w:fill="FFFFFF"/>
            <w:noWrap/>
            <w:vAlign w:val="center"/>
          </w:tcPr>
          <w:p w14:paraId="15F1160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5CE7008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0B95D549" w14:textId="77777777" w:rsidTr="00FF262E">
        <w:trPr>
          <w:cantSplit/>
          <w:trHeight w:val="67"/>
        </w:trPr>
        <w:tc>
          <w:tcPr>
            <w:tcW w:w="286" w:type="pct"/>
            <w:shd w:val="clear" w:color="auto" w:fill="FFFFFF" w:themeFill="background1"/>
            <w:vAlign w:val="center"/>
            <w:hideMark/>
          </w:tcPr>
          <w:p w14:paraId="0443BEB6"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35F80DC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Status—Influenza</w:t>
            </w:r>
          </w:p>
        </w:tc>
        <w:tc>
          <w:tcPr>
            <w:tcW w:w="250" w:type="pct"/>
            <w:shd w:val="clear" w:color="000000" w:fill="FFFFFF"/>
            <w:noWrap/>
            <w:vAlign w:val="center"/>
            <w:hideMark/>
          </w:tcPr>
          <w:p w14:paraId="0834837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61A3A08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66</w:t>
            </w:r>
          </w:p>
        </w:tc>
        <w:tc>
          <w:tcPr>
            <w:tcW w:w="249" w:type="pct"/>
            <w:shd w:val="clear" w:color="000000" w:fill="FFFFFF"/>
            <w:vAlign w:val="center"/>
            <w:hideMark/>
          </w:tcPr>
          <w:p w14:paraId="5D532FE4"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55.9%</w:t>
            </w:r>
          </w:p>
        </w:tc>
        <w:tc>
          <w:tcPr>
            <w:tcW w:w="374" w:type="pct"/>
            <w:shd w:val="clear" w:color="000000" w:fill="FFFFFF"/>
            <w:noWrap/>
            <w:vAlign w:val="center"/>
          </w:tcPr>
          <w:p w14:paraId="5B61228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46.5%</w:t>
            </w:r>
          </w:p>
        </w:tc>
        <w:tc>
          <w:tcPr>
            <w:tcW w:w="406" w:type="pct"/>
            <w:shd w:val="clear" w:color="000000" w:fill="FFFFFF"/>
            <w:noWrap/>
            <w:vAlign w:val="center"/>
          </w:tcPr>
          <w:p w14:paraId="38769A0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65.3%</w:t>
            </w:r>
          </w:p>
        </w:tc>
        <w:tc>
          <w:tcPr>
            <w:tcW w:w="343" w:type="pct"/>
            <w:shd w:val="clear" w:color="000000" w:fill="FFFFFF"/>
            <w:noWrap/>
            <w:vAlign w:val="center"/>
          </w:tcPr>
          <w:p w14:paraId="39005B4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56.9%</w:t>
            </w:r>
          </w:p>
        </w:tc>
        <w:tc>
          <w:tcPr>
            <w:tcW w:w="343" w:type="pct"/>
            <w:shd w:val="clear" w:color="000000" w:fill="FFFFFF"/>
            <w:noWrap/>
            <w:vAlign w:val="center"/>
          </w:tcPr>
          <w:p w14:paraId="5DBAB757"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5F186AC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64.1%</w:t>
            </w:r>
          </w:p>
        </w:tc>
        <w:tc>
          <w:tcPr>
            <w:tcW w:w="337" w:type="pct"/>
            <w:shd w:val="clear" w:color="000000" w:fill="FFFFFF"/>
            <w:noWrap/>
            <w:vAlign w:val="center"/>
          </w:tcPr>
          <w:p w14:paraId="46C657BF"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42211E5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34BE46CA" w14:textId="77777777" w:rsidTr="00FF262E">
        <w:trPr>
          <w:cantSplit/>
          <w:trHeight w:val="67"/>
        </w:trPr>
        <w:tc>
          <w:tcPr>
            <w:tcW w:w="286" w:type="pct"/>
            <w:shd w:val="clear" w:color="auto" w:fill="FFFFFF" w:themeFill="background1"/>
            <w:vAlign w:val="center"/>
            <w:hideMark/>
          </w:tcPr>
          <w:p w14:paraId="0E2417A8"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19AC3C1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2</w:t>
            </w:r>
          </w:p>
        </w:tc>
        <w:tc>
          <w:tcPr>
            <w:tcW w:w="250" w:type="pct"/>
            <w:shd w:val="clear" w:color="000000" w:fill="FFFFFF"/>
            <w:noWrap/>
            <w:vAlign w:val="center"/>
            <w:hideMark/>
          </w:tcPr>
          <w:p w14:paraId="7F8ABAD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082F8F1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97</w:t>
            </w:r>
          </w:p>
        </w:tc>
        <w:tc>
          <w:tcPr>
            <w:tcW w:w="249" w:type="pct"/>
            <w:shd w:val="clear" w:color="000000" w:fill="FFFFFF"/>
            <w:vAlign w:val="center"/>
            <w:hideMark/>
          </w:tcPr>
          <w:p w14:paraId="239076D7"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82.2%</w:t>
            </w:r>
          </w:p>
        </w:tc>
        <w:tc>
          <w:tcPr>
            <w:tcW w:w="374" w:type="pct"/>
            <w:shd w:val="clear" w:color="000000" w:fill="FFFFFF"/>
            <w:noWrap/>
            <w:vAlign w:val="center"/>
          </w:tcPr>
          <w:p w14:paraId="782BCCA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74.9%</w:t>
            </w:r>
          </w:p>
        </w:tc>
        <w:tc>
          <w:tcPr>
            <w:tcW w:w="406" w:type="pct"/>
            <w:shd w:val="clear" w:color="000000" w:fill="FFFFFF"/>
            <w:noWrap/>
            <w:vAlign w:val="center"/>
          </w:tcPr>
          <w:p w14:paraId="4357058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89.5%</w:t>
            </w:r>
          </w:p>
        </w:tc>
        <w:tc>
          <w:tcPr>
            <w:tcW w:w="343" w:type="pct"/>
            <w:shd w:val="clear" w:color="000000" w:fill="FFFFFF"/>
            <w:noWrap/>
            <w:vAlign w:val="center"/>
          </w:tcPr>
          <w:p w14:paraId="7C7AC97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76.7%</w:t>
            </w:r>
          </w:p>
        </w:tc>
        <w:tc>
          <w:tcPr>
            <w:tcW w:w="343" w:type="pct"/>
            <w:shd w:val="clear" w:color="000000" w:fill="FFFFFF"/>
            <w:noWrap/>
            <w:vAlign w:val="center"/>
          </w:tcPr>
          <w:p w14:paraId="0D8F4BB3"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4D57BC8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83.7%</w:t>
            </w:r>
          </w:p>
        </w:tc>
        <w:tc>
          <w:tcPr>
            <w:tcW w:w="337" w:type="pct"/>
            <w:shd w:val="clear" w:color="000000" w:fill="FFFFFF"/>
            <w:noWrap/>
            <w:vAlign w:val="center"/>
          </w:tcPr>
          <w:p w14:paraId="39E7C70E"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0BCC394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5A99E3D1" w14:textId="77777777" w:rsidTr="00FF262E">
        <w:trPr>
          <w:cantSplit/>
          <w:trHeight w:val="67"/>
        </w:trPr>
        <w:tc>
          <w:tcPr>
            <w:tcW w:w="286" w:type="pct"/>
            <w:shd w:val="clear" w:color="auto" w:fill="FFFFFF" w:themeFill="background1"/>
            <w:vAlign w:val="center"/>
            <w:hideMark/>
          </w:tcPr>
          <w:p w14:paraId="02AE7FBD"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7B672CA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3</w:t>
            </w:r>
          </w:p>
        </w:tc>
        <w:tc>
          <w:tcPr>
            <w:tcW w:w="250" w:type="pct"/>
            <w:shd w:val="clear" w:color="000000" w:fill="FFFFFF"/>
            <w:noWrap/>
            <w:vAlign w:val="center"/>
            <w:hideMark/>
          </w:tcPr>
          <w:p w14:paraId="40290F5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023D383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93</w:t>
            </w:r>
          </w:p>
        </w:tc>
        <w:tc>
          <w:tcPr>
            <w:tcW w:w="249" w:type="pct"/>
            <w:shd w:val="clear" w:color="000000" w:fill="FFFFFF"/>
            <w:vAlign w:val="center"/>
            <w:hideMark/>
          </w:tcPr>
          <w:p w14:paraId="01A2931D"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78.8%</w:t>
            </w:r>
          </w:p>
        </w:tc>
        <w:tc>
          <w:tcPr>
            <w:tcW w:w="374" w:type="pct"/>
            <w:shd w:val="clear" w:color="000000" w:fill="FFFFFF"/>
            <w:noWrap/>
            <w:vAlign w:val="center"/>
          </w:tcPr>
          <w:p w14:paraId="54F2800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71.0%</w:t>
            </w:r>
          </w:p>
        </w:tc>
        <w:tc>
          <w:tcPr>
            <w:tcW w:w="406" w:type="pct"/>
            <w:shd w:val="clear" w:color="000000" w:fill="FFFFFF"/>
            <w:noWrap/>
            <w:vAlign w:val="center"/>
          </w:tcPr>
          <w:p w14:paraId="76274C4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86.6%</w:t>
            </w:r>
          </w:p>
        </w:tc>
        <w:tc>
          <w:tcPr>
            <w:tcW w:w="343" w:type="pct"/>
            <w:shd w:val="clear" w:color="000000" w:fill="FFFFFF"/>
            <w:noWrap/>
            <w:vAlign w:val="center"/>
          </w:tcPr>
          <w:p w14:paraId="5CA5490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74.1%</w:t>
            </w:r>
          </w:p>
        </w:tc>
        <w:tc>
          <w:tcPr>
            <w:tcW w:w="343" w:type="pct"/>
            <w:shd w:val="clear" w:color="000000" w:fill="FFFFFF"/>
            <w:noWrap/>
            <w:vAlign w:val="center"/>
          </w:tcPr>
          <w:p w14:paraId="4BEF95A4"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414C975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82.1%</w:t>
            </w:r>
          </w:p>
        </w:tc>
        <w:tc>
          <w:tcPr>
            <w:tcW w:w="337" w:type="pct"/>
            <w:shd w:val="clear" w:color="000000" w:fill="FFFFFF"/>
            <w:noWrap/>
            <w:vAlign w:val="center"/>
          </w:tcPr>
          <w:p w14:paraId="3256812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3BA596E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6AC86166" w14:textId="77777777" w:rsidTr="00FF262E">
        <w:trPr>
          <w:cantSplit/>
          <w:trHeight w:val="67"/>
        </w:trPr>
        <w:tc>
          <w:tcPr>
            <w:tcW w:w="286" w:type="pct"/>
            <w:shd w:val="clear" w:color="auto" w:fill="FFFFFF" w:themeFill="background1"/>
            <w:vAlign w:val="center"/>
            <w:hideMark/>
          </w:tcPr>
          <w:p w14:paraId="5CC5BDF6"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29157BE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4</w:t>
            </w:r>
          </w:p>
        </w:tc>
        <w:tc>
          <w:tcPr>
            <w:tcW w:w="250" w:type="pct"/>
            <w:shd w:val="clear" w:color="000000" w:fill="FFFFFF"/>
            <w:noWrap/>
            <w:vAlign w:val="center"/>
            <w:hideMark/>
          </w:tcPr>
          <w:p w14:paraId="3840331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11F4430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90</w:t>
            </w:r>
          </w:p>
        </w:tc>
        <w:tc>
          <w:tcPr>
            <w:tcW w:w="249" w:type="pct"/>
            <w:shd w:val="clear" w:color="000000" w:fill="FFFFFF"/>
            <w:vAlign w:val="center"/>
            <w:hideMark/>
          </w:tcPr>
          <w:p w14:paraId="62BC6FA8"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76.3%</w:t>
            </w:r>
          </w:p>
        </w:tc>
        <w:tc>
          <w:tcPr>
            <w:tcW w:w="374" w:type="pct"/>
            <w:shd w:val="clear" w:color="000000" w:fill="FFFFFF"/>
            <w:noWrap/>
            <w:vAlign w:val="center"/>
          </w:tcPr>
          <w:p w14:paraId="7214737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68.2%</w:t>
            </w:r>
          </w:p>
        </w:tc>
        <w:tc>
          <w:tcPr>
            <w:tcW w:w="406" w:type="pct"/>
            <w:shd w:val="clear" w:color="000000" w:fill="FFFFFF"/>
            <w:noWrap/>
            <w:vAlign w:val="center"/>
          </w:tcPr>
          <w:p w14:paraId="159FA57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84.4%</w:t>
            </w:r>
          </w:p>
        </w:tc>
        <w:tc>
          <w:tcPr>
            <w:tcW w:w="343" w:type="pct"/>
            <w:shd w:val="clear" w:color="000000" w:fill="FFFFFF"/>
            <w:noWrap/>
            <w:vAlign w:val="center"/>
          </w:tcPr>
          <w:p w14:paraId="289B369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70.7%</w:t>
            </w:r>
          </w:p>
        </w:tc>
        <w:tc>
          <w:tcPr>
            <w:tcW w:w="343" w:type="pct"/>
            <w:shd w:val="clear" w:color="000000" w:fill="FFFFFF"/>
            <w:noWrap/>
            <w:vAlign w:val="center"/>
          </w:tcPr>
          <w:p w14:paraId="65895A4D"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615A1EF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79.9%</w:t>
            </w:r>
          </w:p>
        </w:tc>
        <w:tc>
          <w:tcPr>
            <w:tcW w:w="337" w:type="pct"/>
            <w:shd w:val="clear" w:color="000000" w:fill="FFFFFF"/>
            <w:noWrap/>
            <w:vAlign w:val="center"/>
          </w:tcPr>
          <w:p w14:paraId="59624E75"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2B68B3D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50E6DA7E" w14:textId="77777777" w:rsidTr="00FF262E">
        <w:trPr>
          <w:cantSplit/>
          <w:trHeight w:val="67"/>
        </w:trPr>
        <w:tc>
          <w:tcPr>
            <w:tcW w:w="286" w:type="pct"/>
            <w:shd w:val="clear" w:color="auto" w:fill="FFFFFF" w:themeFill="background1"/>
            <w:vAlign w:val="center"/>
            <w:hideMark/>
          </w:tcPr>
          <w:p w14:paraId="244D7088"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341" w:type="pct"/>
            <w:shd w:val="clear" w:color="auto" w:fill="FFFFFF" w:themeFill="background1"/>
            <w:vAlign w:val="center"/>
            <w:hideMark/>
          </w:tcPr>
          <w:p w14:paraId="49E2C93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5</w:t>
            </w:r>
          </w:p>
        </w:tc>
        <w:tc>
          <w:tcPr>
            <w:tcW w:w="250" w:type="pct"/>
            <w:shd w:val="clear" w:color="000000" w:fill="FFFFFF"/>
            <w:noWrap/>
            <w:vAlign w:val="center"/>
            <w:hideMark/>
          </w:tcPr>
          <w:p w14:paraId="1C4E9C4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0ECDF9F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85</w:t>
            </w:r>
          </w:p>
        </w:tc>
        <w:tc>
          <w:tcPr>
            <w:tcW w:w="249" w:type="pct"/>
            <w:shd w:val="clear" w:color="000000" w:fill="FFFFFF"/>
            <w:vAlign w:val="center"/>
            <w:hideMark/>
          </w:tcPr>
          <w:p w14:paraId="0EFBCFC7"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72.0%</w:t>
            </w:r>
          </w:p>
        </w:tc>
        <w:tc>
          <w:tcPr>
            <w:tcW w:w="374" w:type="pct"/>
            <w:shd w:val="clear" w:color="000000" w:fill="FFFFFF"/>
            <w:noWrap/>
            <w:vAlign w:val="center"/>
          </w:tcPr>
          <w:p w14:paraId="6D5EC49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63.5%</w:t>
            </w:r>
          </w:p>
        </w:tc>
        <w:tc>
          <w:tcPr>
            <w:tcW w:w="406" w:type="pct"/>
            <w:shd w:val="clear" w:color="000000" w:fill="FFFFFF"/>
            <w:noWrap/>
            <w:vAlign w:val="center"/>
          </w:tcPr>
          <w:p w14:paraId="67A95AC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80.6%</w:t>
            </w:r>
          </w:p>
        </w:tc>
        <w:tc>
          <w:tcPr>
            <w:tcW w:w="343" w:type="pct"/>
            <w:shd w:val="clear" w:color="000000" w:fill="FFFFFF"/>
            <w:noWrap/>
            <w:vAlign w:val="center"/>
          </w:tcPr>
          <w:p w14:paraId="670D6B4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65.5%</w:t>
            </w:r>
          </w:p>
        </w:tc>
        <w:tc>
          <w:tcPr>
            <w:tcW w:w="343" w:type="pct"/>
            <w:shd w:val="clear" w:color="000000" w:fill="FFFFFF"/>
            <w:noWrap/>
            <w:vAlign w:val="center"/>
          </w:tcPr>
          <w:p w14:paraId="08D93F7D"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116556D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74.6%</w:t>
            </w:r>
          </w:p>
        </w:tc>
        <w:tc>
          <w:tcPr>
            <w:tcW w:w="337" w:type="pct"/>
            <w:shd w:val="clear" w:color="000000" w:fill="FFFFFF"/>
            <w:noWrap/>
            <w:vAlign w:val="center"/>
          </w:tcPr>
          <w:p w14:paraId="77C0FA99"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415ABBE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436720EE" w14:textId="77777777" w:rsidTr="00FF262E">
        <w:trPr>
          <w:cantSplit/>
          <w:trHeight w:val="67"/>
        </w:trPr>
        <w:tc>
          <w:tcPr>
            <w:tcW w:w="286" w:type="pct"/>
            <w:shd w:val="clear" w:color="auto" w:fill="FFFFFF" w:themeFill="background1"/>
            <w:vAlign w:val="center"/>
            <w:hideMark/>
          </w:tcPr>
          <w:p w14:paraId="4358E43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443921D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6</w:t>
            </w:r>
          </w:p>
        </w:tc>
        <w:tc>
          <w:tcPr>
            <w:tcW w:w="250" w:type="pct"/>
            <w:shd w:val="clear" w:color="000000" w:fill="FFFFFF"/>
            <w:noWrap/>
            <w:vAlign w:val="center"/>
            <w:hideMark/>
          </w:tcPr>
          <w:p w14:paraId="5ED551C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38B05E5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59</w:t>
            </w:r>
          </w:p>
        </w:tc>
        <w:tc>
          <w:tcPr>
            <w:tcW w:w="249" w:type="pct"/>
            <w:shd w:val="clear" w:color="000000" w:fill="FFFFFF"/>
            <w:vAlign w:val="center"/>
            <w:hideMark/>
          </w:tcPr>
          <w:p w14:paraId="611F4DBF"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50.0%</w:t>
            </w:r>
          </w:p>
        </w:tc>
        <w:tc>
          <w:tcPr>
            <w:tcW w:w="374" w:type="pct"/>
            <w:shd w:val="clear" w:color="000000" w:fill="FFFFFF"/>
            <w:noWrap/>
            <w:vAlign w:val="center"/>
          </w:tcPr>
          <w:p w14:paraId="08F6900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40.6%</w:t>
            </w:r>
          </w:p>
        </w:tc>
        <w:tc>
          <w:tcPr>
            <w:tcW w:w="406" w:type="pct"/>
            <w:shd w:val="clear" w:color="000000" w:fill="FFFFFF"/>
            <w:noWrap/>
            <w:vAlign w:val="center"/>
          </w:tcPr>
          <w:p w14:paraId="7600F94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59.4%</w:t>
            </w:r>
          </w:p>
        </w:tc>
        <w:tc>
          <w:tcPr>
            <w:tcW w:w="343" w:type="pct"/>
            <w:shd w:val="clear" w:color="000000" w:fill="FFFFFF"/>
            <w:noWrap/>
            <w:vAlign w:val="center"/>
          </w:tcPr>
          <w:p w14:paraId="1E67AEE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51.7%</w:t>
            </w:r>
          </w:p>
        </w:tc>
        <w:tc>
          <w:tcPr>
            <w:tcW w:w="343" w:type="pct"/>
            <w:shd w:val="clear" w:color="000000" w:fill="FFFFFF"/>
            <w:noWrap/>
            <w:vAlign w:val="center"/>
          </w:tcPr>
          <w:p w14:paraId="0AAD7783"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3BCE9AC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59.0%</w:t>
            </w:r>
          </w:p>
        </w:tc>
        <w:tc>
          <w:tcPr>
            <w:tcW w:w="337" w:type="pct"/>
            <w:shd w:val="clear" w:color="000000" w:fill="FFFFFF"/>
            <w:noWrap/>
            <w:vAlign w:val="center"/>
          </w:tcPr>
          <w:p w14:paraId="0014BB5C"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36645D9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4B5F8D87" w14:textId="77777777" w:rsidTr="00FF262E">
        <w:trPr>
          <w:cantSplit/>
          <w:trHeight w:val="67"/>
        </w:trPr>
        <w:tc>
          <w:tcPr>
            <w:tcW w:w="286" w:type="pct"/>
            <w:shd w:val="clear" w:color="auto" w:fill="FFFFFF" w:themeFill="background1"/>
            <w:vAlign w:val="center"/>
            <w:hideMark/>
          </w:tcPr>
          <w:p w14:paraId="66671EFA"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1D1C58D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7</w:t>
            </w:r>
          </w:p>
        </w:tc>
        <w:tc>
          <w:tcPr>
            <w:tcW w:w="250" w:type="pct"/>
            <w:shd w:val="clear" w:color="000000" w:fill="FFFFFF"/>
            <w:noWrap/>
            <w:vAlign w:val="center"/>
            <w:hideMark/>
          </w:tcPr>
          <w:p w14:paraId="6388881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07D9DAB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82</w:t>
            </w:r>
          </w:p>
        </w:tc>
        <w:tc>
          <w:tcPr>
            <w:tcW w:w="249" w:type="pct"/>
            <w:shd w:val="clear" w:color="000000" w:fill="FFFFFF"/>
            <w:vAlign w:val="center"/>
            <w:hideMark/>
          </w:tcPr>
          <w:p w14:paraId="4BA8315D"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69.5%</w:t>
            </w:r>
          </w:p>
        </w:tc>
        <w:tc>
          <w:tcPr>
            <w:tcW w:w="374" w:type="pct"/>
            <w:shd w:val="clear" w:color="000000" w:fill="FFFFFF"/>
            <w:noWrap/>
            <w:vAlign w:val="center"/>
          </w:tcPr>
          <w:p w14:paraId="0E7A8DF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60.8%</w:t>
            </w:r>
          </w:p>
        </w:tc>
        <w:tc>
          <w:tcPr>
            <w:tcW w:w="406" w:type="pct"/>
            <w:shd w:val="clear" w:color="000000" w:fill="FFFFFF"/>
            <w:noWrap/>
            <w:vAlign w:val="center"/>
          </w:tcPr>
          <w:p w14:paraId="0EA3D8C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78.2%</w:t>
            </w:r>
          </w:p>
        </w:tc>
        <w:tc>
          <w:tcPr>
            <w:tcW w:w="343" w:type="pct"/>
            <w:shd w:val="clear" w:color="000000" w:fill="FFFFFF"/>
            <w:noWrap/>
            <w:vAlign w:val="center"/>
          </w:tcPr>
          <w:p w14:paraId="3EC0F52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62.9%</w:t>
            </w:r>
          </w:p>
        </w:tc>
        <w:tc>
          <w:tcPr>
            <w:tcW w:w="343" w:type="pct"/>
            <w:shd w:val="clear" w:color="000000" w:fill="FFFFFF"/>
            <w:noWrap/>
            <w:vAlign w:val="center"/>
          </w:tcPr>
          <w:p w14:paraId="0B8AD535"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6822108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73.0%</w:t>
            </w:r>
          </w:p>
        </w:tc>
        <w:tc>
          <w:tcPr>
            <w:tcW w:w="337" w:type="pct"/>
            <w:shd w:val="clear" w:color="000000" w:fill="FFFFFF"/>
            <w:noWrap/>
            <w:vAlign w:val="center"/>
          </w:tcPr>
          <w:p w14:paraId="7DE095FB"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2BE6ABF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549EF8D1" w14:textId="77777777" w:rsidTr="00FF262E">
        <w:trPr>
          <w:cantSplit/>
          <w:trHeight w:val="67"/>
        </w:trPr>
        <w:tc>
          <w:tcPr>
            <w:tcW w:w="286" w:type="pct"/>
            <w:shd w:val="clear" w:color="auto" w:fill="FFFFFF" w:themeFill="background1"/>
            <w:vAlign w:val="center"/>
            <w:hideMark/>
          </w:tcPr>
          <w:p w14:paraId="2BC53E60"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48F6A38B"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8</w:t>
            </w:r>
          </w:p>
        </w:tc>
        <w:tc>
          <w:tcPr>
            <w:tcW w:w="250" w:type="pct"/>
            <w:shd w:val="clear" w:color="000000" w:fill="FFFFFF"/>
            <w:noWrap/>
            <w:vAlign w:val="center"/>
            <w:hideMark/>
          </w:tcPr>
          <w:p w14:paraId="38ECEDF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7471770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58</w:t>
            </w:r>
          </w:p>
        </w:tc>
        <w:tc>
          <w:tcPr>
            <w:tcW w:w="249" w:type="pct"/>
            <w:shd w:val="clear" w:color="000000" w:fill="FFFFFF"/>
            <w:vAlign w:val="center"/>
            <w:hideMark/>
          </w:tcPr>
          <w:p w14:paraId="3FF0ACD3"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49.2%</w:t>
            </w:r>
          </w:p>
        </w:tc>
        <w:tc>
          <w:tcPr>
            <w:tcW w:w="374" w:type="pct"/>
            <w:shd w:val="clear" w:color="000000" w:fill="FFFFFF"/>
            <w:noWrap/>
            <w:vAlign w:val="center"/>
          </w:tcPr>
          <w:p w14:paraId="0F22ED9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39.7%</w:t>
            </w:r>
          </w:p>
        </w:tc>
        <w:tc>
          <w:tcPr>
            <w:tcW w:w="406" w:type="pct"/>
            <w:shd w:val="clear" w:color="000000" w:fill="FFFFFF"/>
            <w:noWrap/>
            <w:vAlign w:val="center"/>
          </w:tcPr>
          <w:p w14:paraId="4A01E35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58.6%</w:t>
            </w:r>
          </w:p>
        </w:tc>
        <w:tc>
          <w:tcPr>
            <w:tcW w:w="343" w:type="pct"/>
            <w:shd w:val="clear" w:color="000000" w:fill="FFFFFF"/>
            <w:noWrap/>
            <w:vAlign w:val="center"/>
          </w:tcPr>
          <w:p w14:paraId="457B7BD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51.7%</w:t>
            </w:r>
          </w:p>
        </w:tc>
        <w:tc>
          <w:tcPr>
            <w:tcW w:w="343" w:type="pct"/>
            <w:shd w:val="clear" w:color="000000" w:fill="FFFFFF"/>
            <w:noWrap/>
            <w:vAlign w:val="center"/>
          </w:tcPr>
          <w:p w14:paraId="2D4B9F6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492F359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58.0%</w:t>
            </w:r>
          </w:p>
        </w:tc>
        <w:tc>
          <w:tcPr>
            <w:tcW w:w="337" w:type="pct"/>
            <w:shd w:val="clear" w:color="000000" w:fill="FFFFFF"/>
            <w:noWrap/>
            <w:vAlign w:val="center"/>
          </w:tcPr>
          <w:p w14:paraId="3328CA43"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3EE43A5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41485384" w14:textId="77777777" w:rsidTr="00FF262E">
        <w:trPr>
          <w:cantSplit/>
          <w:trHeight w:val="67"/>
        </w:trPr>
        <w:tc>
          <w:tcPr>
            <w:tcW w:w="286" w:type="pct"/>
            <w:shd w:val="clear" w:color="auto" w:fill="FFFFFF" w:themeFill="background1"/>
            <w:vAlign w:val="center"/>
            <w:hideMark/>
          </w:tcPr>
          <w:p w14:paraId="71BC4243"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5E470A7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9</w:t>
            </w:r>
          </w:p>
        </w:tc>
        <w:tc>
          <w:tcPr>
            <w:tcW w:w="250" w:type="pct"/>
            <w:shd w:val="clear" w:color="000000" w:fill="FFFFFF"/>
            <w:noWrap/>
            <w:vAlign w:val="center"/>
            <w:hideMark/>
          </w:tcPr>
          <w:p w14:paraId="6669301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6C672A1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54</w:t>
            </w:r>
          </w:p>
        </w:tc>
        <w:tc>
          <w:tcPr>
            <w:tcW w:w="249" w:type="pct"/>
            <w:shd w:val="clear" w:color="000000" w:fill="FFFFFF"/>
            <w:vAlign w:val="center"/>
            <w:hideMark/>
          </w:tcPr>
          <w:p w14:paraId="4CC77E1D"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45.8%</w:t>
            </w:r>
          </w:p>
        </w:tc>
        <w:tc>
          <w:tcPr>
            <w:tcW w:w="374" w:type="pct"/>
            <w:shd w:val="clear" w:color="000000" w:fill="FFFFFF"/>
            <w:noWrap/>
            <w:vAlign w:val="center"/>
          </w:tcPr>
          <w:p w14:paraId="1C3E07D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36.3%</w:t>
            </w:r>
          </w:p>
        </w:tc>
        <w:tc>
          <w:tcPr>
            <w:tcW w:w="406" w:type="pct"/>
            <w:shd w:val="clear" w:color="000000" w:fill="FFFFFF"/>
            <w:noWrap/>
            <w:vAlign w:val="center"/>
          </w:tcPr>
          <w:p w14:paraId="12BE71E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55.2%</w:t>
            </w:r>
          </w:p>
        </w:tc>
        <w:tc>
          <w:tcPr>
            <w:tcW w:w="343" w:type="pct"/>
            <w:shd w:val="clear" w:color="000000" w:fill="FFFFFF"/>
            <w:noWrap/>
            <w:vAlign w:val="center"/>
          </w:tcPr>
          <w:p w14:paraId="2F24A5B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48.3%</w:t>
            </w:r>
          </w:p>
        </w:tc>
        <w:tc>
          <w:tcPr>
            <w:tcW w:w="343" w:type="pct"/>
            <w:shd w:val="clear" w:color="000000" w:fill="FFFFFF"/>
            <w:noWrap/>
            <w:vAlign w:val="center"/>
          </w:tcPr>
          <w:p w14:paraId="2BF69F3F"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2F48031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54.0%</w:t>
            </w:r>
          </w:p>
        </w:tc>
        <w:tc>
          <w:tcPr>
            <w:tcW w:w="337" w:type="pct"/>
            <w:shd w:val="clear" w:color="000000" w:fill="FFFFFF"/>
            <w:noWrap/>
            <w:vAlign w:val="center"/>
          </w:tcPr>
          <w:p w14:paraId="78AB3C9A"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5C40E97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5C60B9B5" w14:textId="77777777" w:rsidTr="00FF262E">
        <w:trPr>
          <w:cantSplit/>
          <w:trHeight w:val="67"/>
        </w:trPr>
        <w:tc>
          <w:tcPr>
            <w:tcW w:w="286" w:type="pct"/>
            <w:shd w:val="clear" w:color="auto" w:fill="FFFFFF" w:themeFill="background1"/>
            <w:vAlign w:val="center"/>
            <w:hideMark/>
          </w:tcPr>
          <w:p w14:paraId="0EB8C307"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611E8F60"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Childhood Immunization Status—Combination 10</w:t>
            </w:r>
          </w:p>
        </w:tc>
        <w:tc>
          <w:tcPr>
            <w:tcW w:w="250" w:type="pct"/>
            <w:shd w:val="clear" w:color="000000" w:fill="FFFFFF"/>
            <w:noWrap/>
            <w:vAlign w:val="center"/>
            <w:hideMark/>
          </w:tcPr>
          <w:p w14:paraId="6C6F39A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118</w:t>
            </w:r>
          </w:p>
        </w:tc>
        <w:tc>
          <w:tcPr>
            <w:tcW w:w="250" w:type="pct"/>
            <w:shd w:val="clear" w:color="000000" w:fill="FFFFFF"/>
            <w:vAlign w:val="center"/>
            <w:hideMark/>
          </w:tcPr>
          <w:p w14:paraId="02049FF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w:t>
            </w:r>
          </w:p>
        </w:tc>
        <w:tc>
          <w:tcPr>
            <w:tcW w:w="249" w:type="pct"/>
            <w:shd w:val="clear" w:color="000000" w:fill="FFFFFF"/>
            <w:vAlign w:val="center"/>
            <w:hideMark/>
          </w:tcPr>
          <w:p w14:paraId="06792218"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44.9%</w:t>
            </w:r>
          </w:p>
        </w:tc>
        <w:tc>
          <w:tcPr>
            <w:tcW w:w="374" w:type="pct"/>
            <w:shd w:val="clear" w:color="000000" w:fill="FFFFFF"/>
            <w:noWrap/>
            <w:vAlign w:val="center"/>
          </w:tcPr>
          <w:p w14:paraId="701DAD0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35.5%</w:t>
            </w:r>
          </w:p>
        </w:tc>
        <w:tc>
          <w:tcPr>
            <w:tcW w:w="406" w:type="pct"/>
            <w:shd w:val="clear" w:color="000000" w:fill="FFFFFF"/>
            <w:noWrap/>
            <w:vAlign w:val="center"/>
          </w:tcPr>
          <w:p w14:paraId="3D83491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54.3%</w:t>
            </w:r>
          </w:p>
        </w:tc>
        <w:tc>
          <w:tcPr>
            <w:tcW w:w="343" w:type="pct"/>
            <w:shd w:val="clear" w:color="000000" w:fill="FFFFFF"/>
            <w:noWrap/>
            <w:vAlign w:val="center"/>
          </w:tcPr>
          <w:p w14:paraId="7096B49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48.3%</w:t>
            </w:r>
          </w:p>
        </w:tc>
        <w:tc>
          <w:tcPr>
            <w:tcW w:w="343" w:type="pct"/>
            <w:shd w:val="clear" w:color="000000" w:fill="FFFFFF"/>
            <w:noWrap/>
            <w:vAlign w:val="center"/>
          </w:tcPr>
          <w:p w14:paraId="609BE804"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5820BA6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53.3%</w:t>
            </w:r>
          </w:p>
        </w:tc>
        <w:tc>
          <w:tcPr>
            <w:tcW w:w="337" w:type="pct"/>
            <w:shd w:val="clear" w:color="000000" w:fill="FFFFFF"/>
            <w:noWrap/>
            <w:vAlign w:val="center"/>
          </w:tcPr>
          <w:p w14:paraId="7A9B7F77"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3A76031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4559074B" w14:textId="77777777" w:rsidTr="00FF262E">
        <w:trPr>
          <w:cantSplit/>
          <w:trHeight w:val="67"/>
        </w:trPr>
        <w:tc>
          <w:tcPr>
            <w:tcW w:w="286" w:type="pct"/>
            <w:shd w:val="clear" w:color="auto" w:fill="FFFFFF" w:themeFill="background1"/>
            <w:vAlign w:val="center"/>
            <w:hideMark/>
          </w:tcPr>
          <w:p w14:paraId="05C12B60"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5EA9B47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Immunizations for Adolescents—</w:t>
            </w:r>
            <w:r w:rsidRPr="00411D9E">
              <w:rPr>
                <w:rFonts w:eastAsia="Times New Roman" w:cstheme="minorHAnsi"/>
                <w:sz w:val="20"/>
                <w:szCs w:val="20"/>
                <w:lang w:bidi="ar-SA"/>
              </w:rPr>
              <w:br/>
              <w:t>Meningococcal</w:t>
            </w:r>
          </w:p>
        </w:tc>
        <w:tc>
          <w:tcPr>
            <w:tcW w:w="250" w:type="pct"/>
            <w:shd w:val="clear" w:color="000000" w:fill="FFFFFF"/>
            <w:noWrap/>
            <w:vAlign w:val="center"/>
            <w:hideMark/>
          </w:tcPr>
          <w:p w14:paraId="2F7C90E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536</w:t>
            </w:r>
          </w:p>
        </w:tc>
        <w:tc>
          <w:tcPr>
            <w:tcW w:w="250" w:type="pct"/>
            <w:shd w:val="clear" w:color="000000" w:fill="FFFFFF"/>
            <w:vAlign w:val="center"/>
            <w:hideMark/>
          </w:tcPr>
          <w:p w14:paraId="58D06BD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387</w:t>
            </w:r>
          </w:p>
        </w:tc>
        <w:tc>
          <w:tcPr>
            <w:tcW w:w="249" w:type="pct"/>
            <w:shd w:val="clear" w:color="000000" w:fill="FFFFFF"/>
            <w:vAlign w:val="center"/>
            <w:hideMark/>
          </w:tcPr>
          <w:p w14:paraId="4EC653ED"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94.2%</w:t>
            </w:r>
          </w:p>
        </w:tc>
        <w:tc>
          <w:tcPr>
            <w:tcW w:w="374" w:type="pct"/>
            <w:shd w:val="clear" w:color="000000" w:fill="FFFFFF"/>
            <w:noWrap/>
            <w:vAlign w:val="center"/>
          </w:tcPr>
          <w:p w14:paraId="298E7AC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92.1%</w:t>
            </w:r>
          </w:p>
        </w:tc>
        <w:tc>
          <w:tcPr>
            <w:tcW w:w="406" w:type="pct"/>
            <w:shd w:val="clear" w:color="000000" w:fill="FFFFFF"/>
            <w:noWrap/>
            <w:vAlign w:val="center"/>
          </w:tcPr>
          <w:p w14:paraId="5A07CE7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96.2%</w:t>
            </w:r>
          </w:p>
        </w:tc>
        <w:tc>
          <w:tcPr>
            <w:tcW w:w="343" w:type="pct"/>
            <w:shd w:val="clear" w:color="000000" w:fill="FFFFFF"/>
            <w:noWrap/>
            <w:vAlign w:val="center"/>
          </w:tcPr>
          <w:p w14:paraId="7887DC2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92.0%</w:t>
            </w:r>
          </w:p>
        </w:tc>
        <w:tc>
          <w:tcPr>
            <w:tcW w:w="343" w:type="pct"/>
            <w:shd w:val="clear" w:color="000000" w:fill="FFFFFF"/>
            <w:noWrap/>
            <w:vAlign w:val="center"/>
          </w:tcPr>
          <w:p w14:paraId="0F16B8B7"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75B8FC7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90.9%</w:t>
            </w:r>
          </w:p>
        </w:tc>
        <w:tc>
          <w:tcPr>
            <w:tcW w:w="337" w:type="pct"/>
            <w:shd w:val="clear" w:color="000000" w:fill="FFFFFF"/>
            <w:noWrap/>
            <w:vAlign w:val="center"/>
          </w:tcPr>
          <w:p w14:paraId="54B9BBEA"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746AEED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67FCC91E" w14:textId="77777777" w:rsidTr="00FF262E">
        <w:trPr>
          <w:cantSplit/>
          <w:trHeight w:val="67"/>
        </w:trPr>
        <w:tc>
          <w:tcPr>
            <w:tcW w:w="286" w:type="pct"/>
            <w:shd w:val="clear" w:color="auto" w:fill="FFFFFF" w:themeFill="background1"/>
            <w:vAlign w:val="center"/>
            <w:hideMark/>
          </w:tcPr>
          <w:p w14:paraId="03799ECB"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6BCD7D5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Immunizations for Adolescents—Tdap</w:t>
            </w:r>
          </w:p>
        </w:tc>
        <w:tc>
          <w:tcPr>
            <w:tcW w:w="250" w:type="pct"/>
            <w:shd w:val="clear" w:color="000000" w:fill="FFFFFF"/>
            <w:noWrap/>
            <w:vAlign w:val="center"/>
            <w:hideMark/>
          </w:tcPr>
          <w:p w14:paraId="454EDAF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536</w:t>
            </w:r>
          </w:p>
        </w:tc>
        <w:tc>
          <w:tcPr>
            <w:tcW w:w="250" w:type="pct"/>
            <w:shd w:val="clear" w:color="000000" w:fill="FFFFFF"/>
            <w:vAlign w:val="center"/>
            <w:hideMark/>
          </w:tcPr>
          <w:p w14:paraId="7D32CD2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385</w:t>
            </w:r>
          </w:p>
        </w:tc>
        <w:tc>
          <w:tcPr>
            <w:tcW w:w="249" w:type="pct"/>
            <w:shd w:val="clear" w:color="000000" w:fill="FFFFFF"/>
            <w:vAlign w:val="center"/>
            <w:hideMark/>
          </w:tcPr>
          <w:p w14:paraId="20F6584C"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93.7%</w:t>
            </w:r>
          </w:p>
        </w:tc>
        <w:tc>
          <w:tcPr>
            <w:tcW w:w="374" w:type="pct"/>
            <w:shd w:val="clear" w:color="000000" w:fill="FFFFFF"/>
            <w:noWrap/>
            <w:vAlign w:val="center"/>
          </w:tcPr>
          <w:p w14:paraId="25A6156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91.5%</w:t>
            </w:r>
          </w:p>
        </w:tc>
        <w:tc>
          <w:tcPr>
            <w:tcW w:w="406" w:type="pct"/>
            <w:shd w:val="clear" w:color="000000" w:fill="FFFFFF"/>
            <w:noWrap/>
            <w:vAlign w:val="center"/>
          </w:tcPr>
          <w:p w14:paraId="6F8F05C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95.8%</w:t>
            </w:r>
          </w:p>
        </w:tc>
        <w:tc>
          <w:tcPr>
            <w:tcW w:w="343" w:type="pct"/>
            <w:shd w:val="clear" w:color="000000" w:fill="FFFFFF"/>
            <w:noWrap/>
            <w:vAlign w:val="center"/>
          </w:tcPr>
          <w:p w14:paraId="5CDE61F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92.5%</w:t>
            </w:r>
          </w:p>
        </w:tc>
        <w:tc>
          <w:tcPr>
            <w:tcW w:w="343" w:type="pct"/>
            <w:shd w:val="clear" w:color="000000" w:fill="FFFFFF"/>
            <w:noWrap/>
            <w:vAlign w:val="center"/>
          </w:tcPr>
          <w:p w14:paraId="5A610823"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5782048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91.5%</w:t>
            </w:r>
          </w:p>
        </w:tc>
        <w:tc>
          <w:tcPr>
            <w:tcW w:w="337" w:type="pct"/>
            <w:shd w:val="clear" w:color="000000" w:fill="FFFFFF"/>
            <w:noWrap/>
            <w:vAlign w:val="center"/>
          </w:tcPr>
          <w:p w14:paraId="31F4726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09D5BE93"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4C364FFB" w14:textId="77777777" w:rsidTr="00FF262E">
        <w:trPr>
          <w:cantSplit/>
          <w:trHeight w:val="67"/>
        </w:trPr>
        <w:tc>
          <w:tcPr>
            <w:tcW w:w="286" w:type="pct"/>
            <w:shd w:val="clear" w:color="auto" w:fill="FFFFFF" w:themeFill="background1"/>
            <w:vAlign w:val="center"/>
            <w:hideMark/>
          </w:tcPr>
          <w:p w14:paraId="67BC7B2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44CE9A8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Immunizations for Adolescents—HPV</w:t>
            </w:r>
          </w:p>
        </w:tc>
        <w:tc>
          <w:tcPr>
            <w:tcW w:w="250" w:type="pct"/>
            <w:shd w:val="clear" w:color="000000" w:fill="FFFFFF"/>
            <w:noWrap/>
            <w:vAlign w:val="center"/>
            <w:hideMark/>
          </w:tcPr>
          <w:p w14:paraId="450A3E4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536</w:t>
            </w:r>
          </w:p>
        </w:tc>
        <w:tc>
          <w:tcPr>
            <w:tcW w:w="250" w:type="pct"/>
            <w:shd w:val="clear" w:color="000000" w:fill="FFFFFF"/>
            <w:vAlign w:val="center"/>
            <w:hideMark/>
          </w:tcPr>
          <w:p w14:paraId="3504D7F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137</w:t>
            </w:r>
          </w:p>
        </w:tc>
        <w:tc>
          <w:tcPr>
            <w:tcW w:w="249" w:type="pct"/>
            <w:shd w:val="clear" w:color="000000" w:fill="FFFFFF"/>
            <w:vAlign w:val="center"/>
            <w:hideMark/>
          </w:tcPr>
          <w:p w14:paraId="15DE8104"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33.3%</w:t>
            </w:r>
          </w:p>
        </w:tc>
        <w:tc>
          <w:tcPr>
            <w:tcW w:w="374" w:type="pct"/>
            <w:shd w:val="clear" w:color="000000" w:fill="FFFFFF"/>
            <w:noWrap/>
            <w:vAlign w:val="center"/>
          </w:tcPr>
          <w:p w14:paraId="14083F3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29.2%</w:t>
            </w:r>
          </w:p>
        </w:tc>
        <w:tc>
          <w:tcPr>
            <w:tcW w:w="406" w:type="pct"/>
            <w:shd w:val="clear" w:color="000000" w:fill="FFFFFF"/>
            <w:noWrap/>
            <w:vAlign w:val="center"/>
          </w:tcPr>
          <w:p w14:paraId="1B6DBC6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37.4%</w:t>
            </w:r>
          </w:p>
        </w:tc>
        <w:tc>
          <w:tcPr>
            <w:tcW w:w="343" w:type="pct"/>
            <w:shd w:val="clear" w:color="000000" w:fill="FFFFFF"/>
            <w:noWrap/>
            <w:vAlign w:val="center"/>
          </w:tcPr>
          <w:p w14:paraId="5BE1A7B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34.1%</w:t>
            </w:r>
          </w:p>
        </w:tc>
        <w:tc>
          <w:tcPr>
            <w:tcW w:w="343" w:type="pct"/>
            <w:shd w:val="clear" w:color="000000" w:fill="FFFFFF"/>
            <w:noWrap/>
            <w:vAlign w:val="center"/>
          </w:tcPr>
          <w:p w14:paraId="7AEAF6D5"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230C38C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38.4%</w:t>
            </w:r>
          </w:p>
        </w:tc>
        <w:tc>
          <w:tcPr>
            <w:tcW w:w="337" w:type="pct"/>
            <w:shd w:val="clear" w:color="000000" w:fill="FFFFFF"/>
            <w:noWrap/>
            <w:vAlign w:val="center"/>
          </w:tcPr>
          <w:p w14:paraId="26EBC7D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3E5E8C3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180EB21E" w14:textId="77777777" w:rsidTr="00FF262E">
        <w:trPr>
          <w:cantSplit/>
          <w:trHeight w:val="67"/>
        </w:trPr>
        <w:tc>
          <w:tcPr>
            <w:tcW w:w="286" w:type="pct"/>
            <w:shd w:val="clear" w:color="auto" w:fill="FFFFFF" w:themeFill="background1"/>
            <w:vAlign w:val="center"/>
            <w:hideMark/>
          </w:tcPr>
          <w:p w14:paraId="5AA731E4"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5B31CC4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Immunizations for Adolescents—</w:t>
            </w:r>
            <w:r w:rsidRPr="00411D9E">
              <w:rPr>
                <w:rFonts w:eastAsia="Times New Roman" w:cstheme="minorHAnsi"/>
                <w:sz w:val="20"/>
                <w:szCs w:val="20"/>
                <w:lang w:bidi="ar-SA"/>
              </w:rPr>
              <w:br/>
              <w:t>Combination 1</w:t>
            </w:r>
          </w:p>
        </w:tc>
        <w:tc>
          <w:tcPr>
            <w:tcW w:w="250" w:type="pct"/>
            <w:shd w:val="clear" w:color="000000" w:fill="FFFFFF"/>
            <w:noWrap/>
            <w:vAlign w:val="center"/>
            <w:hideMark/>
          </w:tcPr>
          <w:p w14:paraId="2076681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536</w:t>
            </w:r>
          </w:p>
        </w:tc>
        <w:tc>
          <w:tcPr>
            <w:tcW w:w="250" w:type="pct"/>
            <w:shd w:val="clear" w:color="000000" w:fill="FFFFFF"/>
            <w:vAlign w:val="center"/>
            <w:hideMark/>
          </w:tcPr>
          <w:p w14:paraId="7984A30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380</w:t>
            </w:r>
          </w:p>
        </w:tc>
        <w:tc>
          <w:tcPr>
            <w:tcW w:w="249" w:type="pct"/>
            <w:shd w:val="clear" w:color="000000" w:fill="FFFFFF"/>
            <w:vAlign w:val="center"/>
            <w:hideMark/>
          </w:tcPr>
          <w:p w14:paraId="706E5D57"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92.5%</w:t>
            </w:r>
          </w:p>
        </w:tc>
        <w:tc>
          <w:tcPr>
            <w:tcW w:w="374" w:type="pct"/>
            <w:shd w:val="clear" w:color="000000" w:fill="FFFFFF"/>
            <w:noWrap/>
            <w:vAlign w:val="center"/>
          </w:tcPr>
          <w:p w14:paraId="54FFB5B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90.1%</w:t>
            </w:r>
          </w:p>
        </w:tc>
        <w:tc>
          <w:tcPr>
            <w:tcW w:w="406" w:type="pct"/>
            <w:shd w:val="clear" w:color="000000" w:fill="FFFFFF"/>
            <w:noWrap/>
            <w:vAlign w:val="center"/>
          </w:tcPr>
          <w:p w14:paraId="70EBD31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94.8%</w:t>
            </w:r>
          </w:p>
        </w:tc>
        <w:tc>
          <w:tcPr>
            <w:tcW w:w="343" w:type="pct"/>
            <w:shd w:val="clear" w:color="000000" w:fill="FFFFFF"/>
            <w:noWrap/>
            <w:vAlign w:val="center"/>
          </w:tcPr>
          <w:p w14:paraId="220F46B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90.5%</w:t>
            </w:r>
          </w:p>
        </w:tc>
        <w:tc>
          <w:tcPr>
            <w:tcW w:w="343" w:type="pct"/>
            <w:shd w:val="clear" w:color="000000" w:fill="FFFFFF"/>
            <w:noWrap/>
            <w:vAlign w:val="center"/>
          </w:tcPr>
          <w:p w14:paraId="3F17ED03"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13EC577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89.9%</w:t>
            </w:r>
          </w:p>
        </w:tc>
        <w:tc>
          <w:tcPr>
            <w:tcW w:w="337" w:type="pct"/>
            <w:shd w:val="clear" w:color="000000" w:fill="FFFFFF"/>
            <w:noWrap/>
            <w:vAlign w:val="center"/>
          </w:tcPr>
          <w:p w14:paraId="6CE46617"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112D75D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18288BA1" w14:textId="77777777" w:rsidTr="00FF262E">
        <w:trPr>
          <w:cantSplit/>
          <w:trHeight w:val="67"/>
        </w:trPr>
        <w:tc>
          <w:tcPr>
            <w:tcW w:w="286" w:type="pct"/>
            <w:shd w:val="clear" w:color="auto" w:fill="FFFFFF" w:themeFill="background1"/>
            <w:vAlign w:val="center"/>
            <w:hideMark/>
          </w:tcPr>
          <w:p w14:paraId="06D3E9CA"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0ABCA96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Immunizations for Adolescents—</w:t>
            </w:r>
            <w:r w:rsidRPr="00411D9E">
              <w:rPr>
                <w:rFonts w:eastAsia="Times New Roman" w:cstheme="minorHAnsi"/>
                <w:sz w:val="20"/>
                <w:szCs w:val="20"/>
                <w:lang w:bidi="ar-SA"/>
              </w:rPr>
              <w:br/>
              <w:t>Combination 2</w:t>
            </w:r>
          </w:p>
        </w:tc>
        <w:tc>
          <w:tcPr>
            <w:tcW w:w="250" w:type="pct"/>
            <w:shd w:val="clear" w:color="000000" w:fill="FFFFFF"/>
            <w:noWrap/>
            <w:vAlign w:val="center"/>
            <w:hideMark/>
          </w:tcPr>
          <w:p w14:paraId="02BB7EA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536</w:t>
            </w:r>
          </w:p>
        </w:tc>
        <w:tc>
          <w:tcPr>
            <w:tcW w:w="250" w:type="pct"/>
            <w:shd w:val="clear" w:color="000000" w:fill="FFFFFF"/>
            <w:vAlign w:val="center"/>
            <w:hideMark/>
          </w:tcPr>
          <w:p w14:paraId="6DF79DC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134</w:t>
            </w:r>
          </w:p>
        </w:tc>
        <w:tc>
          <w:tcPr>
            <w:tcW w:w="249" w:type="pct"/>
            <w:shd w:val="clear" w:color="000000" w:fill="FFFFFF"/>
            <w:vAlign w:val="center"/>
            <w:hideMark/>
          </w:tcPr>
          <w:p w14:paraId="4F6C7020"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32.6%</w:t>
            </w:r>
          </w:p>
        </w:tc>
        <w:tc>
          <w:tcPr>
            <w:tcW w:w="374" w:type="pct"/>
            <w:shd w:val="clear" w:color="000000" w:fill="FFFFFF"/>
            <w:noWrap/>
            <w:vAlign w:val="center"/>
          </w:tcPr>
          <w:p w14:paraId="0E16593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28.5%</w:t>
            </w:r>
          </w:p>
        </w:tc>
        <w:tc>
          <w:tcPr>
            <w:tcW w:w="406" w:type="pct"/>
            <w:shd w:val="clear" w:color="000000" w:fill="FFFFFF"/>
            <w:noWrap/>
            <w:vAlign w:val="center"/>
          </w:tcPr>
          <w:p w14:paraId="0A69417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36.7%</w:t>
            </w:r>
          </w:p>
        </w:tc>
        <w:tc>
          <w:tcPr>
            <w:tcW w:w="343" w:type="pct"/>
            <w:shd w:val="clear" w:color="000000" w:fill="FFFFFF"/>
            <w:noWrap/>
            <w:vAlign w:val="center"/>
          </w:tcPr>
          <w:p w14:paraId="030030D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32.6%</w:t>
            </w:r>
          </w:p>
        </w:tc>
        <w:tc>
          <w:tcPr>
            <w:tcW w:w="343" w:type="pct"/>
            <w:shd w:val="clear" w:color="000000" w:fill="FFFFFF"/>
            <w:noWrap/>
            <w:vAlign w:val="center"/>
          </w:tcPr>
          <w:p w14:paraId="395E8910"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287" w:type="pct"/>
            <w:shd w:val="clear" w:color="000000" w:fill="FFFFFF"/>
            <w:noWrap/>
            <w:vAlign w:val="center"/>
          </w:tcPr>
          <w:p w14:paraId="7ABD064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37.6%</w:t>
            </w:r>
          </w:p>
        </w:tc>
        <w:tc>
          <w:tcPr>
            <w:tcW w:w="337" w:type="pct"/>
            <w:shd w:val="clear" w:color="000000" w:fill="FFFFFF"/>
            <w:noWrap/>
            <w:vAlign w:val="center"/>
          </w:tcPr>
          <w:p w14:paraId="40A7A07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534" w:type="pct"/>
            <w:shd w:val="clear" w:color="000000" w:fill="FFFFFF"/>
            <w:vAlign w:val="center"/>
            <w:hideMark/>
          </w:tcPr>
          <w:p w14:paraId="79C510F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4445F277" w14:textId="77777777" w:rsidTr="00FF262E">
        <w:trPr>
          <w:cantSplit/>
          <w:trHeight w:val="88"/>
        </w:trPr>
        <w:tc>
          <w:tcPr>
            <w:tcW w:w="286" w:type="pct"/>
            <w:shd w:val="clear" w:color="auto" w:fill="FFFFFF" w:themeFill="background1"/>
            <w:vAlign w:val="center"/>
            <w:hideMark/>
          </w:tcPr>
          <w:p w14:paraId="66816671"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0D43FDC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Well-Child Visits in the First 30 Months of Life</w:t>
            </w:r>
            <w:r w:rsidRPr="00411D9E">
              <w:rPr>
                <w:rFonts w:eastAsia="Times New Roman" w:cstheme="minorHAnsi"/>
                <w:sz w:val="20"/>
                <w:szCs w:val="20"/>
                <w:lang w:bidi="ar-SA"/>
              </w:rPr>
              <w:br/>
              <w:t>(15 months ≥ 6 Visits)</w:t>
            </w:r>
          </w:p>
        </w:tc>
        <w:tc>
          <w:tcPr>
            <w:tcW w:w="250" w:type="pct"/>
            <w:shd w:val="clear" w:color="000000" w:fill="FFFFFF"/>
            <w:noWrap/>
            <w:vAlign w:val="center"/>
            <w:hideMark/>
          </w:tcPr>
          <w:p w14:paraId="046B9762"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40</w:t>
            </w:r>
          </w:p>
        </w:tc>
        <w:tc>
          <w:tcPr>
            <w:tcW w:w="250" w:type="pct"/>
            <w:shd w:val="clear" w:color="000000" w:fill="FFFFFF"/>
            <w:vAlign w:val="center"/>
            <w:hideMark/>
          </w:tcPr>
          <w:p w14:paraId="2E9B472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28</w:t>
            </w:r>
          </w:p>
        </w:tc>
        <w:tc>
          <w:tcPr>
            <w:tcW w:w="249" w:type="pct"/>
            <w:shd w:val="clear" w:color="000000" w:fill="FFFFFF"/>
            <w:vAlign w:val="center"/>
            <w:hideMark/>
          </w:tcPr>
          <w:p w14:paraId="1605274B"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70.0%</w:t>
            </w:r>
          </w:p>
        </w:tc>
        <w:tc>
          <w:tcPr>
            <w:tcW w:w="374" w:type="pct"/>
            <w:shd w:val="clear" w:color="000000" w:fill="FFFFFF"/>
            <w:noWrap/>
            <w:vAlign w:val="center"/>
          </w:tcPr>
          <w:p w14:paraId="5EC11B5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54.5%</w:t>
            </w:r>
          </w:p>
        </w:tc>
        <w:tc>
          <w:tcPr>
            <w:tcW w:w="406" w:type="pct"/>
            <w:shd w:val="clear" w:color="000000" w:fill="FFFFFF"/>
            <w:noWrap/>
            <w:vAlign w:val="center"/>
          </w:tcPr>
          <w:p w14:paraId="3142FA8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85.5%</w:t>
            </w:r>
          </w:p>
        </w:tc>
        <w:tc>
          <w:tcPr>
            <w:tcW w:w="343" w:type="pct"/>
            <w:shd w:val="clear" w:color="000000" w:fill="FFFFFF"/>
            <w:noWrap/>
            <w:vAlign w:val="center"/>
          </w:tcPr>
          <w:p w14:paraId="7191D4AC"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89.7%</w:t>
            </w:r>
          </w:p>
        </w:tc>
        <w:tc>
          <w:tcPr>
            <w:tcW w:w="343" w:type="pct"/>
            <w:shd w:val="clear" w:color="000000" w:fill="FFFFFF"/>
            <w:noWrap/>
            <w:vAlign w:val="center"/>
          </w:tcPr>
          <w:p w14:paraId="0298BD3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w:t>
            </w:r>
          </w:p>
        </w:tc>
        <w:tc>
          <w:tcPr>
            <w:tcW w:w="287" w:type="pct"/>
            <w:shd w:val="clear" w:color="000000" w:fill="FFFFFF"/>
            <w:noWrap/>
            <w:vAlign w:val="center"/>
          </w:tcPr>
          <w:p w14:paraId="389F2AF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60.3%</w:t>
            </w:r>
          </w:p>
        </w:tc>
        <w:tc>
          <w:tcPr>
            <w:tcW w:w="337" w:type="pct"/>
            <w:shd w:val="clear" w:color="000000" w:fill="FFFFFF"/>
            <w:noWrap/>
            <w:vAlign w:val="center"/>
          </w:tcPr>
          <w:p w14:paraId="4D400C9D"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2D30CD6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0C2F8329" w14:textId="77777777" w:rsidTr="00FF262E">
        <w:trPr>
          <w:cantSplit/>
          <w:trHeight w:val="67"/>
        </w:trPr>
        <w:tc>
          <w:tcPr>
            <w:tcW w:w="286" w:type="pct"/>
            <w:shd w:val="clear" w:color="auto" w:fill="FFFFFF" w:themeFill="background1"/>
            <w:vAlign w:val="center"/>
            <w:hideMark/>
          </w:tcPr>
          <w:p w14:paraId="4A73A296"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513128C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Well-Child Visits in the First 30 Months of Life</w:t>
            </w:r>
            <w:r w:rsidRPr="00411D9E">
              <w:rPr>
                <w:rFonts w:eastAsia="Times New Roman" w:cstheme="minorHAnsi"/>
                <w:sz w:val="20"/>
                <w:szCs w:val="20"/>
                <w:lang w:bidi="ar-SA"/>
              </w:rPr>
              <w:br/>
              <w:t>(15-30 months ≥ 2 Visits)</w:t>
            </w:r>
          </w:p>
        </w:tc>
        <w:tc>
          <w:tcPr>
            <w:tcW w:w="250" w:type="pct"/>
            <w:shd w:val="clear" w:color="000000" w:fill="FFFFFF"/>
            <w:noWrap/>
            <w:vAlign w:val="center"/>
            <w:hideMark/>
          </w:tcPr>
          <w:p w14:paraId="65F68E1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152</w:t>
            </w:r>
          </w:p>
        </w:tc>
        <w:tc>
          <w:tcPr>
            <w:tcW w:w="250" w:type="pct"/>
            <w:shd w:val="clear" w:color="000000" w:fill="FFFFFF"/>
            <w:vAlign w:val="center"/>
            <w:hideMark/>
          </w:tcPr>
          <w:p w14:paraId="3EB712B4"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137</w:t>
            </w:r>
          </w:p>
        </w:tc>
        <w:tc>
          <w:tcPr>
            <w:tcW w:w="249" w:type="pct"/>
            <w:shd w:val="clear" w:color="000000" w:fill="FFFFFF"/>
            <w:vAlign w:val="center"/>
            <w:hideMark/>
          </w:tcPr>
          <w:p w14:paraId="10555C42"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90.1%</w:t>
            </w:r>
          </w:p>
        </w:tc>
        <w:tc>
          <w:tcPr>
            <w:tcW w:w="374" w:type="pct"/>
            <w:shd w:val="clear" w:color="000000" w:fill="FFFFFF"/>
            <w:noWrap/>
            <w:vAlign w:val="center"/>
          </w:tcPr>
          <w:p w14:paraId="35C113C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85.1%</w:t>
            </w:r>
          </w:p>
        </w:tc>
        <w:tc>
          <w:tcPr>
            <w:tcW w:w="406" w:type="pct"/>
            <w:shd w:val="clear" w:color="000000" w:fill="FFFFFF"/>
            <w:noWrap/>
            <w:vAlign w:val="center"/>
          </w:tcPr>
          <w:p w14:paraId="4B20EE9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95.2%</w:t>
            </w:r>
          </w:p>
        </w:tc>
        <w:tc>
          <w:tcPr>
            <w:tcW w:w="343" w:type="pct"/>
            <w:shd w:val="clear" w:color="000000" w:fill="FFFFFF"/>
            <w:noWrap/>
            <w:vAlign w:val="center"/>
          </w:tcPr>
          <w:p w14:paraId="496F131E" w14:textId="0B771E9B"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343" w:type="pct"/>
            <w:shd w:val="clear" w:color="000000" w:fill="FFFFFF"/>
            <w:noWrap/>
            <w:vAlign w:val="center"/>
          </w:tcPr>
          <w:p w14:paraId="453D3912" w14:textId="2231DF40"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287" w:type="pct"/>
            <w:shd w:val="clear" w:color="000000" w:fill="FFFFFF"/>
            <w:noWrap/>
            <w:vAlign w:val="center"/>
          </w:tcPr>
          <w:p w14:paraId="58C332D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89.5%</w:t>
            </w:r>
          </w:p>
        </w:tc>
        <w:tc>
          <w:tcPr>
            <w:tcW w:w="337" w:type="pct"/>
            <w:shd w:val="clear" w:color="000000" w:fill="FFFFFF"/>
            <w:noWrap/>
            <w:vAlign w:val="center"/>
          </w:tcPr>
          <w:p w14:paraId="53825100"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496A403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7F2594C2" w14:textId="77777777" w:rsidTr="00FF262E">
        <w:trPr>
          <w:cantSplit/>
          <w:trHeight w:val="67"/>
        </w:trPr>
        <w:tc>
          <w:tcPr>
            <w:tcW w:w="286" w:type="pct"/>
            <w:shd w:val="clear" w:color="auto" w:fill="FFFFFF" w:themeFill="background1"/>
            <w:vAlign w:val="center"/>
            <w:hideMark/>
          </w:tcPr>
          <w:p w14:paraId="15C7804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219203F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 and Adolescent Well-Care Visits</w:t>
            </w:r>
            <w:r w:rsidRPr="00411D9E">
              <w:rPr>
                <w:rFonts w:eastAsia="Times New Roman" w:cstheme="minorHAnsi"/>
                <w:sz w:val="20"/>
                <w:szCs w:val="20"/>
                <w:lang w:bidi="ar-SA"/>
              </w:rPr>
              <w:br/>
              <w:t>(3—11 years)</w:t>
            </w:r>
          </w:p>
        </w:tc>
        <w:tc>
          <w:tcPr>
            <w:tcW w:w="250" w:type="pct"/>
            <w:shd w:val="clear" w:color="000000" w:fill="FFFFFF"/>
            <w:noWrap/>
            <w:vAlign w:val="center"/>
            <w:hideMark/>
          </w:tcPr>
          <w:p w14:paraId="79AE9CC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4,146</w:t>
            </w:r>
          </w:p>
        </w:tc>
        <w:tc>
          <w:tcPr>
            <w:tcW w:w="250" w:type="pct"/>
            <w:shd w:val="clear" w:color="000000" w:fill="FFFFFF"/>
            <w:vAlign w:val="center"/>
            <w:hideMark/>
          </w:tcPr>
          <w:p w14:paraId="3AC06E4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2,720</w:t>
            </w:r>
          </w:p>
        </w:tc>
        <w:tc>
          <w:tcPr>
            <w:tcW w:w="249" w:type="pct"/>
            <w:shd w:val="clear" w:color="000000" w:fill="FFFFFF"/>
            <w:vAlign w:val="center"/>
            <w:hideMark/>
          </w:tcPr>
          <w:p w14:paraId="035395CE"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65.6%</w:t>
            </w:r>
          </w:p>
        </w:tc>
        <w:tc>
          <w:tcPr>
            <w:tcW w:w="374" w:type="pct"/>
            <w:shd w:val="clear" w:color="000000" w:fill="FFFFFF"/>
            <w:noWrap/>
            <w:vAlign w:val="center"/>
          </w:tcPr>
          <w:p w14:paraId="38A6A48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64.2%</w:t>
            </w:r>
          </w:p>
        </w:tc>
        <w:tc>
          <w:tcPr>
            <w:tcW w:w="406" w:type="pct"/>
            <w:shd w:val="clear" w:color="000000" w:fill="FFFFFF"/>
            <w:noWrap/>
            <w:vAlign w:val="center"/>
          </w:tcPr>
          <w:p w14:paraId="6C038F3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67.1%</w:t>
            </w:r>
          </w:p>
        </w:tc>
        <w:tc>
          <w:tcPr>
            <w:tcW w:w="343" w:type="pct"/>
            <w:shd w:val="clear" w:color="000000" w:fill="FFFFFF"/>
            <w:noWrap/>
            <w:vAlign w:val="center"/>
          </w:tcPr>
          <w:p w14:paraId="5F9A013A" w14:textId="50FC7CB8"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343" w:type="pct"/>
            <w:shd w:val="clear" w:color="000000" w:fill="FFFFFF"/>
            <w:noWrap/>
            <w:vAlign w:val="center"/>
          </w:tcPr>
          <w:p w14:paraId="322DFC97" w14:textId="7BAA579A"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287" w:type="pct"/>
            <w:shd w:val="clear" w:color="000000" w:fill="FFFFFF"/>
            <w:noWrap/>
            <w:vAlign w:val="center"/>
          </w:tcPr>
          <w:p w14:paraId="294003A0"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65.8%</w:t>
            </w:r>
          </w:p>
        </w:tc>
        <w:tc>
          <w:tcPr>
            <w:tcW w:w="337" w:type="pct"/>
            <w:shd w:val="clear" w:color="000000" w:fill="FFFFFF"/>
            <w:noWrap/>
            <w:vAlign w:val="center"/>
          </w:tcPr>
          <w:p w14:paraId="17D7D1A4"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4D92431D"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48F3F37F" w14:textId="77777777" w:rsidTr="00FF262E">
        <w:trPr>
          <w:cantSplit/>
          <w:trHeight w:val="67"/>
        </w:trPr>
        <w:tc>
          <w:tcPr>
            <w:tcW w:w="286" w:type="pct"/>
            <w:shd w:val="clear" w:color="auto" w:fill="FFFFFF" w:themeFill="background1"/>
            <w:vAlign w:val="center"/>
            <w:hideMark/>
          </w:tcPr>
          <w:p w14:paraId="5FC8E5E3"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392828C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 xml:space="preserve">Child and Adolescent Well-Care Visits </w:t>
            </w:r>
            <w:r w:rsidRPr="00411D9E">
              <w:rPr>
                <w:rFonts w:eastAsia="Times New Roman" w:cstheme="minorHAnsi"/>
                <w:sz w:val="20"/>
                <w:szCs w:val="20"/>
                <w:lang w:bidi="ar-SA"/>
              </w:rPr>
              <w:br/>
              <w:t>(12—17 years)</w:t>
            </w:r>
          </w:p>
        </w:tc>
        <w:tc>
          <w:tcPr>
            <w:tcW w:w="250" w:type="pct"/>
            <w:shd w:val="clear" w:color="000000" w:fill="FFFFFF"/>
            <w:noWrap/>
            <w:vAlign w:val="center"/>
            <w:hideMark/>
          </w:tcPr>
          <w:p w14:paraId="54B1490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3,484</w:t>
            </w:r>
          </w:p>
        </w:tc>
        <w:tc>
          <w:tcPr>
            <w:tcW w:w="250" w:type="pct"/>
            <w:shd w:val="clear" w:color="000000" w:fill="FFFFFF"/>
            <w:vAlign w:val="center"/>
            <w:hideMark/>
          </w:tcPr>
          <w:p w14:paraId="304BC9F1"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2,220</w:t>
            </w:r>
          </w:p>
        </w:tc>
        <w:tc>
          <w:tcPr>
            <w:tcW w:w="249" w:type="pct"/>
            <w:shd w:val="clear" w:color="000000" w:fill="FFFFFF"/>
            <w:vAlign w:val="center"/>
            <w:hideMark/>
          </w:tcPr>
          <w:p w14:paraId="668EFD10"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63.7%</w:t>
            </w:r>
          </w:p>
        </w:tc>
        <w:tc>
          <w:tcPr>
            <w:tcW w:w="374" w:type="pct"/>
            <w:shd w:val="clear" w:color="000000" w:fill="FFFFFF"/>
            <w:noWrap/>
            <w:vAlign w:val="center"/>
          </w:tcPr>
          <w:p w14:paraId="168F38D7"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62.1%</w:t>
            </w:r>
          </w:p>
        </w:tc>
        <w:tc>
          <w:tcPr>
            <w:tcW w:w="406" w:type="pct"/>
            <w:shd w:val="clear" w:color="000000" w:fill="FFFFFF"/>
            <w:noWrap/>
            <w:vAlign w:val="center"/>
          </w:tcPr>
          <w:p w14:paraId="0F84446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65.3%</w:t>
            </w:r>
          </w:p>
        </w:tc>
        <w:tc>
          <w:tcPr>
            <w:tcW w:w="343" w:type="pct"/>
            <w:shd w:val="clear" w:color="000000" w:fill="FFFFFF"/>
            <w:noWrap/>
            <w:vAlign w:val="center"/>
          </w:tcPr>
          <w:p w14:paraId="60411B60" w14:textId="17F68CBC"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343" w:type="pct"/>
            <w:shd w:val="clear" w:color="000000" w:fill="FFFFFF"/>
            <w:noWrap/>
            <w:vAlign w:val="center"/>
          </w:tcPr>
          <w:p w14:paraId="3CC42AA9" w14:textId="54FC01DE"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287" w:type="pct"/>
            <w:shd w:val="clear" w:color="000000" w:fill="FFFFFF"/>
            <w:noWrap/>
            <w:vAlign w:val="center"/>
          </w:tcPr>
          <w:p w14:paraId="4CA567B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62.5%</w:t>
            </w:r>
          </w:p>
        </w:tc>
        <w:tc>
          <w:tcPr>
            <w:tcW w:w="337" w:type="pct"/>
            <w:shd w:val="clear" w:color="000000" w:fill="FFFFFF"/>
            <w:noWrap/>
            <w:vAlign w:val="center"/>
          </w:tcPr>
          <w:p w14:paraId="0089AF68"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3D1AD1E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5593E1E0" w14:textId="77777777" w:rsidTr="00FF262E">
        <w:trPr>
          <w:cantSplit/>
          <w:trHeight w:val="142"/>
        </w:trPr>
        <w:tc>
          <w:tcPr>
            <w:tcW w:w="286" w:type="pct"/>
            <w:shd w:val="clear" w:color="auto" w:fill="FFFFFF" w:themeFill="background1"/>
            <w:vAlign w:val="center"/>
            <w:hideMark/>
          </w:tcPr>
          <w:p w14:paraId="51D12D3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60C1A91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 and Adolescent Well-Care Visits</w:t>
            </w:r>
            <w:r w:rsidRPr="00411D9E">
              <w:rPr>
                <w:rFonts w:eastAsia="Times New Roman" w:cstheme="minorHAnsi"/>
                <w:sz w:val="20"/>
                <w:szCs w:val="20"/>
                <w:lang w:bidi="ar-SA"/>
              </w:rPr>
              <w:br/>
              <w:t>(18—19 years)</w:t>
            </w:r>
          </w:p>
        </w:tc>
        <w:tc>
          <w:tcPr>
            <w:tcW w:w="250" w:type="pct"/>
            <w:shd w:val="clear" w:color="000000" w:fill="FFFFFF"/>
            <w:noWrap/>
            <w:vAlign w:val="center"/>
            <w:hideMark/>
          </w:tcPr>
          <w:p w14:paraId="0081DEE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536</w:t>
            </w:r>
          </w:p>
        </w:tc>
        <w:tc>
          <w:tcPr>
            <w:tcW w:w="250" w:type="pct"/>
            <w:shd w:val="clear" w:color="000000" w:fill="FFFFFF"/>
            <w:vAlign w:val="center"/>
            <w:hideMark/>
          </w:tcPr>
          <w:p w14:paraId="1152340B"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256</w:t>
            </w:r>
          </w:p>
        </w:tc>
        <w:tc>
          <w:tcPr>
            <w:tcW w:w="249" w:type="pct"/>
            <w:shd w:val="clear" w:color="000000" w:fill="FFFFFF"/>
            <w:vAlign w:val="center"/>
            <w:hideMark/>
          </w:tcPr>
          <w:p w14:paraId="19A34CD6"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47.8%</w:t>
            </w:r>
          </w:p>
        </w:tc>
        <w:tc>
          <w:tcPr>
            <w:tcW w:w="374" w:type="pct"/>
            <w:shd w:val="clear" w:color="000000" w:fill="FFFFFF"/>
            <w:noWrap/>
            <w:vAlign w:val="center"/>
          </w:tcPr>
          <w:p w14:paraId="28C76D9F"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43.4%</w:t>
            </w:r>
          </w:p>
        </w:tc>
        <w:tc>
          <w:tcPr>
            <w:tcW w:w="406" w:type="pct"/>
            <w:shd w:val="clear" w:color="000000" w:fill="FFFFFF"/>
            <w:noWrap/>
            <w:vAlign w:val="center"/>
          </w:tcPr>
          <w:p w14:paraId="05C52D9E"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52.1%</w:t>
            </w:r>
          </w:p>
        </w:tc>
        <w:tc>
          <w:tcPr>
            <w:tcW w:w="343" w:type="pct"/>
            <w:shd w:val="clear" w:color="000000" w:fill="FFFFFF"/>
            <w:noWrap/>
            <w:vAlign w:val="center"/>
          </w:tcPr>
          <w:p w14:paraId="7873AEBF" w14:textId="5958974C"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343" w:type="pct"/>
            <w:shd w:val="clear" w:color="000000" w:fill="FFFFFF"/>
            <w:noWrap/>
            <w:vAlign w:val="center"/>
          </w:tcPr>
          <w:p w14:paraId="0903BB41" w14:textId="4317E48B"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287" w:type="pct"/>
            <w:shd w:val="clear" w:color="000000" w:fill="FFFFFF"/>
            <w:noWrap/>
            <w:vAlign w:val="center"/>
          </w:tcPr>
          <w:p w14:paraId="6F33710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51.1%</w:t>
            </w:r>
          </w:p>
        </w:tc>
        <w:tc>
          <w:tcPr>
            <w:tcW w:w="337" w:type="pct"/>
            <w:shd w:val="clear" w:color="000000" w:fill="FFFFFF"/>
            <w:noWrap/>
            <w:vAlign w:val="center"/>
          </w:tcPr>
          <w:p w14:paraId="2383C6CD"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116E753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79A9A23F" w14:textId="77777777" w:rsidTr="00FF262E">
        <w:trPr>
          <w:cantSplit/>
          <w:trHeight w:val="67"/>
        </w:trPr>
        <w:tc>
          <w:tcPr>
            <w:tcW w:w="286" w:type="pct"/>
            <w:shd w:val="clear" w:color="auto" w:fill="FFFFFF" w:themeFill="background1"/>
            <w:vAlign w:val="center"/>
            <w:hideMark/>
          </w:tcPr>
          <w:p w14:paraId="254D23D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341" w:type="pct"/>
            <w:shd w:val="clear" w:color="auto" w:fill="FFFFFF" w:themeFill="background1"/>
            <w:vAlign w:val="center"/>
            <w:hideMark/>
          </w:tcPr>
          <w:p w14:paraId="1B65DF2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Child and Adolescent Well-Care Visits</w:t>
            </w:r>
            <w:r w:rsidRPr="00411D9E">
              <w:rPr>
                <w:rFonts w:eastAsia="Times New Roman" w:cstheme="minorHAnsi"/>
                <w:sz w:val="20"/>
                <w:szCs w:val="20"/>
                <w:lang w:bidi="ar-SA"/>
              </w:rPr>
              <w:br/>
              <w:t>(Total)</w:t>
            </w:r>
          </w:p>
        </w:tc>
        <w:tc>
          <w:tcPr>
            <w:tcW w:w="250" w:type="pct"/>
            <w:shd w:val="clear" w:color="000000" w:fill="FFFFFF"/>
            <w:noWrap/>
            <w:vAlign w:val="center"/>
            <w:hideMark/>
          </w:tcPr>
          <w:p w14:paraId="2E2EBD66"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8,166</w:t>
            </w:r>
          </w:p>
        </w:tc>
        <w:tc>
          <w:tcPr>
            <w:tcW w:w="250" w:type="pct"/>
            <w:shd w:val="clear" w:color="000000" w:fill="FFFFFF"/>
            <w:vAlign w:val="center"/>
            <w:hideMark/>
          </w:tcPr>
          <w:p w14:paraId="5224D0E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5,196</w:t>
            </w:r>
          </w:p>
        </w:tc>
        <w:tc>
          <w:tcPr>
            <w:tcW w:w="249" w:type="pct"/>
            <w:shd w:val="clear" w:color="000000" w:fill="FFFFFF"/>
            <w:vAlign w:val="center"/>
            <w:hideMark/>
          </w:tcPr>
          <w:p w14:paraId="696F7932" w14:textId="77777777" w:rsidR="005C3D48" w:rsidRPr="00411D9E" w:rsidRDefault="005C3D48" w:rsidP="00FF262E">
            <w:pPr>
              <w:ind w:left="76"/>
              <w:jc w:val="center"/>
              <w:rPr>
                <w:rFonts w:eastAsia="Times New Roman" w:cstheme="minorHAnsi"/>
                <w:b/>
                <w:bCs/>
                <w:sz w:val="20"/>
                <w:szCs w:val="20"/>
                <w:lang w:bidi="ar-SA"/>
              </w:rPr>
            </w:pPr>
            <w:r w:rsidRPr="00411D9E">
              <w:rPr>
                <w:rFonts w:cstheme="minorHAnsi"/>
                <w:b/>
                <w:bCs/>
                <w:sz w:val="20"/>
                <w:szCs w:val="20"/>
              </w:rPr>
              <w:t>63.6%</w:t>
            </w:r>
          </w:p>
        </w:tc>
        <w:tc>
          <w:tcPr>
            <w:tcW w:w="374" w:type="pct"/>
            <w:shd w:val="clear" w:color="000000" w:fill="FFFFFF"/>
            <w:noWrap/>
            <w:vAlign w:val="center"/>
          </w:tcPr>
          <w:p w14:paraId="74896B59"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62.6%</w:t>
            </w:r>
          </w:p>
        </w:tc>
        <w:tc>
          <w:tcPr>
            <w:tcW w:w="406" w:type="pct"/>
            <w:shd w:val="clear" w:color="000000" w:fill="FFFFFF"/>
            <w:noWrap/>
            <w:vAlign w:val="center"/>
          </w:tcPr>
          <w:p w14:paraId="56E81CA8"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64.7%</w:t>
            </w:r>
          </w:p>
        </w:tc>
        <w:tc>
          <w:tcPr>
            <w:tcW w:w="343" w:type="pct"/>
            <w:shd w:val="clear" w:color="000000" w:fill="FFFFFF"/>
            <w:noWrap/>
            <w:vAlign w:val="center"/>
          </w:tcPr>
          <w:p w14:paraId="21A04574" w14:textId="649BBF44"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343" w:type="pct"/>
            <w:shd w:val="clear" w:color="000000" w:fill="FFFFFF"/>
            <w:noWrap/>
            <w:vAlign w:val="center"/>
          </w:tcPr>
          <w:p w14:paraId="1C95469D" w14:textId="5939DFD0" w:rsidR="005C3D48" w:rsidRPr="00411D9E" w:rsidRDefault="00A460D7" w:rsidP="00FF262E">
            <w:pPr>
              <w:ind w:left="76"/>
              <w:jc w:val="center"/>
              <w:rPr>
                <w:rFonts w:eastAsia="Times New Roman" w:cstheme="minorHAnsi"/>
                <w:sz w:val="20"/>
                <w:szCs w:val="20"/>
                <w:lang w:bidi="ar-SA"/>
              </w:rPr>
            </w:pPr>
            <w:r w:rsidRPr="00411D9E">
              <w:rPr>
                <w:rFonts w:cstheme="minorHAnsi"/>
                <w:sz w:val="20"/>
                <w:szCs w:val="20"/>
              </w:rPr>
              <w:t>N/A</w:t>
            </w:r>
          </w:p>
        </w:tc>
        <w:tc>
          <w:tcPr>
            <w:tcW w:w="287" w:type="pct"/>
            <w:shd w:val="clear" w:color="000000" w:fill="FFFFFF"/>
            <w:noWrap/>
            <w:vAlign w:val="center"/>
          </w:tcPr>
          <w:p w14:paraId="25C2B5DA"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63.5%</w:t>
            </w:r>
          </w:p>
        </w:tc>
        <w:tc>
          <w:tcPr>
            <w:tcW w:w="337" w:type="pct"/>
            <w:shd w:val="clear" w:color="000000" w:fill="FFFFFF"/>
            <w:noWrap/>
            <w:vAlign w:val="center"/>
          </w:tcPr>
          <w:p w14:paraId="39C7243E" w14:textId="77777777" w:rsidR="005C3D48" w:rsidRPr="00411D9E" w:rsidRDefault="005C3D48" w:rsidP="00FF262E">
            <w:pPr>
              <w:ind w:left="76"/>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4" w:type="pct"/>
            <w:shd w:val="clear" w:color="000000" w:fill="FFFFFF"/>
            <w:vAlign w:val="center"/>
            <w:hideMark/>
          </w:tcPr>
          <w:p w14:paraId="27C63345" w14:textId="77777777" w:rsidR="005C3D48" w:rsidRPr="00411D9E" w:rsidRDefault="005C3D48" w:rsidP="00FF262E">
            <w:pPr>
              <w:ind w:left="76"/>
              <w:jc w:val="center"/>
              <w:rPr>
                <w:rFonts w:eastAsia="Times New Roman" w:cstheme="minorHAnsi"/>
                <w:sz w:val="20"/>
                <w:szCs w:val="20"/>
                <w:lang w:bidi="ar-SA"/>
              </w:rPr>
            </w:pPr>
            <w:r w:rsidRPr="00411D9E">
              <w:rPr>
                <w:rFonts w:cstheme="minorHAnsi"/>
                <w:sz w:val="20"/>
                <w:szCs w:val="20"/>
              </w:rPr>
              <w:t xml:space="preserve">&gt;= 90th percentile </w:t>
            </w:r>
          </w:p>
        </w:tc>
      </w:tr>
    </w:tbl>
    <w:p w14:paraId="25A82BE0" w14:textId="77777777" w:rsidR="0053637F" w:rsidRPr="00411D9E" w:rsidRDefault="0053637F" w:rsidP="0053637F">
      <w:pPr>
        <w:jc w:val="left"/>
        <w:rPr>
          <w:sz w:val="20"/>
          <w:szCs w:val="20"/>
        </w:rPr>
      </w:pPr>
      <w:bookmarkStart w:id="124" w:name="_Toc70508380"/>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w:t>
      </w:r>
      <w:r w:rsidRPr="00411D9E">
        <w:rPr>
          <w:rFonts w:cstheme="minorHAnsi"/>
          <w:sz w:val="20"/>
          <w:szCs w:val="20"/>
        </w:rPr>
        <w:t>−</w:t>
      </w:r>
      <w:r w:rsidRPr="00411D9E">
        <w:rPr>
          <w:sz w:val="20"/>
          <w:szCs w:val="20"/>
        </w:rPr>
        <w:t>,” and no statistically significant change by “</w:t>
      </w:r>
      <w:proofErr w:type="spellStart"/>
      <w:r w:rsidRPr="00411D9E">
        <w:rPr>
          <w:sz w:val="20"/>
          <w:szCs w:val="20"/>
        </w:rPr>
        <w:t>n.s</w:t>
      </w:r>
      <w:proofErr w:type="spellEnd"/>
      <w:r w:rsidRPr="00411D9E">
        <w:rPr>
          <w:sz w:val="20"/>
          <w:szCs w:val="20"/>
        </w:rPr>
        <w:t xml:space="preserve">.” </w:t>
      </w:r>
      <w:r w:rsidRPr="00411D9E">
        <w:rPr>
          <w:bCs/>
          <w:sz w:val="20"/>
          <w:szCs w:val="20"/>
        </w:rPr>
        <w:t>For comparison of MY 2020 rates to CHIP MMC rates, the “+” denotes that the plan rate exceeds the CHIP MMC rate, the “</w:t>
      </w:r>
      <w:r w:rsidRPr="00411D9E">
        <w:rPr>
          <w:rFonts w:cstheme="minorHAnsi"/>
          <w:sz w:val="20"/>
          <w:szCs w:val="20"/>
        </w:rPr>
        <w:t>−</w:t>
      </w:r>
      <w:r w:rsidRPr="00411D9E">
        <w:rPr>
          <w:bCs/>
          <w:sz w:val="20"/>
          <w:szCs w:val="20"/>
        </w:rPr>
        <w:t>” denotes that the MMC rate exceeds the plan rate, and “</w:t>
      </w:r>
      <w:proofErr w:type="spellStart"/>
      <w:r w:rsidRPr="00411D9E">
        <w:rPr>
          <w:bCs/>
          <w:sz w:val="20"/>
          <w:szCs w:val="20"/>
        </w:rPr>
        <w:t>n.s</w:t>
      </w:r>
      <w:proofErr w:type="spellEnd"/>
      <w:r w:rsidRPr="00411D9E">
        <w:rPr>
          <w:bCs/>
          <w:sz w:val="20"/>
          <w:szCs w:val="20"/>
        </w:rPr>
        <w:t>.” denotes no statistically significant difference between the two rates.</w:t>
      </w:r>
    </w:p>
    <w:p w14:paraId="7BC25653" w14:textId="3FA7F60F" w:rsidR="005C3D48" w:rsidRPr="00411D9E" w:rsidRDefault="0053637F" w:rsidP="0053637F">
      <w:pPr>
        <w:spacing w:after="200" w:line="276" w:lineRule="auto"/>
        <w:jc w:val="left"/>
        <w:rPr>
          <w:rFonts w:asciiTheme="majorHAnsi" w:eastAsiaTheme="majorEastAsia" w:hAnsiTheme="majorHAnsi" w:cstheme="majorBidi"/>
          <w:b/>
          <w:bCs/>
          <w:color w:val="4F81BD" w:themeColor="accent1"/>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N/A: not applicable.</w:t>
      </w:r>
      <w:r w:rsidR="005C3D48" w:rsidRPr="00411D9E">
        <w:br w:type="page"/>
      </w:r>
    </w:p>
    <w:p w14:paraId="6976AFB3" w14:textId="77777777" w:rsidR="005C3D48" w:rsidRPr="00411D9E" w:rsidRDefault="005C3D48" w:rsidP="005C3D48">
      <w:pPr>
        <w:pStyle w:val="Heading3"/>
      </w:pPr>
      <w:bookmarkStart w:id="125" w:name="_Toc99026953"/>
      <w:r w:rsidRPr="00411D9E">
        <w:lastRenderedPageBreak/>
        <w:t>EPSDT: Screenings and Follow-up</w:t>
      </w:r>
      <w:bookmarkStart w:id="126" w:name="_Toc478563554"/>
      <w:bookmarkStart w:id="127" w:name="_Toc512521053"/>
      <w:bookmarkEnd w:id="124"/>
      <w:bookmarkEnd w:id="125"/>
    </w:p>
    <w:p w14:paraId="093F687B" w14:textId="77777777" w:rsidR="005C3D48" w:rsidRPr="00411D9E" w:rsidRDefault="005C3D48" w:rsidP="005C3D48">
      <w:r w:rsidRPr="00411D9E">
        <w:t>Strengths are identified for the following 2021 (MY 2020) EPSDT: Screenings and Follow-up performance measures.</w:t>
      </w:r>
    </w:p>
    <w:p w14:paraId="6097F339" w14:textId="77777777" w:rsidR="005C3D48" w:rsidRPr="00411D9E" w:rsidRDefault="005C3D48" w:rsidP="00A0110E">
      <w:pPr>
        <w:pStyle w:val="ListParagraph"/>
        <w:numPr>
          <w:ilvl w:val="0"/>
          <w:numId w:val="22"/>
        </w:numPr>
        <w:ind w:left="1080"/>
      </w:pPr>
      <w:r w:rsidRPr="00411D9E">
        <w:t>The following rates are statistically significantly above/better than the 2021 MMC weighted average:</w:t>
      </w:r>
    </w:p>
    <w:p w14:paraId="405AC8EB" w14:textId="77777777" w:rsidR="005C3D48" w:rsidRPr="00411D9E" w:rsidRDefault="005C3D48" w:rsidP="00A0110E">
      <w:pPr>
        <w:pStyle w:val="ListParagraph"/>
        <w:numPr>
          <w:ilvl w:val="1"/>
          <w:numId w:val="22"/>
        </w:numPr>
      </w:pPr>
      <w:r w:rsidRPr="00411D9E">
        <w:t>Follow Up After Hospitalization For Mental Illness—7 days; and</w:t>
      </w:r>
    </w:p>
    <w:p w14:paraId="75DAB8D5" w14:textId="77777777" w:rsidR="005C3D48" w:rsidRPr="00411D9E" w:rsidRDefault="005C3D48" w:rsidP="00A0110E">
      <w:pPr>
        <w:pStyle w:val="ListParagraph"/>
        <w:numPr>
          <w:ilvl w:val="1"/>
          <w:numId w:val="22"/>
        </w:numPr>
      </w:pPr>
      <w:r w:rsidRPr="00411D9E">
        <w:t>Follow Up After Hospitalization For Mental Illness—30 days.</w:t>
      </w:r>
    </w:p>
    <w:p w14:paraId="62F1BEEF" w14:textId="77777777" w:rsidR="005C3D48" w:rsidRPr="00411D9E" w:rsidRDefault="005C3D48" w:rsidP="005C3D48"/>
    <w:p w14:paraId="6F36C4E4" w14:textId="77777777" w:rsidR="005C3D48" w:rsidRPr="00411D9E" w:rsidRDefault="005C3D48" w:rsidP="005C3D48">
      <w:bookmarkStart w:id="128" w:name="_Toc70508412"/>
      <w:r w:rsidRPr="00411D9E">
        <w:t>Opportunities for improvement are identified for the following EPSDT: Screenings and Follow-up performance measures.</w:t>
      </w:r>
    </w:p>
    <w:p w14:paraId="232C5884" w14:textId="77777777" w:rsidR="005C3D48" w:rsidRPr="00411D9E" w:rsidRDefault="005C3D48" w:rsidP="00A0110E">
      <w:pPr>
        <w:pStyle w:val="ListParagraph"/>
        <w:numPr>
          <w:ilvl w:val="0"/>
          <w:numId w:val="22"/>
        </w:numPr>
        <w:ind w:left="1080"/>
      </w:pPr>
      <w:r w:rsidRPr="00411D9E">
        <w:t xml:space="preserve">The following rates are statistically </w:t>
      </w:r>
      <w:r w:rsidRPr="00411D9E">
        <w:rPr>
          <w:rFonts w:eastAsiaTheme="minorEastAsia"/>
          <w:lang w:bidi="en-US"/>
        </w:rPr>
        <w:t>significantly below/worse</w:t>
      </w:r>
      <w:r w:rsidRPr="00411D9E">
        <w:t xml:space="preserve"> than the 2021 MMC weighted average:</w:t>
      </w:r>
    </w:p>
    <w:p w14:paraId="774C72D4" w14:textId="21918E41" w:rsidR="005C3D48" w:rsidRPr="00411D9E" w:rsidRDefault="005C3D48" w:rsidP="00A0110E">
      <w:pPr>
        <w:pStyle w:val="ListParagraph"/>
        <w:numPr>
          <w:ilvl w:val="1"/>
          <w:numId w:val="22"/>
        </w:numPr>
      </w:pPr>
      <w:r w:rsidRPr="00411D9E">
        <w:t>Lead Screening in Children (2 years);</w:t>
      </w:r>
      <w:r w:rsidR="00E45F45">
        <w:t xml:space="preserve"> and</w:t>
      </w:r>
    </w:p>
    <w:p w14:paraId="4ADE15AB" w14:textId="64CE9856" w:rsidR="005C3D48" w:rsidRPr="00411D9E" w:rsidRDefault="005C3D48" w:rsidP="00A0110E">
      <w:pPr>
        <w:pStyle w:val="ListParagraph"/>
        <w:numPr>
          <w:ilvl w:val="1"/>
          <w:numId w:val="22"/>
        </w:numPr>
      </w:pPr>
      <w:r w:rsidRPr="00411D9E">
        <w:t>Chlamydia Screening in Women (16–20 years)</w:t>
      </w:r>
      <w:r w:rsidR="00E45F45">
        <w:t>.</w:t>
      </w:r>
    </w:p>
    <w:p w14:paraId="1626AADF" w14:textId="77777777" w:rsidR="005C3D48" w:rsidRPr="00411D9E" w:rsidRDefault="005C3D48" w:rsidP="005C3D48">
      <w:pPr>
        <w:pStyle w:val="tableheading"/>
      </w:pPr>
      <w:bookmarkStart w:id="129" w:name="_Toc99026989"/>
      <w:r w:rsidRPr="00411D9E">
        <w:t>Table 2.4: EPSDT: Screenings and Follow-up</w:t>
      </w:r>
      <w:bookmarkEnd w:id="126"/>
      <w:bookmarkEnd w:id="127"/>
      <w:bookmarkEnd w:id="128"/>
      <w:bookmarkEnd w:id="129"/>
    </w:p>
    <w:tbl>
      <w:tblPr>
        <w:tblW w:w="498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1"/>
        <w:gridCol w:w="3052"/>
        <w:gridCol w:w="898"/>
        <w:gridCol w:w="898"/>
        <w:gridCol w:w="808"/>
        <w:gridCol w:w="987"/>
        <w:gridCol w:w="1077"/>
        <w:gridCol w:w="1077"/>
        <w:gridCol w:w="1257"/>
        <w:gridCol w:w="898"/>
        <w:gridCol w:w="1022"/>
        <w:gridCol w:w="1546"/>
      </w:tblGrid>
      <w:tr w:rsidR="005C3D48" w:rsidRPr="00411D9E" w14:paraId="4823B5DB" w14:textId="77777777" w:rsidTr="0053637F">
        <w:trPr>
          <w:cantSplit/>
          <w:trHeight w:val="304"/>
          <w:tblHeader/>
        </w:trPr>
        <w:tc>
          <w:tcPr>
            <w:tcW w:w="3884" w:type="dxa"/>
            <w:gridSpan w:val="2"/>
            <w:shd w:val="clear" w:color="000000" w:fill="5F497A"/>
            <w:vAlign w:val="bottom"/>
            <w:hideMark/>
          </w:tcPr>
          <w:p w14:paraId="6475E654" w14:textId="77777777" w:rsidR="005C3D48" w:rsidRPr="00411D9E" w:rsidRDefault="005C3D48" w:rsidP="00FF262E">
            <w:pPr>
              <w:jc w:val="center"/>
              <w:rPr>
                <w:rFonts w:eastAsia="Times New Roman" w:cstheme="minorHAnsi"/>
                <w:b/>
                <w:color w:val="FFFFFF"/>
                <w:sz w:val="20"/>
                <w:szCs w:val="20"/>
                <w:lang w:bidi="ar-SA"/>
              </w:rPr>
            </w:pPr>
            <w:bookmarkStart w:id="130" w:name="RANGE!A1:L5"/>
            <w:r w:rsidRPr="00411D9E">
              <w:rPr>
                <w:rFonts w:eastAsia="Times New Roman" w:cstheme="minorHAnsi"/>
                <w:b/>
                <w:color w:val="FFFFFF"/>
                <w:sz w:val="20"/>
                <w:szCs w:val="20"/>
                <w:lang w:bidi="ar-SA"/>
              </w:rPr>
              <w:t>Indicator</w:t>
            </w:r>
            <w:bookmarkEnd w:id="130"/>
          </w:p>
        </w:tc>
        <w:tc>
          <w:tcPr>
            <w:tcW w:w="4680" w:type="dxa"/>
            <w:gridSpan w:val="5"/>
            <w:shd w:val="clear" w:color="000000" w:fill="5F497A"/>
            <w:vAlign w:val="bottom"/>
            <w:hideMark/>
          </w:tcPr>
          <w:p w14:paraId="1A1222FF"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(MY 2020)</w:t>
            </w:r>
          </w:p>
        </w:tc>
        <w:tc>
          <w:tcPr>
            <w:tcW w:w="5815" w:type="dxa"/>
            <w:gridSpan w:val="5"/>
            <w:shd w:val="clear" w:color="000000" w:fill="5F497A"/>
            <w:vAlign w:val="bottom"/>
            <w:hideMark/>
          </w:tcPr>
          <w:p w14:paraId="44D55B7D" w14:textId="51F86AC1" w:rsidR="005C3D48" w:rsidRPr="00411D9E" w:rsidRDefault="005C3D48" w:rsidP="00FF262E">
            <w:pPr>
              <w:jc w:val="center"/>
              <w:rPr>
                <w:rFonts w:eastAsia="Times New Roman" w:cstheme="minorHAnsi"/>
                <w:b/>
                <w:color w:val="FFFFFF"/>
                <w:sz w:val="20"/>
                <w:szCs w:val="20"/>
                <w:vertAlign w:val="superscript"/>
                <w:lang w:bidi="ar-SA"/>
              </w:rPr>
            </w:pPr>
            <w:r w:rsidRPr="00411D9E">
              <w:rPr>
                <w:rFonts w:eastAsia="Times New Roman" w:cstheme="minorHAnsi"/>
                <w:b/>
                <w:color w:val="FFFFFF"/>
                <w:sz w:val="20"/>
                <w:szCs w:val="20"/>
                <w:lang w:bidi="ar-SA"/>
              </w:rPr>
              <w:t>Rate Comparison</w:t>
            </w:r>
            <w:r w:rsidR="00FF262E" w:rsidRPr="00411D9E">
              <w:rPr>
                <w:rFonts w:eastAsia="Times New Roman" w:cstheme="minorHAnsi"/>
                <w:b/>
                <w:color w:val="FFFFFF"/>
                <w:sz w:val="20"/>
                <w:szCs w:val="20"/>
                <w:vertAlign w:val="superscript"/>
                <w:lang w:bidi="ar-SA"/>
              </w:rPr>
              <w:t>1</w:t>
            </w:r>
          </w:p>
        </w:tc>
      </w:tr>
      <w:tr w:rsidR="005C3D48" w:rsidRPr="00411D9E" w14:paraId="713E7065" w14:textId="77777777" w:rsidTr="0053637F">
        <w:trPr>
          <w:cantSplit/>
          <w:trHeight w:val="67"/>
          <w:tblHeader/>
        </w:trPr>
        <w:tc>
          <w:tcPr>
            <w:tcW w:w="824" w:type="dxa"/>
            <w:shd w:val="clear" w:color="000000" w:fill="5F497A"/>
            <w:vAlign w:val="bottom"/>
            <w:hideMark/>
          </w:tcPr>
          <w:p w14:paraId="1D047E88"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Source</w:t>
            </w:r>
          </w:p>
        </w:tc>
        <w:tc>
          <w:tcPr>
            <w:tcW w:w="3060" w:type="dxa"/>
            <w:shd w:val="clear" w:color="000000" w:fill="5F497A"/>
            <w:vAlign w:val="bottom"/>
            <w:hideMark/>
          </w:tcPr>
          <w:p w14:paraId="5076F76E" w14:textId="77777777" w:rsidR="005C3D48" w:rsidRPr="00411D9E" w:rsidRDefault="005C3D48" w:rsidP="00FF262E">
            <w:pPr>
              <w:ind w:left="76"/>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Name</w:t>
            </w:r>
          </w:p>
        </w:tc>
        <w:tc>
          <w:tcPr>
            <w:tcW w:w="900" w:type="dxa"/>
            <w:shd w:val="clear" w:color="000000" w:fill="5F497A"/>
            <w:vAlign w:val="bottom"/>
            <w:hideMark/>
          </w:tcPr>
          <w:p w14:paraId="7EFF107F" w14:textId="77777777" w:rsidR="005C3D48" w:rsidRPr="00411D9E" w:rsidRDefault="005C3D48" w:rsidP="00FF262E">
            <w:pPr>
              <w:jc w:val="center"/>
              <w:rPr>
                <w:rFonts w:eastAsia="Times New Roman" w:cstheme="minorHAnsi"/>
                <w:b/>
                <w:color w:val="FFFFFF"/>
                <w:sz w:val="20"/>
                <w:szCs w:val="20"/>
                <w:lang w:bidi="ar-SA"/>
              </w:rPr>
            </w:pPr>
            <w:proofErr w:type="spellStart"/>
            <w:r w:rsidRPr="00411D9E">
              <w:rPr>
                <w:rFonts w:eastAsia="Times New Roman" w:cstheme="minorHAnsi"/>
                <w:b/>
                <w:color w:val="FFFFFF"/>
                <w:sz w:val="20"/>
                <w:szCs w:val="20"/>
                <w:lang w:bidi="ar-SA"/>
              </w:rPr>
              <w:t>Denom</w:t>
            </w:r>
            <w:proofErr w:type="spellEnd"/>
          </w:p>
        </w:tc>
        <w:tc>
          <w:tcPr>
            <w:tcW w:w="900" w:type="dxa"/>
            <w:shd w:val="clear" w:color="000000" w:fill="5F497A"/>
            <w:vAlign w:val="bottom"/>
            <w:hideMark/>
          </w:tcPr>
          <w:p w14:paraId="1A28DAAA"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Num</w:t>
            </w:r>
          </w:p>
        </w:tc>
        <w:tc>
          <w:tcPr>
            <w:tcW w:w="810" w:type="dxa"/>
            <w:shd w:val="clear" w:color="000000" w:fill="5F497A"/>
            <w:vAlign w:val="bottom"/>
            <w:hideMark/>
          </w:tcPr>
          <w:p w14:paraId="2C596F6B"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Rate</w:t>
            </w:r>
          </w:p>
        </w:tc>
        <w:tc>
          <w:tcPr>
            <w:tcW w:w="990" w:type="dxa"/>
            <w:shd w:val="clear" w:color="000000" w:fill="5F497A"/>
            <w:vAlign w:val="bottom"/>
            <w:hideMark/>
          </w:tcPr>
          <w:p w14:paraId="7E143688"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Lower 95% Confidence Limit</w:t>
            </w:r>
          </w:p>
        </w:tc>
        <w:tc>
          <w:tcPr>
            <w:tcW w:w="1080" w:type="dxa"/>
            <w:shd w:val="clear" w:color="000000" w:fill="5F497A"/>
            <w:vAlign w:val="bottom"/>
            <w:hideMark/>
          </w:tcPr>
          <w:p w14:paraId="687CF75D"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Upper 95% Confidence Limit</w:t>
            </w:r>
          </w:p>
        </w:tc>
        <w:tc>
          <w:tcPr>
            <w:tcW w:w="1080" w:type="dxa"/>
            <w:shd w:val="clear" w:color="000000" w:fill="5F497A"/>
            <w:vAlign w:val="bottom"/>
            <w:hideMark/>
          </w:tcPr>
          <w:p w14:paraId="1D2AA3A6"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2020 (MY 2019) Rate</w:t>
            </w:r>
          </w:p>
        </w:tc>
        <w:tc>
          <w:tcPr>
            <w:tcW w:w="1260" w:type="dxa"/>
            <w:shd w:val="clear" w:color="000000" w:fill="5F497A"/>
            <w:vAlign w:val="bottom"/>
            <w:hideMark/>
          </w:tcPr>
          <w:p w14:paraId="07D4CA42"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Rate Compared to 2020</w:t>
            </w:r>
          </w:p>
        </w:tc>
        <w:tc>
          <w:tcPr>
            <w:tcW w:w="900" w:type="dxa"/>
            <w:shd w:val="clear" w:color="000000" w:fill="5F497A"/>
            <w:vAlign w:val="bottom"/>
            <w:hideMark/>
          </w:tcPr>
          <w:p w14:paraId="09600D3D"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MMC</w:t>
            </w:r>
          </w:p>
        </w:tc>
        <w:tc>
          <w:tcPr>
            <w:tcW w:w="1025" w:type="dxa"/>
            <w:shd w:val="clear" w:color="000000" w:fill="5F497A"/>
            <w:vAlign w:val="bottom"/>
            <w:hideMark/>
          </w:tcPr>
          <w:p w14:paraId="44E886AC"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2021 Rate</w:t>
            </w:r>
            <w:r w:rsidRPr="00411D9E">
              <w:rPr>
                <w:rFonts w:eastAsia="Times New Roman" w:cstheme="minorHAnsi"/>
                <w:b/>
                <w:color w:val="FFFFFF"/>
                <w:sz w:val="20"/>
                <w:szCs w:val="20"/>
                <w:lang w:bidi="ar-SA"/>
              </w:rPr>
              <w:br/>
              <w:t>Compared to MMC</w:t>
            </w:r>
          </w:p>
        </w:tc>
        <w:tc>
          <w:tcPr>
            <w:tcW w:w="1550" w:type="dxa"/>
            <w:shd w:val="clear" w:color="000000" w:fill="5F497A"/>
            <w:vAlign w:val="bottom"/>
            <w:hideMark/>
          </w:tcPr>
          <w:p w14:paraId="27834017" w14:textId="77777777" w:rsidR="005C3D48" w:rsidRPr="00411D9E" w:rsidRDefault="005C3D48" w:rsidP="00FF262E">
            <w:pPr>
              <w:jc w:val="center"/>
              <w:rPr>
                <w:rFonts w:eastAsia="Times New Roman" w:cstheme="minorHAnsi"/>
                <w:b/>
                <w:color w:val="FFFFFF"/>
                <w:sz w:val="20"/>
                <w:szCs w:val="20"/>
                <w:lang w:bidi="ar-SA"/>
              </w:rPr>
            </w:pPr>
            <w:r w:rsidRPr="00411D9E">
              <w:rPr>
                <w:rFonts w:eastAsia="Times New Roman" w:cstheme="minorHAnsi"/>
                <w:b/>
                <w:color w:val="FFFFFF"/>
                <w:sz w:val="20"/>
                <w:szCs w:val="20"/>
                <w:lang w:bidi="ar-SA"/>
              </w:rPr>
              <w:t>HEDIS 2021 Percentile</w:t>
            </w:r>
          </w:p>
        </w:tc>
      </w:tr>
      <w:tr w:rsidR="005C3D48" w:rsidRPr="00411D9E" w14:paraId="54E3540A" w14:textId="77777777" w:rsidTr="0053637F">
        <w:trPr>
          <w:cantSplit/>
          <w:trHeight w:val="313"/>
        </w:trPr>
        <w:tc>
          <w:tcPr>
            <w:tcW w:w="824" w:type="dxa"/>
            <w:shd w:val="clear" w:color="auto" w:fill="FFFFFF" w:themeFill="background1"/>
            <w:vAlign w:val="center"/>
            <w:hideMark/>
          </w:tcPr>
          <w:p w14:paraId="036ABBD2"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30B414C6"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Lead Screening in Children (2 years)</w:t>
            </w:r>
          </w:p>
        </w:tc>
        <w:tc>
          <w:tcPr>
            <w:tcW w:w="900" w:type="dxa"/>
            <w:shd w:val="clear" w:color="000000" w:fill="FFFFFF"/>
            <w:noWrap/>
            <w:vAlign w:val="center"/>
            <w:hideMark/>
          </w:tcPr>
          <w:p w14:paraId="078DAD3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118</w:t>
            </w:r>
          </w:p>
        </w:tc>
        <w:tc>
          <w:tcPr>
            <w:tcW w:w="900" w:type="dxa"/>
            <w:shd w:val="clear" w:color="000000" w:fill="FFFFFF"/>
            <w:vAlign w:val="center"/>
            <w:hideMark/>
          </w:tcPr>
          <w:p w14:paraId="613B2D8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67</w:t>
            </w:r>
          </w:p>
        </w:tc>
        <w:tc>
          <w:tcPr>
            <w:tcW w:w="810" w:type="dxa"/>
            <w:shd w:val="clear" w:color="000000" w:fill="FFFFFF"/>
            <w:vAlign w:val="center"/>
            <w:hideMark/>
          </w:tcPr>
          <w:p w14:paraId="364DD135"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56.8%</w:t>
            </w:r>
          </w:p>
        </w:tc>
        <w:tc>
          <w:tcPr>
            <w:tcW w:w="990" w:type="dxa"/>
            <w:shd w:val="clear" w:color="000000" w:fill="FFFFFF"/>
            <w:noWrap/>
            <w:vAlign w:val="center"/>
          </w:tcPr>
          <w:p w14:paraId="625FB73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47.4%</w:t>
            </w:r>
          </w:p>
        </w:tc>
        <w:tc>
          <w:tcPr>
            <w:tcW w:w="1080" w:type="dxa"/>
            <w:shd w:val="clear" w:color="000000" w:fill="FFFFFF"/>
            <w:noWrap/>
            <w:vAlign w:val="center"/>
          </w:tcPr>
          <w:p w14:paraId="0D03C3F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66.1%</w:t>
            </w:r>
          </w:p>
        </w:tc>
        <w:tc>
          <w:tcPr>
            <w:tcW w:w="1080" w:type="dxa"/>
            <w:shd w:val="clear" w:color="000000" w:fill="FFFFFF"/>
            <w:noWrap/>
            <w:vAlign w:val="center"/>
          </w:tcPr>
          <w:p w14:paraId="6480D90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53.4%</w:t>
            </w:r>
          </w:p>
        </w:tc>
        <w:tc>
          <w:tcPr>
            <w:tcW w:w="1260" w:type="dxa"/>
            <w:shd w:val="clear" w:color="000000" w:fill="FFFFFF"/>
            <w:noWrap/>
            <w:vAlign w:val="center"/>
          </w:tcPr>
          <w:p w14:paraId="3E12D1A3"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900" w:type="dxa"/>
            <w:shd w:val="clear" w:color="000000" w:fill="FFFFFF"/>
            <w:noWrap/>
            <w:vAlign w:val="center"/>
          </w:tcPr>
          <w:p w14:paraId="730129D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74.7%</w:t>
            </w:r>
          </w:p>
        </w:tc>
        <w:tc>
          <w:tcPr>
            <w:tcW w:w="1025" w:type="dxa"/>
            <w:shd w:val="clear" w:color="000000" w:fill="FFFFFF"/>
            <w:noWrap/>
            <w:vAlign w:val="center"/>
          </w:tcPr>
          <w:p w14:paraId="0EAFE05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50" w:type="dxa"/>
            <w:shd w:val="clear" w:color="000000" w:fill="FFFFFF"/>
            <w:vAlign w:val="center"/>
          </w:tcPr>
          <w:p w14:paraId="0C3E80E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10th and &lt; 25th percentile </w:t>
            </w:r>
          </w:p>
        </w:tc>
      </w:tr>
      <w:tr w:rsidR="005C3D48" w:rsidRPr="00411D9E" w14:paraId="5D7F06E5" w14:textId="77777777" w:rsidTr="0053637F">
        <w:trPr>
          <w:cantSplit/>
          <w:trHeight w:val="277"/>
        </w:trPr>
        <w:tc>
          <w:tcPr>
            <w:tcW w:w="824" w:type="dxa"/>
            <w:shd w:val="clear" w:color="auto" w:fill="FFFFFF" w:themeFill="background1"/>
            <w:vAlign w:val="center"/>
            <w:hideMark/>
          </w:tcPr>
          <w:p w14:paraId="301BD9BA"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377C8319"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Chlamydia Screening in Women (16–20 years)</w:t>
            </w:r>
          </w:p>
        </w:tc>
        <w:tc>
          <w:tcPr>
            <w:tcW w:w="900" w:type="dxa"/>
            <w:shd w:val="clear" w:color="000000" w:fill="FFFFFF"/>
            <w:noWrap/>
            <w:vAlign w:val="center"/>
            <w:hideMark/>
          </w:tcPr>
          <w:p w14:paraId="3EBE1758"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326</w:t>
            </w:r>
          </w:p>
        </w:tc>
        <w:tc>
          <w:tcPr>
            <w:tcW w:w="900" w:type="dxa"/>
            <w:shd w:val="clear" w:color="000000" w:fill="FFFFFF"/>
            <w:vAlign w:val="center"/>
            <w:hideMark/>
          </w:tcPr>
          <w:p w14:paraId="1D926CD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84</w:t>
            </w:r>
          </w:p>
        </w:tc>
        <w:tc>
          <w:tcPr>
            <w:tcW w:w="810" w:type="dxa"/>
            <w:shd w:val="clear" w:color="000000" w:fill="FFFFFF"/>
            <w:vAlign w:val="center"/>
            <w:hideMark/>
          </w:tcPr>
          <w:p w14:paraId="1565BD09"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25.8%</w:t>
            </w:r>
          </w:p>
        </w:tc>
        <w:tc>
          <w:tcPr>
            <w:tcW w:w="990" w:type="dxa"/>
            <w:shd w:val="clear" w:color="000000" w:fill="FFFFFF"/>
            <w:noWrap/>
            <w:vAlign w:val="center"/>
          </w:tcPr>
          <w:p w14:paraId="7B11C8B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20.9%</w:t>
            </w:r>
          </w:p>
        </w:tc>
        <w:tc>
          <w:tcPr>
            <w:tcW w:w="1080" w:type="dxa"/>
            <w:shd w:val="clear" w:color="000000" w:fill="FFFFFF"/>
            <w:noWrap/>
            <w:vAlign w:val="center"/>
          </w:tcPr>
          <w:p w14:paraId="744D715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30.7%</w:t>
            </w:r>
          </w:p>
        </w:tc>
        <w:tc>
          <w:tcPr>
            <w:tcW w:w="1080" w:type="dxa"/>
            <w:shd w:val="clear" w:color="000000" w:fill="FFFFFF"/>
            <w:noWrap/>
            <w:vAlign w:val="center"/>
          </w:tcPr>
          <w:p w14:paraId="5A01E94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29.9%</w:t>
            </w:r>
          </w:p>
        </w:tc>
        <w:tc>
          <w:tcPr>
            <w:tcW w:w="1260" w:type="dxa"/>
            <w:shd w:val="clear" w:color="000000" w:fill="FFFFFF"/>
            <w:noWrap/>
            <w:vAlign w:val="center"/>
          </w:tcPr>
          <w:p w14:paraId="165E2394"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900" w:type="dxa"/>
            <w:shd w:val="clear" w:color="000000" w:fill="FFFFFF"/>
            <w:noWrap/>
            <w:vAlign w:val="center"/>
          </w:tcPr>
          <w:p w14:paraId="3487AAC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37.8%</w:t>
            </w:r>
          </w:p>
        </w:tc>
        <w:tc>
          <w:tcPr>
            <w:tcW w:w="1025" w:type="dxa"/>
            <w:shd w:val="clear" w:color="000000" w:fill="FFFFFF"/>
            <w:noWrap/>
            <w:vAlign w:val="center"/>
          </w:tcPr>
          <w:p w14:paraId="53AE544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50" w:type="dxa"/>
            <w:shd w:val="clear" w:color="000000" w:fill="FFFFFF"/>
            <w:vAlign w:val="center"/>
          </w:tcPr>
          <w:p w14:paraId="61E3068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&lt; 10th percentile </w:t>
            </w:r>
          </w:p>
        </w:tc>
      </w:tr>
      <w:tr w:rsidR="005C3D48" w:rsidRPr="00411D9E" w14:paraId="3EB9A8F7" w14:textId="77777777" w:rsidTr="0053637F">
        <w:trPr>
          <w:cantSplit/>
          <w:trHeight w:val="439"/>
        </w:trPr>
        <w:tc>
          <w:tcPr>
            <w:tcW w:w="824" w:type="dxa"/>
            <w:shd w:val="clear" w:color="auto" w:fill="FFFFFF" w:themeFill="background1"/>
            <w:vAlign w:val="center"/>
            <w:hideMark/>
          </w:tcPr>
          <w:p w14:paraId="4A11939D"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3060" w:type="dxa"/>
            <w:shd w:val="clear" w:color="auto" w:fill="FFFFFF" w:themeFill="background1"/>
            <w:vAlign w:val="center"/>
            <w:hideMark/>
          </w:tcPr>
          <w:p w14:paraId="1F58C45B"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Developmental Screening in the First Three Years of Life— Total</w:t>
            </w:r>
          </w:p>
        </w:tc>
        <w:tc>
          <w:tcPr>
            <w:tcW w:w="900" w:type="dxa"/>
            <w:shd w:val="clear" w:color="000000" w:fill="FFFFFF"/>
            <w:noWrap/>
            <w:vAlign w:val="center"/>
            <w:hideMark/>
          </w:tcPr>
          <w:p w14:paraId="2B71942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412</w:t>
            </w:r>
          </w:p>
        </w:tc>
        <w:tc>
          <w:tcPr>
            <w:tcW w:w="900" w:type="dxa"/>
            <w:shd w:val="clear" w:color="000000" w:fill="FFFFFF"/>
            <w:vAlign w:val="center"/>
            <w:hideMark/>
          </w:tcPr>
          <w:p w14:paraId="3F4C6AE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261</w:t>
            </w:r>
          </w:p>
        </w:tc>
        <w:tc>
          <w:tcPr>
            <w:tcW w:w="810" w:type="dxa"/>
            <w:shd w:val="clear" w:color="000000" w:fill="FFFFFF"/>
            <w:vAlign w:val="center"/>
            <w:hideMark/>
          </w:tcPr>
          <w:p w14:paraId="71AD6971"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63.4%</w:t>
            </w:r>
          </w:p>
        </w:tc>
        <w:tc>
          <w:tcPr>
            <w:tcW w:w="990" w:type="dxa"/>
            <w:shd w:val="clear" w:color="000000" w:fill="FFFFFF"/>
            <w:noWrap/>
            <w:vAlign w:val="center"/>
          </w:tcPr>
          <w:p w14:paraId="24B3123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58.6%</w:t>
            </w:r>
          </w:p>
        </w:tc>
        <w:tc>
          <w:tcPr>
            <w:tcW w:w="1080" w:type="dxa"/>
            <w:shd w:val="clear" w:color="000000" w:fill="FFFFFF"/>
            <w:noWrap/>
            <w:vAlign w:val="center"/>
          </w:tcPr>
          <w:p w14:paraId="04CF36C8"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68.1%</w:t>
            </w:r>
          </w:p>
        </w:tc>
        <w:tc>
          <w:tcPr>
            <w:tcW w:w="1080" w:type="dxa"/>
            <w:shd w:val="clear" w:color="000000" w:fill="FFFFFF"/>
            <w:noWrap/>
            <w:vAlign w:val="center"/>
          </w:tcPr>
          <w:p w14:paraId="1C7545D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55.3%</w:t>
            </w:r>
          </w:p>
        </w:tc>
        <w:tc>
          <w:tcPr>
            <w:tcW w:w="1260" w:type="dxa"/>
            <w:shd w:val="clear" w:color="000000" w:fill="FFFFFF"/>
            <w:noWrap/>
            <w:vAlign w:val="center"/>
          </w:tcPr>
          <w:p w14:paraId="5A05F36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00" w:type="dxa"/>
            <w:shd w:val="clear" w:color="000000" w:fill="FFFFFF"/>
            <w:noWrap/>
            <w:vAlign w:val="center"/>
          </w:tcPr>
          <w:p w14:paraId="315747C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66.1%</w:t>
            </w:r>
          </w:p>
        </w:tc>
        <w:tc>
          <w:tcPr>
            <w:tcW w:w="1025" w:type="dxa"/>
            <w:shd w:val="clear" w:color="000000" w:fill="FFFFFF"/>
            <w:noWrap/>
            <w:vAlign w:val="center"/>
          </w:tcPr>
          <w:p w14:paraId="7C6A62B4"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50" w:type="dxa"/>
            <w:shd w:val="clear" w:color="000000" w:fill="FFFFFF"/>
            <w:vAlign w:val="center"/>
          </w:tcPr>
          <w:p w14:paraId="18598E6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5E2953DE" w14:textId="77777777" w:rsidTr="0053637F">
        <w:trPr>
          <w:cantSplit/>
          <w:trHeight w:val="67"/>
        </w:trPr>
        <w:tc>
          <w:tcPr>
            <w:tcW w:w="824" w:type="dxa"/>
            <w:shd w:val="clear" w:color="auto" w:fill="FFFFFF" w:themeFill="background1"/>
            <w:vAlign w:val="center"/>
            <w:hideMark/>
          </w:tcPr>
          <w:p w14:paraId="7393DC80"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3060" w:type="dxa"/>
            <w:shd w:val="clear" w:color="auto" w:fill="FFFFFF" w:themeFill="background1"/>
            <w:vAlign w:val="center"/>
            <w:hideMark/>
          </w:tcPr>
          <w:p w14:paraId="0A7F135D"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Developmental Screening in the First Three Years of Life—</w:t>
            </w:r>
            <w:r w:rsidRPr="00411D9E">
              <w:rPr>
                <w:rFonts w:eastAsia="Times New Roman" w:cstheme="minorHAnsi"/>
                <w:sz w:val="20"/>
                <w:szCs w:val="20"/>
                <w:lang w:bidi="ar-SA"/>
              </w:rPr>
              <w:br/>
              <w:t>1 year</w:t>
            </w:r>
          </w:p>
        </w:tc>
        <w:tc>
          <w:tcPr>
            <w:tcW w:w="900" w:type="dxa"/>
            <w:shd w:val="clear" w:color="000000" w:fill="FFFFFF"/>
            <w:noWrap/>
            <w:vAlign w:val="center"/>
            <w:hideMark/>
          </w:tcPr>
          <w:p w14:paraId="481689D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29</w:t>
            </w:r>
          </w:p>
        </w:tc>
        <w:tc>
          <w:tcPr>
            <w:tcW w:w="900" w:type="dxa"/>
            <w:shd w:val="clear" w:color="000000" w:fill="FFFFFF"/>
            <w:vAlign w:val="center"/>
            <w:hideMark/>
          </w:tcPr>
          <w:p w14:paraId="23B1BEC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18</w:t>
            </w:r>
          </w:p>
        </w:tc>
        <w:tc>
          <w:tcPr>
            <w:tcW w:w="810" w:type="dxa"/>
            <w:shd w:val="clear" w:color="000000" w:fill="FFFFFF"/>
            <w:vAlign w:val="center"/>
            <w:hideMark/>
          </w:tcPr>
          <w:p w14:paraId="74F11722" w14:textId="2EF0664D"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601165B1" w14:textId="024F2429"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16771856" w14:textId="5661AE32"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71ED5755" w14:textId="382FD378"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393C4BA5" w14:textId="5F62A11A"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noWrap/>
            <w:vAlign w:val="center"/>
          </w:tcPr>
          <w:p w14:paraId="592EC4D8"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64.6%</w:t>
            </w:r>
          </w:p>
        </w:tc>
        <w:tc>
          <w:tcPr>
            <w:tcW w:w="1025" w:type="dxa"/>
            <w:shd w:val="clear" w:color="000000" w:fill="FFFFFF"/>
            <w:noWrap/>
            <w:vAlign w:val="center"/>
          </w:tcPr>
          <w:p w14:paraId="72426C61" w14:textId="43A32DDC"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7944C43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60E53DF2" w14:textId="77777777" w:rsidTr="0053637F">
        <w:trPr>
          <w:cantSplit/>
          <w:trHeight w:val="67"/>
        </w:trPr>
        <w:tc>
          <w:tcPr>
            <w:tcW w:w="824" w:type="dxa"/>
            <w:shd w:val="clear" w:color="auto" w:fill="FFFFFF" w:themeFill="background1"/>
            <w:vAlign w:val="center"/>
            <w:hideMark/>
          </w:tcPr>
          <w:p w14:paraId="7283414A"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3060" w:type="dxa"/>
            <w:shd w:val="clear" w:color="auto" w:fill="FFFFFF" w:themeFill="background1"/>
            <w:vAlign w:val="center"/>
            <w:hideMark/>
          </w:tcPr>
          <w:p w14:paraId="306CA553"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Developmental Screening in the First Three Years of Life—</w:t>
            </w:r>
            <w:r w:rsidRPr="00411D9E">
              <w:rPr>
                <w:rFonts w:eastAsia="Times New Roman" w:cstheme="minorHAnsi"/>
                <w:sz w:val="20"/>
                <w:szCs w:val="20"/>
                <w:lang w:bidi="ar-SA"/>
              </w:rPr>
              <w:br/>
              <w:t>2 years</w:t>
            </w:r>
          </w:p>
        </w:tc>
        <w:tc>
          <w:tcPr>
            <w:tcW w:w="900" w:type="dxa"/>
            <w:shd w:val="clear" w:color="000000" w:fill="FFFFFF"/>
            <w:noWrap/>
            <w:vAlign w:val="center"/>
            <w:hideMark/>
          </w:tcPr>
          <w:p w14:paraId="530F3B4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118</w:t>
            </w:r>
          </w:p>
        </w:tc>
        <w:tc>
          <w:tcPr>
            <w:tcW w:w="900" w:type="dxa"/>
            <w:shd w:val="clear" w:color="000000" w:fill="FFFFFF"/>
            <w:vAlign w:val="center"/>
            <w:hideMark/>
          </w:tcPr>
          <w:p w14:paraId="0A62736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78</w:t>
            </w:r>
          </w:p>
        </w:tc>
        <w:tc>
          <w:tcPr>
            <w:tcW w:w="810" w:type="dxa"/>
            <w:shd w:val="clear" w:color="000000" w:fill="FFFFFF"/>
            <w:vAlign w:val="center"/>
            <w:hideMark/>
          </w:tcPr>
          <w:p w14:paraId="7DF30BDD"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66.1%</w:t>
            </w:r>
          </w:p>
        </w:tc>
        <w:tc>
          <w:tcPr>
            <w:tcW w:w="990" w:type="dxa"/>
            <w:shd w:val="clear" w:color="000000" w:fill="FFFFFF"/>
            <w:noWrap/>
            <w:vAlign w:val="center"/>
          </w:tcPr>
          <w:p w14:paraId="701B135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57.1%</w:t>
            </w:r>
          </w:p>
        </w:tc>
        <w:tc>
          <w:tcPr>
            <w:tcW w:w="1080" w:type="dxa"/>
            <w:shd w:val="clear" w:color="000000" w:fill="FFFFFF"/>
            <w:noWrap/>
            <w:vAlign w:val="center"/>
          </w:tcPr>
          <w:p w14:paraId="59C3078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75.1%</w:t>
            </w:r>
          </w:p>
        </w:tc>
        <w:tc>
          <w:tcPr>
            <w:tcW w:w="1080" w:type="dxa"/>
            <w:shd w:val="clear" w:color="000000" w:fill="FFFFFF"/>
            <w:noWrap/>
            <w:vAlign w:val="center"/>
          </w:tcPr>
          <w:p w14:paraId="2A0525D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64.1%</w:t>
            </w:r>
          </w:p>
        </w:tc>
        <w:tc>
          <w:tcPr>
            <w:tcW w:w="1260" w:type="dxa"/>
            <w:shd w:val="clear" w:color="000000" w:fill="FFFFFF"/>
            <w:noWrap/>
            <w:vAlign w:val="center"/>
          </w:tcPr>
          <w:p w14:paraId="228A0B8A"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900" w:type="dxa"/>
            <w:shd w:val="clear" w:color="000000" w:fill="FFFFFF"/>
            <w:noWrap/>
            <w:vAlign w:val="center"/>
          </w:tcPr>
          <w:p w14:paraId="24E983D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69.1%</w:t>
            </w:r>
          </w:p>
        </w:tc>
        <w:tc>
          <w:tcPr>
            <w:tcW w:w="1025" w:type="dxa"/>
            <w:shd w:val="clear" w:color="000000" w:fill="FFFFFF"/>
            <w:noWrap/>
            <w:vAlign w:val="center"/>
          </w:tcPr>
          <w:p w14:paraId="2D731590"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50" w:type="dxa"/>
            <w:shd w:val="clear" w:color="000000" w:fill="FFFFFF"/>
            <w:vAlign w:val="center"/>
          </w:tcPr>
          <w:p w14:paraId="330EFBF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5A41CE33" w14:textId="77777777" w:rsidTr="0053637F">
        <w:trPr>
          <w:cantSplit/>
          <w:trHeight w:val="67"/>
        </w:trPr>
        <w:tc>
          <w:tcPr>
            <w:tcW w:w="824" w:type="dxa"/>
            <w:shd w:val="clear" w:color="auto" w:fill="FFFFFF" w:themeFill="background1"/>
            <w:vAlign w:val="center"/>
            <w:hideMark/>
          </w:tcPr>
          <w:p w14:paraId="5586597C"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3060" w:type="dxa"/>
            <w:shd w:val="clear" w:color="auto" w:fill="FFFFFF" w:themeFill="background1"/>
            <w:vAlign w:val="center"/>
            <w:hideMark/>
          </w:tcPr>
          <w:p w14:paraId="1E23CB75"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Developmental Screening in the First Three Years of Life—</w:t>
            </w:r>
            <w:r w:rsidRPr="00411D9E">
              <w:rPr>
                <w:rFonts w:eastAsia="Times New Roman" w:cstheme="minorHAnsi"/>
                <w:sz w:val="20"/>
                <w:szCs w:val="20"/>
                <w:lang w:bidi="ar-SA"/>
              </w:rPr>
              <w:br/>
              <w:t>3 years</w:t>
            </w:r>
          </w:p>
        </w:tc>
        <w:tc>
          <w:tcPr>
            <w:tcW w:w="900" w:type="dxa"/>
            <w:shd w:val="clear" w:color="000000" w:fill="FFFFFF"/>
            <w:noWrap/>
            <w:vAlign w:val="center"/>
            <w:hideMark/>
          </w:tcPr>
          <w:p w14:paraId="5E41001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265</w:t>
            </w:r>
          </w:p>
        </w:tc>
        <w:tc>
          <w:tcPr>
            <w:tcW w:w="900" w:type="dxa"/>
            <w:shd w:val="clear" w:color="000000" w:fill="FFFFFF"/>
            <w:vAlign w:val="center"/>
            <w:hideMark/>
          </w:tcPr>
          <w:p w14:paraId="7EACB80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165</w:t>
            </w:r>
          </w:p>
        </w:tc>
        <w:tc>
          <w:tcPr>
            <w:tcW w:w="810" w:type="dxa"/>
            <w:shd w:val="clear" w:color="000000" w:fill="FFFFFF"/>
            <w:vAlign w:val="center"/>
            <w:hideMark/>
          </w:tcPr>
          <w:p w14:paraId="431E0B83"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62.3%</w:t>
            </w:r>
          </w:p>
        </w:tc>
        <w:tc>
          <w:tcPr>
            <w:tcW w:w="990" w:type="dxa"/>
            <w:shd w:val="clear" w:color="000000" w:fill="FFFFFF"/>
            <w:noWrap/>
            <w:vAlign w:val="center"/>
          </w:tcPr>
          <w:p w14:paraId="72AC885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56.2%</w:t>
            </w:r>
          </w:p>
        </w:tc>
        <w:tc>
          <w:tcPr>
            <w:tcW w:w="1080" w:type="dxa"/>
            <w:shd w:val="clear" w:color="000000" w:fill="FFFFFF"/>
            <w:noWrap/>
            <w:vAlign w:val="center"/>
          </w:tcPr>
          <w:p w14:paraId="5FF8479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68.3%</w:t>
            </w:r>
          </w:p>
        </w:tc>
        <w:tc>
          <w:tcPr>
            <w:tcW w:w="1080" w:type="dxa"/>
            <w:shd w:val="clear" w:color="000000" w:fill="FFFFFF"/>
            <w:noWrap/>
            <w:vAlign w:val="center"/>
          </w:tcPr>
          <w:p w14:paraId="52DED2E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51.6%</w:t>
            </w:r>
          </w:p>
        </w:tc>
        <w:tc>
          <w:tcPr>
            <w:tcW w:w="1260" w:type="dxa"/>
            <w:shd w:val="clear" w:color="000000" w:fill="FFFFFF"/>
            <w:noWrap/>
            <w:vAlign w:val="center"/>
          </w:tcPr>
          <w:p w14:paraId="494DD57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00" w:type="dxa"/>
            <w:shd w:val="clear" w:color="000000" w:fill="FFFFFF"/>
            <w:noWrap/>
            <w:vAlign w:val="center"/>
          </w:tcPr>
          <w:p w14:paraId="4A02FF2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64.9%</w:t>
            </w:r>
          </w:p>
        </w:tc>
        <w:tc>
          <w:tcPr>
            <w:tcW w:w="1025" w:type="dxa"/>
            <w:shd w:val="clear" w:color="000000" w:fill="FFFFFF"/>
            <w:noWrap/>
            <w:vAlign w:val="center"/>
          </w:tcPr>
          <w:p w14:paraId="7002B170"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50" w:type="dxa"/>
            <w:shd w:val="clear" w:color="000000" w:fill="FFFFFF"/>
            <w:vAlign w:val="center"/>
          </w:tcPr>
          <w:p w14:paraId="325DF9B8"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3CC39C34" w14:textId="77777777" w:rsidTr="0053637F">
        <w:trPr>
          <w:cantSplit/>
          <w:trHeight w:val="67"/>
        </w:trPr>
        <w:tc>
          <w:tcPr>
            <w:tcW w:w="824" w:type="dxa"/>
            <w:shd w:val="clear" w:color="auto" w:fill="FFFFFF" w:themeFill="background1"/>
            <w:vAlign w:val="center"/>
            <w:hideMark/>
          </w:tcPr>
          <w:p w14:paraId="299069DF"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243A66B5"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 Up Care for Children Prescribed ADHD Medication— Initiation Phase</w:t>
            </w:r>
          </w:p>
        </w:tc>
        <w:tc>
          <w:tcPr>
            <w:tcW w:w="900" w:type="dxa"/>
            <w:shd w:val="clear" w:color="000000" w:fill="FFFFFF"/>
            <w:noWrap/>
            <w:vAlign w:val="center"/>
            <w:hideMark/>
          </w:tcPr>
          <w:p w14:paraId="6F82E74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114</w:t>
            </w:r>
          </w:p>
        </w:tc>
        <w:tc>
          <w:tcPr>
            <w:tcW w:w="900" w:type="dxa"/>
            <w:shd w:val="clear" w:color="000000" w:fill="FFFFFF"/>
            <w:vAlign w:val="center"/>
            <w:hideMark/>
          </w:tcPr>
          <w:p w14:paraId="0BF03BA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55</w:t>
            </w:r>
          </w:p>
        </w:tc>
        <w:tc>
          <w:tcPr>
            <w:tcW w:w="810" w:type="dxa"/>
            <w:shd w:val="clear" w:color="000000" w:fill="FFFFFF"/>
            <w:vAlign w:val="center"/>
            <w:hideMark/>
          </w:tcPr>
          <w:p w14:paraId="1A2C746B"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48.3%</w:t>
            </w:r>
          </w:p>
        </w:tc>
        <w:tc>
          <w:tcPr>
            <w:tcW w:w="990" w:type="dxa"/>
            <w:shd w:val="clear" w:color="000000" w:fill="FFFFFF"/>
            <w:noWrap/>
            <w:vAlign w:val="center"/>
          </w:tcPr>
          <w:p w14:paraId="367AFA0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38.6%</w:t>
            </w:r>
          </w:p>
        </w:tc>
        <w:tc>
          <w:tcPr>
            <w:tcW w:w="1080" w:type="dxa"/>
            <w:shd w:val="clear" w:color="000000" w:fill="FFFFFF"/>
            <w:noWrap/>
            <w:vAlign w:val="center"/>
          </w:tcPr>
          <w:p w14:paraId="26D77BA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57.9%</w:t>
            </w:r>
          </w:p>
        </w:tc>
        <w:tc>
          <w:tcPr>
            <w:tcW w:w="1080" w:type="dxa"/>
            <w:shd w:val="clear" w:color="000000" w:fill="FFFFFF"/>
            <w:noWrap/>
            <w:vAlign w:val="center"/>
          </w:tcPr>
          <w:p w14:paraId="33AF484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52.6%</w:t>
            </w:r>
          </w:p>
        </w:tc>
        <w:tc>
          <w:tcPr>
            <w:tcW w:w="1260" w:type="dxa"/>
            <w:shd w:val="clear" w:color="000000" w:fill="FFFFFF"/>
            <w:noWrap/>
            <w:vAlign w:val="center"/>
          </w:tcPr>
          <w:p w14:paraId="66739AE3"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900" w:type="dxa"/>
            <w:shd w:val="clear" w:color="000000" w:fill="FFFFFF"/>
            <w:noWrap/>
            <w:vAlign w:val="center"/>
          </w:tcPr>
          <w:p w14:paraId="7C09D5E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49.0%</w:t>
            </w:r>
          </w:p>
        </w:tc>
        <w:tc>
          <w:tcPr>
            <w:tcW w:w="1025" w:type="dxa"/>
            <w:shd w:val="clear" w:color="000000" w:fill="FFFFFF"/>
            <w:noWrap/>
            <w:vAlign w:val="center"/>
          </w:tcPr>
          <w:p w14:paraId="2060A850"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50" w:type="dxa"/>
            <w:shd w:val="clear" w:color="000000" w:fill="FFFFFF"/>
            <w:vAlign w:val="center"/>
          </w:tcPr>
          <w:p w14:paraId="3725B5F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7C1F3BDE" w14:textId="77777777" w:rsidTr="0053637F">
        <w:trPr>
          <w:cantSplit/>
          <w:trHeight w:val="67"/>
        </w:trPr>
        <w:tc>
          <w:tcPr>
            <w:tcW w:w="824" w:type="dxa"/>
            <w:shd w:val="clear" w:color="auto" w:fill="FFFFFF" w:themeFill="background1"/>
            <w:vAlign w:val="center"/>
            <w:hideMark/>
          </w:tcPr>
          <w:p w14:paraId="374C42F2"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03B0FF68"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 Up Care for Children Prescribed ADHD Medication— Continuation &amp; Maintenance Phase</w:t>
            </w:r>
          </w:p>
        </w:tc>
        <w:tc>
          <w:tcPr>
            <w:tcW w:w="900" w:type="dxa"/>
            <w:shd w:val="clear" w:color="000000" w:fill="FFFFFF"/>
            <w:noWrap/>
            <w:vAlign w:val="center"/>
            <w:hideMark/>
          </w:tcPr>
          <w:p w14:paraId="3842E2D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25</w:t>
            </w:r>
          </w:p>
        </w:tc>
        <w:tc>
          <w:tcPr>
            <w:tcW w:w="900" w:type="dxa"/>
            <w:shd w:val="clear" w:color="000000" w:fill="FFFFFF"/>
            <w:vAlign w:val="center"/>
            <w:hideMark/>
          </w:tcPr>
          <w:p w14:paraId="790441F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16</w:t>
            </w:r>
          </w:p>
        </w:tc>
        <w:tc>
          <w:tcPr>
            <w:tcW w:w="810" w:type="dxa"/>
            <w:shd w:val="clear" w:color="000000" w:fill="FFFFFF"/>
            <w:vAlign w:val="center"/>
            <w:hideMark/>
          </w:tcPr>
          <w:p w14:paraId="3362A879" w14:textId="6EEFC3B7"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6AE5EF6A" w14:textId="1143B746"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121E9DF6" w14:textId="7C4ECEEE"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3B9EA1F0" w14:textId="2B9BF2D2"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4FB7372C" w14:textId="7A759B0A"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noWrap/>
            <w:vAlign w:val="center"/>
          </w:tcPr>
          <w:p w14:paraId="42CC7BA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71.8%</w:t>
            </w:r>
          </w:p>
        </w:tc>
        <w:tc>
          <w:tcPr>
            <w:tcW w:w="1025" w:type="dxa"/>
            <w:shd w:val="clear" w:color="000000" w:fill="FFFFFF"/>
            <w:noWrap/>
            <w:vAlign w:val="center"/>
          </w:tcPr>
          <w:p w14:paraId="39B0D2B8" w14:textId="31DA9E7A"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4F90ABE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798E5538" w14:textId="77777777" w:rsidTr="0053637F">
        <w:trPr>
          <w:cantSplit/>
          <w:trHeight w:val="67"/>
        </w:trPr>
        <w:tc>
          <w:tcPr>
            <w:tcW w:w="824" w:type="dxa"/>
            <w:shd w:val="clear" w:color="auto" w:fill="FFFFFF" w:themeFill="background1"/>
            <w:vAlign w:val="center"/>
            <w:hideMark/>
          </w:tcPr>
          <w:p w14:paraId="55489F05"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5E0967E5"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 Up After Hospitalization For Mental Illness—</w:t>
            </w:r>
            <w:r w:rsidRPr="00411D9E">
              <w:rPr>
                <w:rFonts w:eastAsia="Times New Roman" w:cstheme="minorHAnsi"/>
                <w:sz w:val="20"/>
                <w:szCs w:val="20"/>
                <w:lang w:bidi="ar-SA"/>
              </w:rPr>
              <w:br/>
              <w:t>7 days</w:t>
            </w:r>
          </w:p>
        </w:tc>
        <w:tc>
          <w:tcPr>
            <w:tcW w:w="900" w:type="dxa"/>
            <w:shd w:val="clear" w:color="000000" w:fill="FFFFFF"/>
            <w:noWrap/>
            <w:vAlign w:val="center"/>
            <w:hideMark/>
          </w:tcPr>
          <w:p w14:paraId="29E3974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53</w:t>
            </w:r>
          </w:p>
        </w:tc>
        <w:tc>
          <w:tcPr>
            <w:tcW w:w="900" w:type="dxa"/>
            <w:shd w:val="clear" w:color="000000" w:fill="FFFFFF"/>
            <w:vAlign w:val="center"/>
            <w:hideMark/>
          </w:tcPr>
          <w:p w14:paraId="1B30606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38</w:t>
            </w:r>
          </w:p>
        </w:tc>
        <w:tc>
          <w:tcPr>
            <w:tcW w:w="810" w:type="dxa"/>
            <w:shd w:val="clear" w:color="000000" w:fill="FFFFFF"/>
            <w:vAlign w:val="center"/>
            <w:hideMark/>
          </w:tcPr>
          <w:p w14:paraId="29EE494C"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72.9%</w:t>
            </w:r>
          </w:p>
        </w:tc>
        <w:tc>
          <w:tcPr>
            <w:tcW w:w="990" w:type="dxa"/>
            <w:shd w:val="clear" w:color="000000" w:fill="FFFFFF"/>
            <w:noWrap/>
            <w:vAlign w:val="center"/>
          </w:tcPr>
          <w:p w14:paraId="357EBD3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60.0%</w:t>
            </w:r>
          </w:p>
        </w:tc>
        <w:tc>
          <w:tcPr>
            <w:tcW w:w="1080" w:type="dxa"/>
            <w:shd w:val="clear" w:color="000000" w:fill="FFFFFF"/>
            <w:noWrap/>
            <w:vAlign w:val="center"/>
          </w:tcPr>
          <w:p w14:paraId="5A2D508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85.8%</w:t>
            </w:r>
          </w:p>
        </w:tc>
        <w:tc>
          <w:tcPr>
            <w:tcW w:w="1080" w:type="dxa"/>
            <w:shd w:val="clear" w:color="000000" w:fill="FFFFFF"/>
            <w:noWrap/>
            <w:vAlign w:val="center"/>
          </w:tcPr>
          <w:p w14:paraId="17762BD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49.0%</w:t>
            </w:r>
          </w:p>
        </w:tc>
        <w:tc>
          <w:tcPr>
            <w:tcW w:w="1260" w:type="dxa"/>
            <w:shd w:val="clear" w:color="000000" w:fill="FFFFFF"/>
            <w:noWrap/>
            <w:vAlign w:val="center"/>
          </w:tcPr>
          <w:p w14:paraId="2B7BF1A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00" w:type="dxa"/>
            <w:shd w:val="clear" w:color="000000" w:fill="FFFFFF"/>
            <w:noWrap/>
            <w:vAlign w:val="center"/>
          </w:tcPr>
          <w:p w14:paraId="4CF26FC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55.6%</w:t>
            </w:r>
          </w:p>
        </w:tc>
        <w:tc>
          <w:tcPr>
            <w:tcW w:w="1025" w:type="dxa"/>
            <w:shd w:val="clear" w:color="000000" w:fill="FFFFFF"/>
            <w:noWrap/>
            <w:vAlign w:val="center"/>
          </w:tcPr>
          <w:p w14:paraId="0BB6220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50" w:type="dxa"/>
            <w:shd w:val="clear" w:color="000000" w:fill="FFFFFF"/>
            <w:vAlign w:val="center"/>
          </w:tcPr>
          <w:p w14:paraId="6543EAA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0DB3499D" w14:textId="77777777" w:rsidTr="0053637F">
        <w:trPr>
          <w:cantSplit/>
          <w:trHeight w:val="67"/>
        </w:trPr>
        <w:tc>
          <w:tcPr>
            <w:tcW w:w="824" w:type="dxa"/>
            <w:shd w:val="clear" w:color="auto" w:fill="FFFFFF" w:themeFill="background1"/>
            <w:vAlign w:val="center"/>
            <w:hideMark/>
          </w:tcPr>
          <w:p w14:paraId="646840E6"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3060" w:type="dxa"/>
            <w:shd w:val="clear" w:color="auto" w:fill="FFFFFF" w:themeFill="background1"/>
            <w:vAlign w:val="center"/>
            <w:hideMark/>
          </w:tcPr>
          <w:p w14:paraId="0E8EA5A1"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 Up After Hospitalization For Mental Illness—</w:t>
            </w:r>
            <w:r w:rsidRPr="00411D9E">
              <w:rPr>
                <w:rFonts w:eastAsia="Times New Roman" w:cstheme="minorHAnsi"/>
                <w:sz w:val="20"/>
                <w:szCs w:val="20"/>
                <w:lang w:bidi="ar-SA"/>
              </w:rPr>
              <w:br/>
              <w:t>30 days</w:t>
            </w:r>
          </w:p>
        </w:tc>
        <w:tc>
          <w:tcPr>
            <w:tcW w:w="900" w:type="dxa"/>
            <w:shd w:val="clear" w:color="000000" w:fill="FFFFFF"/>
            <w:noWrap/>
            <w:vAlign w:val="center"/>
            <w:hideMark/>
          </w:tcPr>
          <w:p w14:paraId="1174BE7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53</w:t>
            </w:r>
          </w:p>
        </w:tc>
        <w:tc>
          <w:tcPr>
            <w:tcW w:w="900" w:type="dxa"/>
            <w:shd w:val="clear" w:color="000000" w:fill="FFFFFF"/>
            <w:vAlign w:val="center"/>
            <w:hideMark/>
          </w:tcPr>
          <w:p w14:paraId="46BAF4A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48</w:t>
            </w:r>
          </w:p>
        </w:tc>
        <w:tc>
          <w:tcPr>
            <w:tcW w:w="810" w:type="dxa"/>
            <w:shd w:val="clear" w:color="000000" w:fill="FFFFFF"/>
            <w:vAlign w:val="center"/>
            <w:hideMark/>
          </w:tcPr>
          <w:p w14:paraId="0D489153"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89.6%</w:t>
            </w:r>
          </w:p>
        </w:tc>
        <w:tc>
          <w:tcPr>
            <w:tcW w:w="990" w:type="dxa"/>
            <w:shd w:val="clear" w:color="000000" w:fill="FFFFFF"/>
            <w:noWrap/>
            <w:vAlign w:val="center"/>
          </w:tcPr>
          <w:p w14:paraId="33FBCAC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80.4%</w:t>
            </w:r>
          </w:p>
        </w:tc>
        <w:tc>
          <w:tcPr>
            <w:tcW w:w="1080" w:type="dxa"/>
            <w:shd w:val="clear" w:color="000000" w:fill="FFFFFF"/>
            <w:noWrap/>
            <w:vAlign w:val="center"/>
          </w:tcPr>
          <w:p w14:paraId="5D9F4C3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98.7%</w:t>
            </w:r>
          </w:p>
        </w:tc>
        <w:tc>
          <w:tcPr>
            <w:tcW w:w="1080" w:type="dxa"/>
            <w:shd w:val="clear" w:color="000000" w:fill="FFFFFF"/>
            <w:noWrap/>
            <w:vAlign w:val="center"/>
          </w:tcPr>
          <w:p w14:paraId="433CF4D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78.4%</w:t>
            </w:r>
          </w:p>
        </w:tc>
        <w:tc>
          <w:tcPr>
            <w:tcW w:w="1260" w:type="dxa"/>
            <w:shd w:val="clear" w:color="000000" w:fill="FFFFFF"/>
            <w:noWrap/>
            <w:vAlign w:val="center"/>
          </w:tcPr>
          <w:p w14:paraId="1488A6EF"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900" w:type="dxa"/>
            <w:shd w:val="clear" w:color="000000" w:fill="FFFFFF"/>
            <w:noWrap/>
            <w:vAlign w:val="center"/>
          </w:tcPr>
          <w:p w14:paraId="5978CA5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75.4%</w:t>
            </w:r>
          </w:p>
        </w:tc>
        <w:tc>
          <w:tcPr>
            <w:tcW w:w="1025" w:type="dxa"/>
            <w:shd w:val="clear" w:color="000000" w:fill="FFFFFF"/>
            <w:noWrap/>
            <w:vAlign w:val="center"/>
          </w:tcPr>
          <w:p w14:paraId="09F7F35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50" w:type="dxa"/>
            <w:shd w:val="clear" w:color="000000" w:fill="FFFFFF"/>
            <w:vAlign w:val="center"/>
          </w:tcPr>
          <w:p w14:paraId="083FABE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5E558655" w14:textId="77777777" w:rsidTr="0053637F">
        <w:trPr>
          <w:cantSplit/>
          <w:trHeight w:val="67"/>
        </w:trPr>
        <w:tc>
          <w:tcPr>
            <w:tcW w:w="824" w:type="dxa"/>
            <w:shd w:val="clear" w:color="auto" w:fill="FFFFFF" w:themeFill="background1"/>
            <w:vAlign w:val="center"/>
            <w:hideMark/>
          </w:tcPr>
          <w:p w14:paraId="321BCD73"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6FA57E34"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Follow-Up After High-Intensity Care for Substance Use Disorder—30 days (13—17 years)</w:t>
            </w:r>
          </w:p>
        </w:tc>
        <w:tc>
          <w:tcPr>
            <w:tcW w:w="900" w:type="dxa"/>
            <w:shd w:val="clear" w:color="000000" w:fill="FFFFFF"/>
            <w:noWrap/>
            <w:vAlign w:val="center"/>
            <w:hideMark/>
          </w:tcPr>
          <w:p w14:paraId="3AE7916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900" w:type="dxa"/>
            <w:shd w:val="clear" w:color="000000" w:fill="FFFFFF"/>
            <w:vAlign w:val="center"/>
            <w:hideMark/>
          </w:tcPr>
          <w:p w14:paraId="60C196F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810" w:type="dxa"/>
            <w:shd w:val="clear" w:color="000000" w:fill="FFFFFF"/>
            <w:vAlign w:val="center"/>
            <w:hideMark/>
          </w:tcPr>
          <w:p w14:paraId="7DC8B826" w14:textId="011C45AF"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184D7BC6" w14:textId="77EBB13F"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6F92190B" w14:textId="7F9CFB4A"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vAlign w:val="center"/>
          </w:tcPr>
          <w:p w14:paraId="52D7AB17" w14:textId="635D2511"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36CB6101" w14:textId="1F2AC460"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vAlign w:val="center"/>
          </w:tcPr>
          <w:p w14:paraId="3355406D" w14:textId="4035539A"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25" w:type="dxa"/>
            <w:shd w:val="clear" w:color="000000" w:fill="FFFFFF"/>
            <w:noWrap/>
            <w:vAlign w:val="center"/>
          </w:tcPr>
          <w:p w14:paraId="68956000" w14:textId="7FAB2A49"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4590C80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D0FF2C2" w14:textId="77777777" w:rsidTr="0053637F">
        <w:trPr>
          <w:cantSplit/>
          <w:trHeight w:val="160"/>
        </w:trPr>
        <w:tc>
          <w:tcPr>
            <w:tcW w:w="824" w:type="dxa"/>
            <w:shd w:val="clear" w:color="auto" w:fill="FFFFFF" w:themeFill="background1"/>
            <w:vAlign w:val="center"/>
            <w:hideMark/>
          </w:tcPr>
          <w:p w14:paraId="120F5F05"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72BD0B1F"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Follow-Up After High-Intensity Care for Substance Use Disorder—30 days (18—19 years)</w:t>
            </w:r>
          </w:p>
        </w:tc>
        <w:tc>
          <w:tcPr>
            <w:tcW w:w="900" w:type="dxa"/>
            <w:shd w:val="clear" w:color="000000" w:fill="FFFFFF"/>
            <w:noWrap/>
            <w:vAlign w:val="center"/>
            <w:hideMark/>
          </w:tcPr>
          <w:p w14:paraId="596088F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900" w:type="dxa"/>
            <w:shd w:val="clear" w:color="000000" w:fill="FFFFFF"/>
            <w:vAlign w:val="center"/>
            <w:hideMark/>
          </w:tcPr>
          <w:p w14:paraId="67734A5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810" w:type="dxa"/>
            <w:shd w:val="clear" w:color="000000" w:fill="FFFFFF"/>
            <w:vAlign w:val="center"/>
            <w:hideMark/>
          </w:tcPr>
          <w:p w14:paraId="4CF8BB6F" w14:textId="717659A9"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7D3B6F81" w14:textId="04CC29B7"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6C31B46D" w14:textId="031B1ABD"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vAlign w:val="center"/>
          </w:tcPr>
          <w:p w14:paraId="49E3B082" w14:textId="6A816F6D"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3EF74F42" w14:textId="4E2FDBB7"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vAlign w:val="center"/>
          </w:tcPr>
          <w:p w14:paraId="30A85D43" w14:textId="1004979B"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25" w:type="dxa"/>
            <w:shd w:val="clear" w:color="000000" w:fill="FFFFFF"/>
            <w:noWrap/>
            <w:vAlign w:val="center"/>
          </w:tcPr>
          <w:p w14:paraId="460E955A" w14:textId="6D926C25"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3884788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13A2BFF5" w14:textId="77777777" w:rsidTr="0053637F">
        <w:trPr>
          <w:cantSplit/>
          <w:trHeight w:val="97"/>
        </w:trPr>
        <w:tc>
          <w:tcPr>
            <w:tcW w:w="824" w:type="dxa"/>
            <w:shd w:val="clear" w:color="auto" w:fill="FFFFFF" w:themeFill="background1"/>
            <w:vAlign w:val="center"/>
            <w:hideMark/>
          </w:tcPr>
          <w:p w14:paraId="77E0ED04"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0AF1ABEA"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Follow-Up After High-Intensity Care for Substance Use Disorder—30 days (Total)</w:t>
            </w:r>
          </w:p>
        </w:tc>
        <w:tc>
          <w:tcPr>
            <w:tcW w:w="900" w:type="dxa"/>
            <w:shd w:val="clear" w:color="000000" w:fill="FFFFFF"/>
            <w:noWrap/>
            <w:vAlign w:val="center"/>
            <w:hideMark/>
          </w:tcPr>
          <w:p w14:paraId="745CF46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900" w:type="dxa"/>
            <w:shd w:val="clear" w:color="000000" w:fill="FFFFFF"/>
            <w:vAlign w:val="center"/>
            <w:hideMark/>
          </w:tcPr>
          <w:p w14:paraId="2D19807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810" w:type="dxa"/>
            <w:shd w:val="clear" w:color="000000" w:fill="FFFFFF"/>
            <w:vAlign w:val="center"/>
            <w:hideMark/>
          </w:tcPr>
          <w:p w14:paraId="46633086" w14:textId="64BB9331"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66495AD8" w14:textId="34BECD03"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272F0C54" w14:textId="21FF3270"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vAlign w:val="center"/>
          </w:tcPr>
          <w:p w14:paraId="52F8AFA8" w14:textId="3EBB30F0"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2977A244" w14:textId="7AC0432C"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vAlign w:val="center"/>
          </w:tcPr>
          <w:p w14:paraId="6D98C332" w14:textId="2A392A15"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25" w:type="dxa"/>
            <w:shd w:val="clear" w:color="000000" w:fill="FFFFFF"/>
            <w:noWrap/>
            <w:vAlign w:val="center"/>
          </w:tcPr>
          <w:p w14:paraId="188553B8" w14:textId="00A98A66"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4DE98BB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BB30966" w14:textId="77777777" w:rsidTr="0053637F">
        <w:trPr>
          <w:cantSplit/>
          <w:trHeight w:val="67"/>
        </w:trPr>
        <w:tc>
          <w:tcPr>
            <w:tcW w:w="824" w:type="dxa"/>
            <w:shd w:val="clear" w:color="auto" w:fill="FFFFFF" w:themeFill="background1"/>
            <w:vAlign w:val="center"/>
            <w:hideMark/>
          </w:tcPr>
          <w:p w14:paraId="65AADBDD"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66C1A086"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Follow-Up After High-Intensity Care for Substance Use Disorder—7 days (13—17 years)</w:t>
            </w:r>
          </w:p>
        </w:tc>
        <w:tc>
          <w:tcPr>
            <w:tcW w:w="900" w:type="dxa"/>
            <w:shd w:val="clear" w:color="000000" w:fill="FFFFFF"/>
            <w:noWrap/>
            <w:vAlign w:val="center"/>
            <w:hideMark/>
          </w:tcPr>
          <w:p w14:paraId="2D381C7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900" w:type="dxa"/>
            <w:shd w:val="clear" w:color="000000" w:fill="FFFFFF"/>
            <w:vAlign w:val="center"/>
            <w:hideMark/>
          </w:tcPr>
          <w:p w14:paraId="5CA87DE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810" w:type="dxa"/>
            <w:shd w:val="clear" w:color="000000" w:fill="FFFFFF"/>
            <w:vAlign w:val="center"/>
            <w:hideMark/>
          </w:tcPr>
          <w:p w14:paraId="46F413F6" w14:textId="4242D29D"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1CAEB1EA" w14:textId="66ABE393"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74EC26E9" w14:textId="09C479DF"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vAlign w:val="center"/>
          </w:tcPr>
          <w:p w14:paraId="229DAEBC" w14:textId="560B9021"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16451FF7" w14:textId="1DE15D6A"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vAlign w:val="center"/>
          </w:tcPr>
          <w:p w14:paraId="74E80D03" w14:textId="6DF473B7"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25" w:type="dxa"/>
            <w:shd w:val="clear" w:color="000000" w:fill="FFFFFF"/>
            <w:noWrap/>
            <w:vAlign w:val="center"/>
          </w:tcPr>
          <w:p w14:paraId="05481478" w14:textId="124F225C"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3945F41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9D4F7AA" w14:textId="77777777" w:rsidTr="0053637F">
        <w:trPr>
          <w:cantSplit/>
          <w:trHeight w:val="67"/>
        </w:trPr>
        <w:tc>
          <w:tcPr>
            <w:tcW w:w="824" w:type="dxa"/>
            <w:shd w:val="clear" w:color="auto" w:fill="FFFFFF" w:themeFill="background1"/>
            <w:vAlign w:val="center"/>
            <w:hideMark/>
          </w:tcPr>
          <w:p w14:paraId="2E7C7A7A"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78736DCA"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Follow-Up After High-Intensity Care for Substance Use Disorder—7 days (18—19 years)</w:t>
            </w:r>
          </w:p>
        </w:tc>
        <w:tc>
          <w:tcPr>
            <w:tcW w:w="900" w:type="dxa"/>
            <w:shd w:val="clear" w:color="000000" w:fill="FFFFFF"/>
            <w:noWrap/>
            <w:vAlign w:val="center"/>
            <w:hideMark/>
          </w:tcPr>
          <w:p w14:paraId="7F47C58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900" w:type="dxa"/>
            <w:shd w:val="clear" w:color="000000" w:fill="FFFFFF"/>
            <w:vAlign w:val="center"/>
            <w:hideMark/>
          </w:tcPr>
          <w:p w14:paraId="7F72DD6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810" w:type="dxa"/>
            <w:shd w:val="clear" w:color="000000" w:fill="FFFFFF"/>
            <w:vAlign w:val="center"/>
            <w:hideMark/>
          </w:tcPr>
          <w:p w14:paraId="74A5C71C" w14:textId="0F4386C5"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16D46AA5" w14:textId="0DF2CC7E"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6E0BFDF3" w14:textId="0DC4E7AC"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vAlign w:val="center"/>
          </w:tcPr>
          <w:p w14:paraId="5D1A5474" w14:textId="34ECE70D"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5626C5AC" w14:textId="6B6BAE1E"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vAlign w:val="center"/>
          </w:tcPr>
          <w:p w14:paraId="287A4807" w14:textId="2F4ADA98"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25" w:type="dxa"/>
            <w:shd w:val="clear" w:color="000000" w:fill="FFFFFF"/>
            <w:noWrap/>
            <w:vAlign w:val="center"/>
          </w:tcPr>
          <w:p w14:paraId="762A07A3" w14:textId="4A252910"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4573E2E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5AA84F75" w14:textId="77777777" w:rsidTr="0053637F">
        <w:trPr>
          <w:cantSplit/>
          <w:trHeight w:val="340"/>
        </w:trPr>
        <w:tc>
          <w:tcPr>
            <w:tcW w:w="824" w:type="dxa"/>
            <w:shd w:val="clear" w:color="auto" w:fill="FFFFFF" w:themeFill="background1"/>
            <w:vAlign w:val="center"/>
            <w:hideMark/>
          </w:tcPr>
          <w:p w14:paraId="4A2DE144" w14:textId="77777777" w:rsidR="005C3D48" w:rsidRPr="00411D9E" w:rsidRDefault="005C3D48" w:rsidP="00FF262E">
            <w:pPr>
              <w:ind w:right="-102"/>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5D27C37F"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Follow-Up After High-Intensity Care for Substance Use Disorder—7 days (Total)</w:t>
            </w:r>
          </w:p>
        </w:tc>
        <w:tc>
          <w:tcPr>
            <w:tcW w:w="900" w:type="dxa"/>
            <w:shd w:val="clear" w:color="000000" w:fill="FFFFFF"/>
            <w:noWrap/>
            <w:vAlign w:val="center"/>
            <w:hideMark/>
          </w:tcPr>
          <w:p w14:paraId="5983B82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900" w:type="dxa"/>
            <w:shd w:val="clear" w:color="000000" w:fill="FFFFFF"/>
            <w:vAlign w:val="center"/>
            <w:hideMark/>
          </w:tcPr>
          <w:p w14:paraId="2D3C81E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0</w:t>
            </w:r>
          </w:p>
        </w:tc>
        <w:tc>
          <w:tcPr>
            <w:tcW w:w="810" w:type="dxa"/>
            <w:shd w:val="clear" w:color="000000" w:fill="FFFFFF"/>
            <w:vAlign w:val="center"/>
            <w:hideMark/>
          </w:tcPr>
          <w:p w14:paraId="0550CE5F" w14:textId="70D50854" w:rsidR="005C3D48" w:rsidRPr="00411D9E" w:rsidRDefault="00A460D7" w:rsidP="00FF262E">
            <w:pPr>
              <w:ind w:right="-102"/>
              <w:jc w:val="center"/>
              <w:rPr>
                <w:rFonts w:eastAsia="Times New Roman" w:cstheme="minorHAnsi"/>
                <w:b/>
                <w:bCs/>
                <w:sz w:val="20"/>
                <w:szCs w:val="20"/>
                <w:lang w:bidi="ar-SA"/>
              </w:rPr>
            </w:pPr>
            <w:r w:rsidRPr="00411D9E">
              <w:rPr>
                <w:rFonts w:cstheme="minorHAnsi"/>
                <w:b/>
                <w:bCs/>
                <w:sz w:val="20"/>
                <w:szCs w:val="20"/>
              </w:rPr>
              <w:t>N/A</w:t>
            </w:r>
          </w:p>
        </w:tc>
        <w:tc>
          <w:tcPr>
            <w:tcW w:w="990" w:type="dxa"/>
            <w:shd w:val="clear" w:color="000000" w:fill="FFFFFF"/>
            <w:noWrap/>
            <w:vAlign w:val="center"/>
          </w:tcPr>
          <w:p w14:paraId="0809B642" w14:textId="13EC2127"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noWrap/>
            <w:vAlign w:val="center"/>
          </w:tcPr>
          <w:p w14:paraId="77A1A7BD" w14:textId="480DA1B6"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80" w:type="dxa"/>
            <w:shd w:val="clear" w:color="000000" w:fill="FFFFFF"/>
            <w:vAlign w:val="center"/>
          </w:tcPr>
          <w:p w14:paraId="0FACEC7B" w14:textId="2D31A8B9"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260" w:type="dxa"/>
            <w:shd w:val="clear" w:color="000000" w:fill="FFFFFF"/>
            <w:noWrap/>
            <w:vAlign w:val="center"/>
          </w:tcPr>
          <w:p w14:paraId="77F8F708" w14:textId="798F24F4"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00" w:type="dxa"/>
            <w:shd w:val="clear" w:color="000000" w:fill="FFFFFF"/>
            <w:vAlign w:val="center"/>
          </w:tcPr>
          <w:p w14:paraId="2529F1A2" w14:textId="51B9AD52"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025" w:type="dxa"/>
            <w:shd w:val="clear" w:color="000000" w:fill="FFFFFF"/>
            <w:noWrap/>
            <w:vAlign w:val="center"/>
          </w:tcPr>
          <w:p w14:paraId="552793EA" w14:textId="0483F56D"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550" w:type="dxa"/>
            <w:shd w:val="clear" w:color="000000" w:fill="FFFFFF"/>
            <w:vAlign w:val="center"/>
          </w:tcPr>
          <w:p w14:paraId="6A625D7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NA </w:t>
            </w:r>
          </w:p>
        </w:tc>
      </w:tr>
    </w:tbl>
    <w:p w14:paraId="5BD92166" w14:textId="77777777" w:rsidR="0053637F" w:rsidRPr="00411D9E" w:rsidRDefault="0053637F" w:rsidP="0053637F">
      <w:pPr>
        <w:jc w:val="left"/>
        <w:rPr>
          <w:sz w:val="20"/>
          <w:szCs w:val="20"/>
        </w:rPr>
      </w:pPr>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w:t>
      </w:r>
      <w:r w:rsidRPr="00411D9E">
        <w:rPr>
          <w:rFonts w:cstheme="minorHAnsi"/>
          <w:sz w:val="20"/>
          <w:szCs w:val="20"/>
        </w:rPr>
        <w:t>−</w:t>
      </w:r>
      <w:r w:rsidRPr="00411D9E">
        <w:rPr>
          <w:sz w:val="20"/>
          <w:szCs w:val="20"/>
        </w:rPr>
        <w:t>,” and no statistically significant change by “</w:t>
      </w:r>
      <w:proofErr w:type="spellStart"/>
      <w:r w:rsidRPr="00411D9E">
        <w:rPr>
          <w:sz w:val="20"/>
          <w:szCs w:val="20"/>
        </w:rPr>
        <w:t>n.s</w:t>
      </w:r>
      <w:proofErr w:type="spellEnd"/>
      <w:r w:rsidRPr="00411D9E">
        <w:rPr>
          <w:sz w:val="20"/>
          <w:szCs w:val="20"/>
        </w:rPr>
        <w:t xml:space="preserve">.” </w:t>
      </w:r>
      <w:r w:rsidRPr="00411D9E">
        <w:rPr>
          <w:bCs/>
          <w:sz w:val="20"/>
          <w:szCs w:val="20"/>
        </w:rPr>
        <w:t>For comparison of MY 2020 rates to CHIP MMC rates, the “+” denotes that the plan rate exceeds the CHIP MMC rate, the “</w:t>
      </w:r>
      <w:r w:rsidRPr="00411D9E">
        <w:rPr>
          <w:rFonts w:cstheme="minorHAnsi"/>
          <w:sz w:val="20"/>
          <w:szCs w:val="20"/>
        </w:rPr>
        <w:t>−</w:t>
      </w:r>
      <w:r w:rsidRPr="00411D9E">
        <w:rPr>
          <w:bCs/>
          <w:sz w:val="20"/>
          <w:szCs w:val="20"/>
        </w:rPr>
        <w:t>” denotes that the MMC rate exceeds the plan rate, and “</w:t>
      </w:r>
      <w:proofErr w:type="spellStart"/>
      <w:r w:rsidRPr="00411D9E">
        <w:rPr>
          <w:bCs/>
          <w:sz w:val="20"/>
          <w:szCs w:val="20"/>
        </w:rPr>
        <w:t>n.s</w:t>
      </w:r>
      <w:proofErr w:type="spellEnd"/>
      <w:r w:rsidRPr="00411D9E">
        <w:rPr>
          <w:bCs/>
          <w:sz w:val="20"/>
          <w:szCs w:val="20"/>
        </w:rPr>
        <w:t>.” denotes no statistically significant difference between the two rates.</w:t>
      </w:r>
    </w:p>
    <w:p w14:paraId="05FD224F" w14:textId="2AF529BF" w:rsidR="005C3D48" w:rsidRPr="00411D9E" w:rsidRDefault="0053637F" w:rsidP="0053637F">
      <w:pPr>
        <w:jc w:val="left"/>
        <w:rPr>
          <w:sz w:val="20"/>
          <w:szCs w:val="20"/>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w:t>
      </w:r>
    </w:p>
    <w:p w14:paraId="5B19EC44" w14:textId="570AC443" w:rsidR="005C3D48" w:rsidRPr="00411D9E" w:rsidRDefault="005C3D48" w:rsidP="005C3D48">
      <w:pPr>
        <w:rPr>
          <w:rFonts w:asciiTheme="majorHAnsi" w:eastAsiaTheme="majorEastAsia" w:hAnsiTheme="majorHAnsi" w:cstheme="majorBidi"/>
          <w:color w:val="4F81BD" w:themeColor="accent1"/>
        </w:rPr>
      </w:pPr>
    </w:p>
    <w:p w14:paraId="074BA29F" w14:textId="77777777" w:rsidR="00A460D7" w:rsidRPr="00411D9E" w:rsidRDefault="00A460D7">
      <w:pPr>
        <w:rPr>
          <w:rFonts w:asciiTheme="majorHAnsi" w:eastAsiaTheme="majorEastAsia" w:hAnsiTheme="majorHAnsi" w:cstheme="majorBidi"/>
          <w:b/>
          <w:bCs/>
          <w:color w:val="4F81BD" w:themeColor="accent1"/>
        </w:rPr>
      </w:pPr>
      <w:bookmarkStart w:id="131" w:name="_Toc70508381"/>
      <w:r w:rsidRPr="00411D9E">
        <w:br w:type="page"/>
      </w:r>
    </w:p>
    <w:p w14:paraId="0C89D60E" w14:textId="556B0FD8" w:rsidR="005C3D48" w:rsidRPr="00411D9E" w:rsidRDefault="005C3D48" w:rsidP="005C3D48">
      <w:pPr>
        <w:pStyle w:val="Heading3"/>
      </w:pPr>
      <w:bookmarkStart w:id="132" w:name="_Toc99026954"/>
      <w:r w:rsidRPr="00411D9E">
        <w:lastRenderedPageBreak/>
        <w:t>Dental Care for Children</w:t>
      </w:r>
      <w:bookmarkEnd w:id="131"/>
      <w:bookmarkEnd w:id="132"/>
    </w:p>
    <w:p w14:paraId="1EE59966" w14:textId="77777777" w:rsidR="005C3D48" w:rsidRPr="00411D9E" w:rsidRDefault="005C3D48" w:rsidP="005C3D48">
      <w:bookmarkStart w:id="133" w:name="_Toc478563555"/>
      <w:bookmarkStart w:id="134" w:name="_Toc512521054"/>
      <w:r w:rsidRPr="00411D9E">
        <w:t>Strengths are identified for the following 2021 (MY 2020) Dental Care for Children performance measures.</w:t>
      </w:r>
    </w:p>
    <w:p w14:paraId="693AAE60" w14:textId="77777777" w:rsidR="005C3D48" w:rsidRPr="00411D9E" w:rsidRDefault="005C3D48" w:rsidP="00A0110E">
      <w:pPr>
        <w:pStyle w:val="ListParagraph"/>
        <w:numPr>
          <w:ilvl w:val="0"/>
          <w:numId w:val="22"/>
        </w:numPr>
        <w:ind w:left="1080"/>
      </w:pPr>
      <w:r w:rsidRPr="00411D9E">
        <w:t>The following rates are statistically significantly above/better than the 2021 MMC weighted average:</w:t>
      </w:r>
    </w:p>
    <w:p w14:paraId="0B408E4B" w14:textId="77777777" w:rsidR="005C3D48" w:rsidRPr="00411D9E" w:rsidRDefault="005C3D48" w:rsidP="00A0110E">
      <w:pPr>
        <w:pStyle w:val="ListParagraph"/>
        <w:numPr>
          <w:ilvl w:val="1"/>
          <w:numId w:val="22"/>
        </w:numPr>
      </w:pPr>
      <w:r w:rsidRPr="00411D9E">
        <w:t>Annual Dental Visit (2–3 years); and</w:t>
      </w:r>
    </w:p>
    <w:p w14:paraId="469F788F" w14:textId="77777777" w:rsidR="005C3D48" w:rsidRPr="00411D9E" w:rsidRDefault="005C3D48" w:rsidP="00A0110E">
      <w:pPr>
        <w:pStyle w:val="ListParagraph"/>
        <w:numPr>
          <w:ilvl w:val="1"/>
          <w:numId w:val="22"/>
        </w:numPr>
      </w:pPr>
      <w:r w:rsidRPr="00411D9E">
        <w:t>Annual Dental Visit (4–6 years).</w:t>
      </w:r>
    </w:p>
    <w:p w14:paraId="6EE0F152" w14:textId="77777777" w:rsidR="005C3D48" w:rsidRPr="00411D9E" w:rsidRDefault="005C3D48" w:rsidP="005C3D48"/>
    <w:p w14:paraId="4696BBCB" w14:textId="77777777" w:rsidR="005C3D48" w:rsidRPr="00411D9E" w:rsidRDefault="005C3D48" w:rsidP="005C3D48">
      <w:bookmarkStart w:id="135" w:name="_Toc70508413"/>
      <w:r w:rsidRPr="00411D9E">
        <w:t>No opportunities for improvement are identified for the 2021 (MY 2020) Dental Care for Children performance measures.</w:t>
      </w:r>
    </w:p>
    <w:p w14:paraId="1FAF2EE5" w14:textId="77777777" w:rsidR="005C3D48" w:rsidRPr="00411D9E" w:rsidRDefault="005C3D48" w:rsidP="005C3D48">
      <w:pPr>
        <w:pStyle w:val="tableheading"/>
      </w:pPr>
      <w:bookmarkStart w:id="136" w:name="_Toc99026990"/>
      <w:r w:rsidRPr="00411D9E">
        <w:t>Table 2.5: Dental Care for Children</w:t>
      </w:r>
      <w:bookmarkEnd w:id="133"/>
      <w:bookmarkEnd w:id="134"/>
      <w:bookmarkEnd w:id="135"/>
      <w:bookmarkEnd w:id="136"/>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2"/>
        <w:gridCol w:w="3052"/>
        <w:gridCol w:w="898"/>
        <w:gridCol w:w="808"/>
        <w:gridCol w:w="898"/>
        <w:gridCol w:w="987"/>
        <w:gridCol w:w="1077"/>
        <w:gridCol w:w="1167"/>
        <w:gridCol w:w="1167"/>
        <w:gridCol w:w="987"/>
        <w:gridCol w:w="987"/>
        <w:gridCol w:w="1540"/>
      </w:tblGrid>
      <w:tr w:rsidR="005C3D48" w:rsidRPr="00411D9E" w14:paraId="7286A71D" w14:textId="77777777" w:rsidTr="00A460D7">
        <w:trPr>
          <w:cantSplit/>
          <w:trHeight w:val="288"/>
          <w:tblHeader/>
        </w:trPr>
        <w:tc>
          <w:tcPr>
            <w:tcW w:w="3884" w:type="dxa"/>
            <w:gridSpan w:val="2"/>
            <w:shd w:val="clear" w:color="000000" w:fill="5F497A"/>
            <w:vAlign w:val="bottom"/>
            <w:hideMark/>
          </w:tcPr>
          <w:p w14:paraId="1EA6B9FF"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Indicator</w:t>
            </w:r>
          </w:p>
        </w:tc>
        <w:tc>
          <w:tcPr>
            <w:tcW w:w="4680" w:type="dxa"/>
            <w:gridSpan w:val="5"/>
            <w:shd w:val="clear" w:color="000000" w:fill="5F497A"/>
            <w:vAlign w:val="bottom"/>
            <w:hideMark/>
          </w:tcPr>
          <w:p w14:paraId="7D3A24F4"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(MY 2020)</w:t>
            </w:r>
          </w:p>
        </w:tc>
        <w:tc>
          <w:tcPr>
            <w:tcW w:w="5864" w:type="dxa"/>
            <w:gridSpan w:val="5"/>
            <w:shd w:val="clear" w:color="000000" w:fill="5F497A"/>
            <w:vAlign w:val="bottom"/>
            <w:hideMark/>
          </w:tcPr>
          <w:p w14:paraId="3AA8A31F" w14:textId="42245A4F" w:rsidR="005C3D48" w:rsidRPr="00411D9E" w:rsidRDefault="005C3D48" w:rsidP="00FF262E">
            <w:pPr>
              <w:jc w:val="center"/>
              <w:rPr>
                <w:rFonts w:eastAsia="Times New Roman" w:cstheme="minorHAnsi"/>
                <w:b/>
                <w:bCs/>
                <w:color w:val="FFFFFF"/>
                <w:sz w:val="20"/>
                <w:szCs w:val="20"/>
                <w:vertAlign w:val="superscript"/>
                <w:lang w:bidi="ar-SA"/>
              </w:rPr>
            </w:pPr>
            <w:r w:rsidRPr="00411D9E">
              <w:rPr>
                <w:rFonts w:eastAsia="Times New Roman" w:cstheme="minorHAnsi"/>
                <w:b/>
                <w:bCs/>
                <w:color w:val="FFFFFF"/>
                <w:sz w:val="20"/>
                <w:szCs w:val="20"/>
                <w:lang w:bidi="ar-SA"/>
              </w:rPr>
              <w:t>Rate Comparison</w:t>
            </w:r>
            <w:r w:rsidR="00FF262E" w:rsidRPr="00411D9E">
              <w:rPr>
                <w:rFonts w:eastAsia="Times New Roman" w:cstheme="minorHAnsi"/>
                <w:b/>
                <w:bCs/>
                <w:color w:val="FFFFFF"/>
                <w:sz w:val="20"/>
                <w:szCs w:val="20"/>
                <w:vertAlign w:val="superscript"/>
                <w:lang w:bidi="ar-SA"/>
              </w:rPr>
              <w:t>1</w:t>
            </w:r>
          </w:p>
        </w:tc>
      </w:tr>
      <w:tr w:rsidR="005C3D48" w:rsidRPr="00411D9E" w14:paraId="42DAF8D2" w14:textId="77777777" w:rsidTr="00A460D7">
        <w:trPr>
          <w:cantSplit/>
          <w:trHeight w:val="288"/>
          <w:tblHeader/>
        </w:trPr>
        <w:tc>
          <w:tcPr>
            <w:tcW w:w="824" w:type="dxa"/>
            <w:shd w:val="clear" w:color="000000" w:fill="5F497A"/>
            <w:vAlign w:val="bottom"/>
            <w:hideMark/>
          </w:tcPr>
          <w:p w14:paraId="32C5EEFC"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Source</w:t>
            </w:r>
          </w:p>
        </w:tc>
        <w:tc>
          <w:tcPr>
            <w:tcW w:w="3060" w:type="dxa"/>
            <w:shd w:val="clear" w:color="000000" w:fill="5F497A"/>
            <w:vAlign w:val="bottom"/>
            <w:hideMark/>
          </w:tcPr>
          <w:p w14:paraId="6E6DFF4D"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Name</w:t>
            </w:r>
          </w:p>
        </w:tc>
        <w:tc>
          <w:tcPr>
            <w:tcW w:w="900" w:type="dxa"/>
            <w:shd w:val="clear" w:color="000000" w:fill="5F497A"/>
            <w:vAlign w:val="bottom"/>
            <w:hideMark/>
          </w:tcPr>
          <w:p w14:paraId="0CE8314D" w14:textId="77777777" w:rsidR="005C3D48" w:rsidRPr="00411D9E" w:rsidRDefault="005C3D48" w:rsidP="00FF262E">
            <w:pPr>
              <w:jc w:val="center"/>
              <w:rPr>
                <w:rFonts w:eastAsia="Times New Roman" w:cstheme="minorHAnsi"/>
                <w:b/>
                <w:bCs/>
                <w:color w:val="FFFFFF"/>
                <w:sz w:val="20"/>
                <w:szCs w:val="20"/>
                <w:lang w:bidi="ar-SA"/>
              </w:rPr>
            </w:pPr>
            <w:proofErr w:type="spellStart"/>
            <w:r w:rsidRPr="00411D9E">
              <w:rPr>
                <w:rFonts w:eastAsia="Times New Roman" w:cstheme="minorHAnsi"/>
                <w:b/>
                <w:bCs/>
                <w:color w:val="FFFFFF"/>
                <w:sz w:val="20"/>
                <w:szCs w:val="20"/>
                <w:lang w:bidi="ar-SA"/>
              </w:rPr>
              <w:t>Denom</w:t>
            </w:r>
            <w:proofErr w:type="spellEnd"/>
          </w:p>
        </w:tc>
        <w:tc>
          <w:tcPr>
            <w:tcW w:w="810" w:type="dxa"/>
            <w:shd w:val="clear" w:color="000000" w:fill="5F497A"/>
            <w:vAlign w:val="bottom"/>
            <w:hideMark/>
          </w:tcPr>
          <w:p w14:paraId="42B8020E"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Num</w:t>
            </w:r>
          </w:p>
        </w:tc>
        <w:tc>
          <w:tcPr>
            <w:tcW w:w="900" w:type="dxa"/>
            <w:shd w:val="clear" w:color="000000" w:fill="5F497A"/>
            <w:vAlign w:val="bottom"/>
            <w:hideMark/>
          </w:tcPr>
          <w:p w14:paraId="2833BDEF"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Rate</w:t>
            </w:r>
          </w:p>
        </w:tc>
        <w:tc>
          <w:tcPr>
            <w:tcW w:w="990" w:type="dxa"/>
            <w:shd w:val="clear" w:color="000000" w:fill="5F497A"/>
            <w:vAlign w:val="bottom"/>
            <w:hideMark/>
          </w:tcPr>
          <w:p w14:paraId="640A5469"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Lower 95% Confidence Limit</w:t>
            </w:r>
          </w:p>
        </w:tc>
        <w:tc>
          <w:tcPr>
            <w:tcW w:w="1080" w:type="dxa"/>
            <w:shd w:val="clear" w:color="000000" w:fill="5F497A"/>
            <w:vAlign w:val="bottom"/>
            <w:hideMark/>
          </w:tcPr>
          <w:p w14:paraId="7B553122"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Upper 95% Confidence Limit</w:t>
            </w:r>
          </w:p>
        </w:tc>
        <w:tc>
          <w:tcPr>
            <w:tcW w:w="1170" w:type="dxa"/>
            <w:shd w:val="clear" w:color="000000" w:fill="5F497A"/>
            <w:vAlign w:val="bottom"/>
            <w:hideMark/>
          </w:tcPr>
          <w:p w14:paraId="0E4AE243"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2020 (MY 2019) Rate</w:t>
            </w:r>
          </w:p>
        </w:tc>
        <w:tc>
          <w:tcPr>
            <w:tcW w:w="1170" w:type="dxa"/>
            <w:shd w:val="clear" w:color="000000" w:fill="5F497A"/>
            <w:vAlign w:val="bottom"/>
            <w:hideMark/>
          </w:tcPr>
          <w:p w14:paraId="69D6D005"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Rate Compared to 2020</w:t>
            </w:r>
          </w:p>
        </w:tc>
        <w:tc>
          <w:tcPr>
            <w:tcW w:w="990" w:type="dxa"/>
            <w:shd w:val="clear" w:color="000000" w:fill="5F497A"/>
            <w:vAlign w:val="bottom"/>
            <w:hideMark/>
          </w:tcPr>
          <w:p w14:paraId="70F74C0B"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MMC</w:t>
            </w:r>
          </w:p>
        </w:tc>
        <w:tc>
          <w:tcPr>
            <w:tcW w:w="990" w:type="dxa"/>
            <w:shd w:val="clear" w:color="000000" w:fill="5F497A"/>
            <w:vAlign w:val="bottom"/>
            <w:hideMark/>
          </w:tcPr>
          <w:p w14:paraId="5A2D4857"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Rate Compared to MMC</w:t>
            </w:r>
          </w:p>
        </w:tc>
        <w:tc>
          <w:tcPr>
            <w:tcW w:w="1544" w:type="dxa"/>
            <w:shd w:val="clear" w:color="000000" w:fill="5F497A"/>
            <w:vAlign w:val="bottom"/>
            <w:hideMark/>
          </w:tcPr>
          <w:p w14:paraId="163D25AC"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rPr>
              <w:t>HEDIS 2021 Percentile</w:t>
            </w:r>
          </w:p>
        </w:tc>
      </w:tr>
      <w:tr w:rsidR="005C3D48" w:rsidRPr="00411D9E" w14:paraId="27E00B26" w14:textId="77777777" w:rsidTr="00A460D7">
        <w:trPr>
          <w:cantSplit/>
          <w:trHeight w:val="288"/>
          <w:tblHeader/>
        </w:trPr>
        <w:tc>
          <w:tcPr>
            <w:tcW w:w="824" w:type="dxa"/>
            <w:shd w:val="clear" w:color="auto" w:fill="FFFFFF" w:themeFill="background1"/>
            <w:vAlign w:val="center"/>
            <w:hideMark/>
          </w:tcPr>
          <w:p w14:paraId="6588791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3F9B2BCC"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(2–3 years)</w:t>
            </w:r>
          </w:p>
        </w:tc>
        <w:tc>
          <w:tcPr>
            <w:tcW w:w="900" w:type="dxa"/>
            <w:shd w:val="clear" w:color="auto" w:fill="auto"/>
            <w:vAlign w:val="center"/>
          </w:tcPr>
          <w:p w14:paraId="3EEBF7E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541</w:t>
            </w:r>
          </w:p>
        </w:tc>
        <w:tc>
          <w:tcPr>
            <w:tcW w:w="810" w:type="dxa"/>
            <w:shd w:val="clear" w:color="auto" w:fill="auto"/>
            <w:vAlign w:val="center"/>
          </w:tcPr>
          <w:p w14:paraId="7D92BEC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156</w:t>
            </w:r>
          </w:p>
        </w:tc>
        <w:tc>
          <w:tcPr>
            <w:tcW w:w="900" w:type="dxa"/>
            <w:shd w:val="clear" w:color="auto" w:fill="auto"/>
            <w:vAlign w:val="center"/>
          </w:tcPr>
          <w:p w14:paraId="01AE7C71"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28.8%</w:t>
            </w:r>
          </w:p>
        </w:tc>
        <w:tc>
          <w:tcPr>
            <w:tcW w:w="990" w:type="dxa"/>
            <w:shd w:val="clear" w:color="auto" w:fill="auto"/>
            <w:vAlign w:val="center"/>
          </w:tcPr>
          <w:p w14:paraId="1DE8B6E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24.9%</w:t>
            </w:r>
          </w:p>
        </w:tc>
        <w:tc>
          <w:tcPr>
            <w:tcW w:w="1080" w:type="dxa"/>
            <w:shd w:val="clear" w:color="auto" w:fill="auto"/>
            <w:vAlign w:val="center"/>
          </w:tcPr>
          <w:p w14:paraId="03BE343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32.7%</w:t>
            </w:r>
          </w:p>
        </w:tc>
        <w:tc>
          <w:tcPr>
            <w:tcW w:w="1170" w:type="dxa"/>
            <w:shd w:val="clear" w:color="auto" w:fill="auto"/>
            <w:vAlign w:val="center"/>
          </w:tcPr>
          <w:p w14:paraId="32E6AAA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39.7%</w:t>
            </w:r>
          </w:p>
        </w:tc>
        <w:tc>
          <w:tcPr>
            <w:tcW w:w="1170" w:type="dxa"/>
            <w:shd w:val="clear" w:color="auto" w:fill="auto"/>
            <w:vAlign w:val="center"/>
          </w:tcPr>
          <w:p w14:paraId="562CAB3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90" w:type="dxa"/>
            <w:shd w:val="clear" w:color="auto" w:fill="auto"/>
            <w:vAlign w:val="center"/>
          </w:tcPr>
          <w:p w14:paraId="0AB251A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35.8%</w:t>
            </w:r>
          </w:p>
        </w:tc>
        <w:tc>
          <w:tcPr>
            <w:tcW w:w="990" w:type="dxa"/>
            <w:shd w:val="clear" w:color="auto" w:fill="auto"/>
            <w:vAlign w:val="center"/>
          </w:tcPr>
          <w:p w14:paraId="75F41FC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44" w:type="dxa"/>
            <w:shd w:val="clear" w:color="auto" w:fill="auto"/>
            <w:vAlign w:val="center"/>
          </w:tcPr>
          <w:p w14:paraId="31731B0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44836442" w14:textId="77777777" w:rsidTr="00A460D7">
        <w:trPr>
          <w:cantSplit/>
          <w:trHeight w:val="288"/>
          <w:tblHeader/>
        </w:trPr>
        <w:tc>
          <w:tcPr>
            <w:tcW w:w="824" w:type="dxa"/>
            <w:shd w:val="clear" w:color="auto" w:fill="FFFFFF" w:themeFill="background1"/>
            <w:vAlign w:val="center"/>
            <w:hideMark/>
          </w:tcPr>
          <w:p w14:paraId="5918681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185E893C"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(4–6 years)</w:t>
            </w:r>
          </w:p>
        </w:tc>
        <w:tc>
          <w:tcPr>
            <w:tcW w:w="900" w:type="dxa"/>
            <w:shd w:val="clear" w:color="auto" w:fill="auto"/>
            <w:vAlign w:val="center"/>
          </w:tcPr>
          <w:p w14:paraId="7DC389D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1,106</w:t>
            </w:r>
          </w:p>
        </w:tc>
        <w:tc>
          <w:tcPr>
            <w:tcW w:w="810" w:type="dxa"/>
            <w:shd w:val="clear" w:color="auto" w:fill="auto"/>
            <w:vAlign w:val="center"/>
          </w:tcPr>
          <w:p w14:paraId="518B6B5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674</w:t>
            </w:r>
          </w:p>
        </w:tc>
        <w:tc>
          <w:tcPr>
            <w:tcW w:w="900" w:type="dxa"/>
            <w:shd w:val="clear" w:color="auto" w:fill="auto"/>
            <w:vAlign w:val="center"/>
          </w:tcPr>
          <w:p w14:paraId="6CA20D5F"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60.9%</w:t>
            </w:r>
          </w:p>
        </w:tc>
        <w:tc>
          <w:tcPr>
            <w:tcW w:w="990" w:type="dxa"/>
            <w:shd w:val="clear" w:color="auto" w:fill="auto"/>
            <w:vAlign w:val="center"/>
          </w:tcPr>
          <w:p w14:paraId="1FE7DFC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58.0%</w:t>
            </w:r>
          </w:p>
        </w:tc>
        <w:tc>
          <w:tcPr>
            <w:tcW w:w="1080" w:type="dxa"/>
            <w:shd w:val="clear" w:color="auto" w:fill="auto"/>
            <w:vAlign w:val="center"/>
          </w:tcPr>
          <w:p w14:paraId="1D80053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63.9%</w:t>
            </w:r>
          </w:p>
        </w:tc>
        <w:tc>
          <w:tcPr>
            <w:tcW w:w="1170" w:type="dxa"/>
            <w:shd w:val="clear" w:color="auto" w:fill="auto"/>
            <w:vAlign w:val="center"/>
          </w:tcPr>
          <w:p w14:paraId="5354225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77.6%</w:t>
            </w:r>
          </w:p>
        </w:tc>
        <w:tc>
          <w:tcPr>
            <w:tcW w:w="1170" w:type="dxa"/>
            <w:shd w:val="clear" w:color="auto" w:fill="auto"/>
            <w:vAlign w:val="center"/>
          </w:tcPr>
          <w:p w14:paraId="5DB6088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90" w:type="dxa"/>
            <w:shd w:val="clear" w:color="auto" w:fill="auto"/>
            <w:vAlign w:val="center"/>
          </w:tcPr>
          <w:p w14:paraId="2B72AB6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61.3%</w:t>
            </w:r>
          </w:p>
        </w:tc>
        <w:tc>
          <w:tcPr>
            <w:tcW w:w="990" w:type="dxa"/>
            <w:shd w:val="clear" w:color="auto" w:fill="auto"/>
            <w:vAlign w:val="center"/>
          </w:tcPr>
          <w:p w14:paraId="6925EE92"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44" w:type="dxa"/>
            <w:shd w:val="clear" w:color="auto" w:fill="auto"/>
            <w:vAlign w:val="center"/>
          </w:tcPr>
          <w:p w14:paraId="6F3E4FA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2B77DDCE" w14:textId="77777777" w:rsidTr="00A460D7">
        <w:trPr>
          <w:cantSplit/>
          <w:trHeight w:val="288"/>
          <w:tblHeader/>
        </w:trPr>
        <w:tc>
          <w:tcPr>
            <w:tcW w:w="824" w:type="dxa"/>
            <w:shd w:val="clear" w:color="auto" w:fill="FFFFFF" w:themeFill="background1"/>
            <w:vAlign w:val="center"/>
            <w:hideMark/>
          </w:tcPr>
          <w:p w14:paraId="7FAA0BA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398E9B34"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(7–10 years)</w:t>
            </w:r>
          </w:p>
        </w:tc>
        <w:tc>
          <w:tcPr>
            <w:tcW w:w="900" w:type="dxa"/>
            <w:shd w:val="clear" w:color="auto" w:fill="auto"/>
            <w:vAlign w:val="center"/>
          </w:tcPr>
          <w:p w14:paraId="2EE4EBF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2,140</w:t>
            </w:r>
          </w:p>
        </w:tc>
        <w:tc>
          <w:tcPr>
            <w:tcW w:w="810" w:type="dxa"/>
            <w:shd w:val="clear" w:color="auto" w:fill="auto"/>
            <w:vAlign w:val="center"/>
          </w:tcPr>
          <w:p w14:paraId="1F3C2C0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1,350</w:t>
            </w:r>
          </w:p>
        </w:tc>
        <w:tc>
          <w:tcPr>
            <w:tcW w:w="900" w:type="dxa"/>
            <w:shd w:val="clear" w:color="auto" w:fill="auto"/>
            <w:vAlign w:val="center"/>
          </w:tcPr>
          <w:p w14:paraId="6272F511"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63.1%</w:t>
            </w:r>
          </w:p>
        </w:tc>
        <w:tc>
          <w:tcPr>
            <w:tcW w:w="990" w:type="dxa"/>
            <w:shd w:val="clear" w:color="auto" w:fill="auto"/>
            <w:vAlign w:val="center"/>
          </w:tcPr>
          <w:p w14:paraId="6F30812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61.0%</w:t>
            </w:r>
          </w:p>
        </w:tc>
        <w:tc>
          <w:tcPr>
            <w:tcW w:w="1080" w:type="dxa"/>
            <w:shd w:val="clear" w:color="auto" w:fill="auto"/>
            <w:vAlign w:val="center"/>
          </w:tcPr>
          <w:p w14:paraId="32D808F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65.1%</w:t>
            </w:r>
          </w:p>
        </w:tc>
        <w:tc>
          <w:tcPr>
            <w:tcW w:w="1170" w:type="dxa"/>
            <w:shd w:val="clear" w:color="auto" w:fill="auto"/>
            <w:vAlign w:val="center"/>
          </w:tcPr>
          <w:p w14:paraId="24DDBEE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81.8%</w:t>
            </w:r>
          </w:p>
        </w:tc>
        <w:tc>
          <w:tcPr>
            <w:tcW w:w="1170" w:type="dxa"/>
            <w:shd w:val="clear" w:color="auto" w:fill="auto"/>
            <w:vAlign w:val="center"/>
          </w:tcPr>
          <w:p w14:paraId="69F2955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90" w:type="dxa"/>
            <w:shd w:val="clear" w:color="auto" w:fill="auto"/>
            <w:vAlign w:val="center"/>
          </w:tcPr>
          <w:p w14:paraId="1A570AA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62.7%</w:t>
            </w:r>
          </w:p>
        </w:tc>
        <w:tc>
          <w:tcPr>
            <w:tcW w:w="990" w:type="dxa"/>
            <w:shd w:val="clear" w:color="auto" w:fill="auto"/>
            <w:vAlign w:val="center"/>
          </w:tcPr>
          <w:p w14:paraId="183FCA43"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44" w:type="dxa"/>
            <w:shd w:val="clear" w:color="auto" w:fill="auto"/>
            <w:vAlign w:val="center"/>
          </w:tcPr>
          <w:p w14:paraId="623F24E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4947EE11" w14:textId="77777777" w:rsidTr="00A460D7">
        <w:trPr>
          <w:cantSplit/>
          <w:trHeight w:val="288"/>
          <w:tblHeader/>
        </w:trPr>
        <w:tc>
          <w:tcPr>
            <w:tcW w:w="824" w:type="dxa"/>
            <w:shd w:val="clear" w:color="auto" w:fill="FFFFFF" w:themeFill="background1"/>
            <w:vAlign w:val="center"/>
            <w:hideMark/>
          </w:tcPr>
          <w:p w14:paraId="3084F58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77CC7078"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(11–14 years)</w:t>
            </w:r>
          </w:p>
        </w:tc>
        <w:tc>
          <w:tcPr>
            <w:tcW w:w="900" w:type="dxa"/>
            <w:shd w:val="clear" w:color="auto" w:fill="auto"/>
            <w:vAlign w:val="center"/>
          </w:tcPr>
          <w:p w14:paraId="7903946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2,379</w:t>
            </w:r>
          </w:p>
        </w:tc>
        <w:tc>
          <w:tcPr>
            <w:tcW w:w="810" w:type="dxa"/>
            <w:shd w:val="clear" w:color="auto" w:fill="auto"/>
            <w:vAlign w:val="center"/>
          </w:tcPr>
          <w:p w14:paraId="1961AB3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1,437</w:t>
            </w:r>
          </w:p>
        </w:tc>
        <w:tc>
          <w:tcPr>
            <w:tcW w:w="900" w:type="dxa"/>
            <w:shd w:val="clear" w:color="auto" w:fill="auto"/>
            <w:vAlign w:val="center"/>
          </w:tcPr>
          <w:p w14:paraId="52F1DE1B"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60.4%</w:t>
            </w:r>
          </w:p>
        </w:tc>
        <w:tc>
          <w:tcPr>
            <w:tcW w:w="990" w:type="dxa"/>
            <w:shd w:val="clear" w:color="auto" w:fill="auto"/>
            <w:vAlign w:val="center"/>
          </w:tcPr>
          <w:p w14:paraId="23E2811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58.4%</w:t>
            </w:r>
          </w:p>
        </w:tc>
        <w:tc>
          <w:tcPr>
            <w:tcW w:w="1080" w:type="dxa"/>
            <w:shd w:val="clear" w:color="auto" w:fill="auto"/>
            <w:vAlign w:val="center"/>
          </w:tcPr>
          <w:p w14:paraId="437EE33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62.4%</w:t>
            </w:r>
          </w:p>
        </w:tc>
        <w:tc>
          <w:tcPr>
            <w:tcW w:w="1170" w:type="dxa"/>
            <w:shd w:val="clear" w:color="auto" w:fill="auto"/>
            <w:vAlign w:val="center"/>
          </w:tcPr>
          <w:p w14:paraId="75DF6DA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78.1%</w:t>
            </w:r>
          </w:p>
        </w:tc>
        <w:tc>
          <w:tcPr>
            <w:tcW w:w="1170" w:type="dxa"/>
            <w:shd w:val="clear" w:color="auto" w:fill="auto"/>
            <w:vAlign w:val="center"/>
          </w:tcPr>
          <w:p w14:paraId="177D794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90" w:type="dxa"/>
            <w:shd w:val="clear" w:color="auto" w:fill="auto"/>
            <w:vAlign w:val="center"/>
          </w:tcPr>
          <w:p w14:paraId="43A17C4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60.0%</w:t>
            </w:r>
          </w:p>
        </w:tc>
        <w:tc>
          <w:tcPr>
            <w:tcW w:w="990" w:type="dxa"/>
            <w:shd w:val="clear" w:color="auto" w:fill="auto"/>
            <w:vAlign w:val="center"/>
          </w:tcPr>
          <w:p w14:paraId="25292BC0"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44" w:type="dxa"/>
            <w:shd w:val="clear" w:color="auto" w:fill="auto"/>
            <w:vAlign w:val="center"/>
          </w:tcPr>
          <w:p w14:paraId="37801F9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3A8BE09A" w14:textId="77777777" w:rsidTr="00A460D7">
        <w:trPr>
          <w:cantSplit/>
          <w:trHeight w:val="288"/>
          <w:tblHeader/>
        </w:trPr>
        <w:tc>
          <w:tcPr>
            <w:tcW w:w="824" w:type="dxa"/>
            <w:shd w:val="clear" w:color="auto" w:fill="FFFFFF" w:themeFill="background1"/>
            <w:vAlign w:val="center"/>
            <w:hideMark/>
          </w:tcPr>
          <w:p w14:paraId="6784EDB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719FB89A"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(15–18 years)</w:t>
            </w:r>
          </w:p>
        </w:tc>
        <w:tc>
          <w:tcPr>
            <w:tcW w:w="900" w:type="dxa"/>
            <w:shd w:val="clear" w:color="auto" w:fill="auto"/>
            <w:vAlign w:val="center"/>
          </w:tcPr>
          <w:p w14:paraId="1779DE3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2,162</w:t>
            </w:r>
          </w:p>
        </w:tc>
        <w:tc>
          <w:tcPr>
            <w:tcW w:w="810" w:type="dxa"/>
            <w:shd w:val="clear" w:color="auto" w:fill="auto"/>
            <w:vAlign w:val="center"/>
          </w:tcPr>
          <w:p w14:paraId="394E979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1,211</w:t>
            </w:r>
          </w:p>
        </w:tc>
        <w:tc>
          <w:tcPr>
            <w:tcW w:w="900" w:type="dxa"/>
            <w:shd w:val="clear" w:color="auto" w:fill="auto"/>
            <w:vAlign w:val="center"/>
          </w:tcPr>
          <w:p w14:paraId="171AF4EB"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56.0%</w:t>
            </w:r>
          </w:p>
        </w:tc>
        <w:tc>
          <w:tcPr>
            <w:tcW w:w="990" w:type="dxa"/>
            <w:shd w:val="clear" w:color="auto" w:fill="auto"/>
            <w:vAlign w:val="center"/>
          </w:tcPr>
          <w:p w14:paraId="0032AC8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53.9%</w:t>
            </w:r>
          </w:p>
        </w:tc>
        <w:tc>
          <w:tcPr>
            <w:tcW w:w="1080" w:type="dxa"/>
            <w:shd w:val="clear" w:color="auto" w:fill="auto"/>
            <w:vAlign w:val="center"/>
          </w:tcPr>
          <w:p w14:paraId="3311394B"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58.1%</w:t>
            </w:r>
          </w:p>
        </w:tc>
        <w:tc>
          <w:tcPr>
            <w:tcW w:w="1170" w:type="dxa"/>
            <w:shd w:val="clear" w:color="auto" w:fill="auto"/>
            <w:vAlign w:val="center"/>
          </w:tcPr>
          <w:p w14:paraId="36CFB6F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70.0%</w:t>
            </w:r>
          </w:p>
        </w:tc>
        <w:tc>
          <w:tcPr>
            <w:tcW w:w="1170" w:type="dxa"/>
            <w:shd w:val="clear" w:color="auto" w:fill="auto"/>
            <w:vAlign w:val="center"/>
          </w:tcPr>
          <w:p w14:paraId="59AAAC8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90" w:type="dxa"/>
            <w:shd w:val="clear" w:color="auto" w:fill="auto"/>
            <w:vAlign w:val="center"/>
          </w:tcPr>
          <w:p w14:paraId="03A94A2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51.0%</w:t>
            </w:r>
          </w:p>
        </w:tc>
        <w:tc>
          <w:tcPr>
            <w:tcW w:w="990" w:type="dxa"/>
            <w:shd w:val="clear" w:color="auto" w:fill="auto"/>
            <w:vAlign w:val="center"/>
          </w:tcPr>
          <w:p w14:paraId="108E79D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44" w:type="dxa"/>
            <w:shd w:val="clear" w:color="auto" w:fill="auto"/>
            <w:vAlign w:val="center"/>
          </w:tcPr>
          <w:p w14:paraId="44E5AF88"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7A35E0AE" w14:textId="77777777" w:rsidTr="00A460D7">
        <w:trPr>
          <w:cantSplit/>
          <w:trHeight w:val="288"/>
          <w:tblHeader/>
        </w:trPr>
        <w:tc>
          <w:tcPr>
            <w:tcW w:w="824" w:type="dxa"/>
            <w:shd w:val="clear" w:color="auto" w:fill="FFFFFF" w:themeFill="background1"/>
            <w:vAlign w:val="center"/>
            <w:hideMark/>
          </w:tcPr>
          <w:p w14:paraId="233458E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2A42568E" w14:textId="5C89A149"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(19</w:t>
            </w:r>
            <w:r w:rsidR="000620C2">
              <w:rPr>
                <w:rFonts w:eastAsia="Times New Roman" w:cstheme="minorHAnsi"/>
                <w:sz w:val="20"/>
                <w:szCs w:val="20"/>
                <w:lang w:bidi="ar-SA"/>
              </w:rPr>
              <w:t xml:space="preserve"> </w:t>
            </w:r>
            <w:r w:rsidRPr="00411D9E">
              <w:rPr>
                <w:rFonts w:eastAsia="Times New Roman" w:cstheme="minorHAnsi"/>
                <w:sz w:val="20"/>
                <w:szCs w:val="20"/>
                <w:lang w:bidi="ar-SA"/>
              </w:rPr>
              <w:t>years)</w:t>
            </w:r>
          </w:p>
        </w:tc>
        <w:tc>
          <w:tcPr>
            <w:tcW w:w="900" w:type="dxa"/>
            <w:shd w:val="clear" w:color="auto" w:fill="auto"/>
            <w:vAlign w:val="center"/>
          </w:tcPr>
          <w:p w14:paraId="4DFF3C8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30</w:t>
            </w:r>
          </w:p>
        </w:tc>
        <w:tc>
          <w:tcPr>
            <w:tcW w:w="810" w:type="dxa"/>
            <w:shd w:val="clear" w:color="auto" w:fill="auto"/>
            <w:vAlign w:val="center"/>
          </w:tcPr>
          <w:p w14:paraId="53C1268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18</w:t>
            </w:r>
          </w:p>
        </w:tc>
        <w:tc>
          <w:tcPr>
            <w:tcW w:w="900" w:type="dxa"/>
            <w:shd w:val="clear" w:color="auto" w:fill="auto"/>
            <w:vAlign w:val="center"/>
          </w:tcPr>
          <w:p w14:paraId="33F03168"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60.0%</w:t>
            </w:r>
          </w:p>
        </w:tc>
        <w:tc>
          <w:tcPr>
            <w:tcW w:w="990" w:type="dxa"/>
            <w:shd w:val="clear" w:color="auto" w:fill="auto"/>
            <w:vAlign w:val="center"/>
          </w:tcPr>
          <w:p w14:paraId="20A4423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40.8%</w:t>
            </w:r>
          </w:p>
        </w:tc>
        <w:tc>
          <w:tcPr>
            <w:tcW w:w="1080" w:type="dxa"/>
            <w:shd w:val="clear" w:color="auto" w:fill="auto"/>
            <w:vAlign w:val="center"/>
          </w:tcPr>
          <w:p w14:paraId="588E07B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79.2%</w:t>
            </w:r>
          </w:p>
        </w:tc>
        <w:tc>
          <w:tcPr>
            <w:tcW w:w="1170" w:type="dxa"/>
            <w:shd w:val="clear" w:color="auto" w:fill="auto"/>
            <w:vAlign w:val="center"/>
          </w:tcPr>
          <w:p w14:paraId="5BCB8E83" w14:textId="50C06595"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170" w:type="dxa"/>
            <w:shd w:val="clear" w:color="auto" w:fill="auto"/>
            <w:vAlign w:val="center"/>
          </w:tcPr>
          <w:p w14:paraId="2B2721EA"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990" w:type="dxa"/>
            <w:shd w:val="clear" w:color="auto" w:fill="auto"/>
            <w:vAlign w:val="center"/>
          </w:tcPr>
          <w:p w14:paraId="174CDE2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38.3%</w:t>
            </w:r>
          </w:p>
        </w:tc>
        <w:tc>
          <w:tcPr>
            <w:tcW w:w="990" w:type="dxa"/>
            <w:shd w:val="clear" w:color="auto" w:fill="auto"/>
            <w:vAlign w:val="center"/>
          </w:tcPr>
          <w:p w14:paraId="7AF4722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1544" w:type="dxa"/>
            <w:shd w:val="clear" w:color="auto" w:fill="auto"/>
            <w:vAlign w:val="center"/>
          </w:tcPr>
          <w:p w14:paraId="0ECD6F5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708B8E24" w14:textId="77777777" w:rsidTr="00A460D7">
        <w:trPr>
          <w:cantSplit/>
          <w:trHeight w:val="288"/>
          <w:tblHeader/>
        </w:trPr>
        <w:tc>
          <w:tcPr>
            <w:tcW w:w="824" w:type="dxa"/>
            <w:shd w:val="clear" w:color="auto" w:fill="FFFFFF" w:themeFill="background1"/>
            <w:vAlign w:val="center"/>
            <w:hideMark/>
          </w:tcPr>
          <w:p w14:paraId="7FF95F41"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3060" w:type="dxa"/>
            <w:shd w:val="clear" w:color="auto" w:fill="FFFFFF" w:themeFill="background1"/>
            <w:vAlign w:val="center"/>
            <w:hideMark/>
          </w:tcPr>
          <w:p w14:paraId="1CC83E1F"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Annual Dental Visit (Total)</w:t>
            </w:r>
          </w:p>
        </w:tc>
        <w:tc>
          <w:tcPr>
            <w:tcW w:w="900" w:type="dxa"/>
            <w:shd w:val="clear" w:color="auto" w:fill="auto"/>
            <w:vAlign w:val="center"/>
          </w:tcPr>
          <w:p w14:paraId="4903E85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8,358</w:t>
            </w:r>
          </w:p>
        </w:tc>
        <w:tc>
          <w:tcPr>
            <w:tcW w:w="810" w:type="dxa"/>
            <w:shd w:val="clear" w:color="auto" w:fill="auto"/>
            <w:vAlign w:val="center"/>
          </w:tcPr>
          <w:p w14:paraId="35F4B9C7"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4,846</w:t>
            </w:r>
          </w:p>
        </w:tc>
        <w:tc>
          <w:tcPr>
            <w:tcW w:w="900" w:type="dxa"/>
            <w:shd w:val="clear" w:color="auto" w:fill="auto"/>
            <w:vAlign w:val="center"/>
          </w:tcPr>
          <w:p w14:paraId="0887EA47"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58.0%</w:t>
            </w:r>
          </w:p>
        </w:tc>
        <w:tc>
          <w:tcPr>
            <w:tcW w:w="990" w:type="dxa"/>
            <w:shd w:val="clear" w:color="auto" w:fill="auto"/>
            <w:vAlign w:val="center"/>
          </w:tcPr>
          <w:p w14:paraId="6133573E"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56.9%</w:t>
            </w:r>
          </w:p>
        </w:tc>
        <w:tc>
          <w:tcPr>
            <w:tcW w:w="1080" w:type="dxa"/>
            <w:shd w:val="clear" w:color="auto" w:fill="auto"/>
            <w:vAlign w:val="center"/>
          </w:tcPr>
          <w:p w14:paraId="09A6E13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59.0%</w:t>
            </w:r>
          </w:p>
        </w:tc>
        <w:tc>
          <w:tcPr>
            <w:tcW w:w="1170" w:type="dxa"/>
            <w:shd w:val="clear" w:color="auto" w:fill="auto"/>
            <w:vAlign w:val="center"/>
          </w:tcPr>
          <w:p w14:paraId="621B6A0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74.4%</w:t>
            </w:r>
          </w:p>
        </w:tc>
        <w:tc>
          <w:tcPr>
            <w:tcW w:w="1170" w:type="dxa"/>
            <w:shd w:val="clear" w:color="auto" w:fill="auto"/>
            <w:vAlign w:val="center"/>
          </w:tcPr>
          <w:p w14:paraId="50BE6C7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w:t>
            </w:r>
          </w:p>
        </w:tc>
        <w:tc>
          <w:tcPr>
            <w:tcW w:w="990" w:type="dxa"/>
            <w:shd w:val="clear" w:color="auto" w:fill="auto"/>
            <w:vAlign w:val="center"/>
          </w:tcPr>
          <w:p w14:paraId="34543C1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56.9%</w:t>
            </w:r>
          </w:p>
        </w:tc>
        <w:tc>
          <w:tcPr>
            <w:tcW w:w="990" w:type="dxa"/>
            <w:shd w:val="clear" w:color="auto" w:fill="auto"/>
            <w:vAlign w:val="center"/>
          </w:tcPr>
          <w:p w14:paraId="1E913769"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44" w:type="dxa"/>
            <w:shd w:val="clear" w:color="auto" w:fill="auto"/>
            <w:vAlign w:val="center"/>
          </w:tcPr>
          <w:p w14:paraId="44078BD0"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1030AEAE" w14:textId="77777777" w:rsidTr="00A460D7">
        <w:trPr>
          <w:cantSplit/>
          <w:trHeight w:val="288"/>
          <w:tblHeader/>
        </w:trPr>
        <w:tc>
          <w:tcPr>
            <w:tcW w:w="824" w:type="dxa"/>
            <w:shd w:val="clear" w:color="auto" w:fill="FFFFFF" w:themeFill="background1"/>
            <w:vAlign w:val="center"/>
            <w:hideMark/>
          </w:tcPr>
          <w:p w14:paraId="34D8E44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3060" w:type="dxa"/>
            <w:shd w:val="clear" w:color="auto" w:fill="FFFFFF" w:themeFill="background1"/>
            <w:vAlign w:val="center"/>
            <w:hideMark/>
          </w:tcPr>
          <w:p w14:paraId="7FBA5287"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Sealant Receipt on Permanent First Molars</w:t>
            </w:r>
            <w:r w:rsidRPr="00411D9E">
              <w:rPr>
                <w:rFonts w:eastAsia="Times New Roman" w:cstheme="minorHAnsi"/>
                <w:sz w:val="20"/>
                <w:szCs w:val="20"/>
                <w:lang w:bidi="ar-SA"/>
              </w:rPr>
              <w:br/>
              <w:t>(≥ 1 Molar)</w:t>
            </w:r>
          </w:p>
        </w:tc>
        <w:tc>
          <w:tcPr>
            <w:tcW w:w="900" w:type="dxa"/>
            <w:shd w:val="clear" w:color="auto" w:fill="auto"/>
            <w:vAlign w:val="center"/>
          </w:tcPr>
          <w:p w14:paraId="29FD03F9"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496</w:t>
            </w:r>
          </w:p>
        </w:tc>
        <w:tc>
          <w:tcPr>
            <w:tcW w:w="810" w:type="dxa"/>
            <w:shd w:val="clear" w:color="auto" w:fill="auto"/>
            <w:vAlign w:val="center"/>
          </w:tcPr>
          <w:p w14:paraId="6A8E35E8"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196</w:t>
            </w:r>
          </w:p>
        </w:tc>
        <w:tc>
          <w:tcPr>
            <w:tcW w:w="900" w:type="dxa"/>
            <w:shd w:val="clear" w:color="auto" w:fill="auto"/>
            <w:vAlign w:val="center"/>
          </w:tcPr>
          <w:p w14:paraId="6CB6E5F0"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39.5%</w:t>
            </w:r>
          </w:p>
        </w:tc>
        <w:tc>
          <w:tcPr>
            <w:tcW w:w="990" w:type="dxa"/>
            <w:shd w:val="clear" w:color="auto" w:fill="auto"/>
            <w:vAlign w:val="center"/>
          </w:tcPr>
          <w:p w14:paraId="3FA00E2A"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35.1%</w:t>
            </w:r>
          </w:p>
        </w:tc>
        <w:tc>
          <w:tcPr>
            <w:tcW w:w="1080" w:type="dxa"/>
            <w:shd w:val="clear" w:color="auto" w:fill="auto"/>
            <w:vAlign w:val="center"/>
          </w:tcPr>
          <w:p w14:paraId="7A4C4356"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43.9%</w:t>
            </w:r>
          </w:p>
        </w:tc>
        <w:tc>
          <w:tcPr>
            <w:tcW w:w="1170" w:type="dxa"/>
            <w:shd w:val="clear" w:color="auto" w:fill="auto"/>
            <w:vAlign w:val="center"/>
          </w:tcPr>
          <w:p w14:paraId="5AC03187" w14:textId="7F893C42"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170" w:type="dxa"/>
            <w:shd w:val="clear" w:color="auto" w:fill="auto"/>
            <w:vAlign w:val="center"/>
          </w:tcPr>
          <w:p w14:paraId="1A38E87A" w14:textId="0F573F1C"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90" w:type="dxa"/>
            <w:shd w:val="clear" w:color="auto" w:fill="auto"/>
            <w:vAlign w:val="center"/>
          </w:tcPr>
          <w:p w14:paraId="143B6165"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38.7%</w:t>
            </w:r>
          </w:p>
        </w:tc>
        <w:tc>
          <w:tcPr>
            <w:tcW w:w="990" w:type="dxa"/>
            <w:shd w:val="clear" w:color="auto" w:fill="auto"/>
            <w:vAlign w:val="center"/>
          </w:tcPr>
          <w:p w14:paraId="451427B3"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44" w:type="dxa"/>
            <w:shd w:val="clear" w:color="auto" w:fill="auto"/>
            <w:vAlign w:val="center"/>
          </w:tcPr>
          <w:p w14:paraId="3143C6DC"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r w:rsidR="005C3D48" w:rsidRPr="00411D9E" w14:paraId="7C8A96D3" w14:textId="77777777" w:rsidTr="00A460D7">
        <w:trPr>
          <w:cantSplit/>
          <w:trHeight w:val="288"/>
          <w:tblHeader/>
        </w:trPr>
        <w:tc>
          <w:tcPr>
            <w:tcW w:w="824" w:type="dxa"/>
            <w:shd w:val="clear" w:color="auto" w:fill="FFFFFF" w:themeFill="background1"/>
            <w:vAlign w:val="center"/>
            <w:hideMark/>
          </w:tcPr>
          <w:p w14:paraId="36AA0B0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3060" w:type="dxa"/>
            <w:shd w:val="clear" w:color="auto" w:fill="FFFFFF" w:themeFill="background1"/>
            <w:vAlign w:val="center"/>
            <w:hideMark/>
          </w:tcPr>
          <w:p w14:paraId="3474C4E9" w14:textId="77777777" w:rsidR="005C3D48" w:rsidRPr="00411D9E" w:rsidRDefault="005C3D48" w:rsidP="00FF262E">
            <w:pPr>
              <w:ind w:left="76" w:right="-102"/>
              <w:jc w:val="left"/>
              <w:rPr>
                <w:rFonts w:eastAsia="Times New Roman" w:cstheme="minorHAnsi"/>
                <w:sz w:val="20"/>
                <w:szCs w:val="20"/>
                <w:lang w:bidi="ar-SA"/>
              </w:rPr>
            </w:pPr>
            <w:r w:rsidRPr="00411D9E">
              <w:rPr>
                <w:rFonts w:eastAsia="Times New Roman" w:cstheme="minorHAnsi"/>
                <w:sz w:val="20"/>
                <w:szCs w:val="20"/>
                <w:lang w:bidi="ar-SA"/>
              </w:rPr>
              <w:t>Sealant Receipt on Permanent First Molars</w:t>
            </w:r>
            <w:r w:rsidRPr="00411D9E">
              <w:rPr>
                <w:rFonts w:eastAsia="Times New Roman" w:cstheme="minorHAnsi"/>
                <w:sz w:val="20"/>
                <w:szCs w:val="20"/>
                <w:lang w:bidi="ar-SA"/>
              </w:rPr>
              <w:br/>
              <w:t>(All 4 Molars)</w:t>
            </w:r>
          </w:p>
        </w:tc>
        <w:tc>
          <w:tcPr>
            <w:tcW w:w="900" w:type="dxa"/>
            <w:shd w:val="clear" w:color="auto" w:fill="auto"/>
            <w:vAlign w:val="center"/>
          </w:tcPr>
          <w:p w14:paraId="7EB2E42D"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496</w:t>
            </w:r>
          </w:p>
        </w:tc>
        <w:tc>
          <w:tcPr>
            <w:tcW w:w="810" w:type="dxa"/>
            <w:shd w:val="clear" w:color="auto" w:fill="auto"/>
            <w:vAlign w:val="center"/>
          </w:tcPr>
          <w:p w14:paraId="2FE881C4"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136</w:t>
            </w:r>
          </w:p>
        </w:tc>
        <w:tc>
          <w:tcPr>
            <w:tcW w:w="900" w:type="dxa"/>
            <w:shd w:val="clear" w:color="auto" w:fill="auto"/>
            <w:vAlign w:val="center"/>
          </w:tcPr>
          <w:p w14:paraId="05C719F1" w14:textId="77777777" w:rsidR="005C3D48" w:rsidRPr="00411D9E" w:rsidRDefault="005C3D48" w:rsidP="00FF262E">
            <w:pPr>
              <w:ind w:right="-102"/>
              <w:jc w:val="center"/>
              <w:rPr>
                <w:rFonts w:eastAsia="Times New Roman" w:cstheme="minorHAnsi"/>
                <w:b/>
                <w:bCs/>
                <w:sz w:val="20"/>
                <w:szCs w:val="20"/>
                <w:lang w:bidi="ar-SA"/>
              </w:rPr>
            </w:pPr>
            <w:r w:rsidRPr="00411D9E">
              <w:rPr>
                <w:rFonts w:cstheme="minorHAnsi"/>
                <w:b/>
                <w:bCs/>
                <w:sz w:val="20"/>
                <w:szCs w:val="20"/>
              </w:rPr>
              <w:t>27.4%</w:t>
            </w:r>
          </w:p>
        </w:tc>
        <w:tc>
          <w:tcPr>
            <w:tcW w:w="990" w:type="dxa"/>
            <w:shd w:val="clear" w:color="auto" w:fill="auto"/>
            <w:vAlign w:val="center"/>
          </w:tcPr>
          <w:p w14:paraId="423AEEF1"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23.4%</w:t>
            </w:r>
          </w:p>
        </w:tc>
        <w:tc>
          <w:tcPr>
            <w:tcW w:w="1080" w:type="dxa"/>
            <w:shd w:val="clear" w:color="auto" w:fill="auto"/>
            <w:vAlign w:val="center"/>
          </w:tcPr>
          <w:p w14:paraId="69ED7CD3"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31.4%</w:t>
            </w:r>
          </w:p>
        </w:tc>
        <w:tc>
          <w:tcPr>
            <w:tcW w:w="1170" w:type="dxa"/>
            <w:shd w:val="clear" w:color="auto" w:fill="auto"/>
            <w:vAlign w:val="center"/>
          </w:tcPr>
          <w:p w14:paraId="56DA8C5C" w14:textId="6BD3D13D"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1170" w:type="dxa"/>
            <w:shd w:val="clear" w:color="auto" w:fill="auto"/>
            <w:vAlign w:val="center"/>
          </w:tcPr>
          <w:p w14:paraId="194779DE" w14:textId="303786B7" w:rsidR="005C3D48" w:rsidRPr="00411D9E" w:rsidRDefault="00A460D7" w:rsidP="00FF262E">
            <w:pPr>
              <w:ind w:right="-102"/>
              <w:jc w:val="center"/>
              <w:rPr>
                <w:rFonts w:eastAsia="Times New Roman" w:cstheme="minorHAnsi"/>
                <w:sz w:val="20"/>
                <w:szCs w:val="20"/>
                <w:lang w:bidi="ar-SA"/>
              </w:rPr>
            </w:pPr>
            <w:r w:rsidRPr="00411D9E">
              <w:rPr>
                <w:rFonts w:cstheme="minorHAnsi"/>
                <w:sz w:val="20"/>
                <w:szCs w:val="20"/>
              </w:rPr>
              <w:t>N/A</w:t>
            </w:r>
          </w:p>
        </w:tc>
        <w:tc>
          <w:tcPr>
            <w:tcW w:w="990" w:type="dxa"/>
            <w:shd w:val="clear" w:color="auto" w:fill="auto"/>
            <w:vAlign w:val="center"/>
          </w:tcPr>
          <w:p w14:paraId="661B0852"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26.7%</w:t>
            </w:r>
          </w:p>
        </w:tc>
        <w:tc>
          <w:tcPr>
            <w:tcW w:w="990" w:type="dxa"/>
            <w:shd w:val="clear" w:color="auto" w:fill="auto"/>
            <w:vAlign w:val="center"/>
          </w:tcPr>
          <w:p w14:paraId="361B275A" w14:textId="77777777" w:rsidR="005C3D48" w:rsidRPr="00411D9E" w:rsidRDefault="005C3D48" w:rsidP="00FF262E">
            <w:pPr>
              <w:ind w:right="-102"/>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1544" w:type="dxa"/>
            <w:shd w:val="clear" w:color="auto" w:fill="auto"/>
            <w:vAlign w:val="center"/>
          </w:tcPr>
          <w:p w14:paraId="4AC1814F" w14:textId="77777777" w:rsidR="005C3D48" w:rsidRPr="00411D9E" w:rsidRDefault="005C3D48" w:rsidP="00FF262E">
            <w:pPr>
              <w:ind w:right="-102"/>
              <w:jc w:val="center"/>
              <w:rPr>
                <w:rFonts w:eastAsia="Times New Roman" w:cstheme="minorHAnsi"/>
                <w:sz w:val="20"/>
                <w:szCs w:val="20"/>
                <w:lang w:bidi="ar-SA"/>
              </w:rPr>
            </w:pPr>
            <w:r w:rsidRPr="00411D9E">
              <w:rPr>
                <w:rFonts w:cstheme="minorHAnsi"/>
                <w:sz w:val="20"/>
                <w:szCs w:val="20"/>
              </w:rPr>
              <w:t>NA</w:t>
            </w:r>
          </w:p>
        </w:tc>
      </w:tr>
    </w:tbl>
    <w:p w14:paraId="7EDD3E95" w14:textId="77777777" w:rsidR="0053637F" w:rsidRPr="00411D9E" w:rsidRDefault="0053637F" w:rsidP="0053637F">
      <w:pPr>
        <w:jc w:val="left"/>
        <w:rPr>
          <w:sz w:val="20"/>
          <w:szCs w:val="20"/>
        </w:rPr>
      </w:pPr>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 and no statistically significant change by “</w:t>
      </w:r>
      <w:proofErr w:type="spellStart"/>
      <w:r w:rsidRPr="00411D9E">
        <w:rPr>
          <w:sz w:val="20"/>
          <w:szCs w:val="20"/>
        </w:rPr>
        <w:t>n.s</w:t>
      </w:r>
      <w:proofErr w:type="spellEnd"/>
      <w:r w:rsidRPr="00411D9E">
        <w:rPr>
          <w:sz w:val="20"/>
          <w:szCs w:val="20"/>
        </w:rPr>
        <w:t>.” For comparison of MY 2020 rates to CHIP MMC rates, the “+” denotes that the plan rate exceeds the CHIP MMC rate, the “−” denotes that the MMC rate exceeds the plan rate, and “</w:t>
      </w:r>
      <w:proofErr w:type="spellStart"/>
      <w:r w:rsidRPr="00411D9E">
        <w:rPr>
          <w:sz w:val="20"/>
          <w:szCs w:val="20"/>
        </w:rPr>
        <w:t>n.s</w:t>
      </w:r>
      <w:proofErr w:type="spellEnd"/>
      <w:r w:rsidRPr="00411D9E">
        <w:rPr>
          <w:sz w:val="20"/>
          <w:szCs w:val="20"/>
        </w:rPr>
        <w:t>.” denotes no statistically significant difference between the two rates.</w:t>
      </w:r>
    </w:p>
    <w:p w14:paraId="6BC928C4" w14:textId="687890EB" w:rsidR="005C3D48" w:rsidRPr="00411D9E" w:rsidRDefault="0053637F" w:rsidP="0053637F">
      <w:pPr>
        <w:jc w:val="left"/>
        <w:rPr>
          <w:sz w:val="20"/>
          <w:szCs w:val="20"/>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NA: not available, as no HEDIS percentile is available to compare; N/A: not applicable; PA: Pennsylvania; EQR: external quality review.</w:t>
      </w:r>
    </w:p>
    <w:p w14:paraId="1F2DDAD2" w14:textId="17DB66FD" w:rsidR="005C3D48" w:rsidRPr="00411D9E" w:rsidRDefault="005C3D48" w:rsidP="005C3D48">
      <w:pPr>
        <w:rPr>
          <w:rFonts w:asciiTheme="majorHAnsi" w:eastAsiaTheme="majorEastAsia" w:hAnsiTheme="majorHAnsi" w:cstheme="majorBidi"/>
          <w:color w:val="4F81BD" w:themeColor="accent1"/>
        </w:rPr>
      </w:pPr>
    </w:p>
    <w:p w14:paraId="4503F237" w14:textId="77777777" w:rsidR="00A460D7" w:rsidRPr="00411D9E" w:rsidRDefault="00A460D7">
      <w:pPr>
        <w:rPr>
          <w:rFonts w:asciiTheme="majorHAnsi" w:eastAsiaTheme="majorEastAsia" w:hAnsiTheme="majorHAnsi" w:cstheme="majorBidi"/>
          <w:b/>
          <w:bCs/>
          <w:color w:val="4F81BD" w:themeColor="accent1"/>
        </w:rPr>
      </w:pPr>
      <w:bookmarkStart w:id="137" w:name="_Toc70508382"/>
      <w:r w:rsidRPr="00411D9E">
        <w:br w:type="page"/>
      </w:r>
    </w:p>
    <w:p w14:paraId="3D306841" w14:textId="5D37E974" w:rsidR="005C3D48" w:rsidRPr="00411D9E" w:rsidRDefault="005C3D48" w:rsidP="005C3D48">
      <w:pPr>
        <w:pStyle w:val="Heading3"/>
      </w:pPr>
      <w:bookmarkStart w:id="138" w:name="_Toc99026955"/>
      <w:r w:rsidRPr="00411D9E">
        <w:lastRenderedPageBreak/>
        <w:t>Respiratory Conditions</w:t>
      </w:r>
      <w:bookmarkEnd w:id="137"/>
      <w:bookmarkEnd w:id="138"/>
    </w:p>
    <w:p w14:paraId="051C67C6" w14:textId="77777777" w:rsidR="005C3D48" w:rsidRPr="00411D9E" w:rsidRDefault="005C3D48" w:rsidP="005C3D48">
      <w:bookmarkStart w:id="139" w:name="_Toc478563558"/>
      <w:bookmarkStart w:id="140" w:name="_Toc512521057"/>
      <w:r w:rsidRPr="00411D9E">
        <w:t>Strengths are identified for the following 2021 (MY 2020) Respiratory Conditions performance measures.</w:t>
      </w:r>
    </w:p>
    <w:p w14:paraId="2DC5C875" w14:textId="77777777" w:rsidR="005C3D48" w:rsidRPr="00411D9E" w:rsidRDefault="005C3D48" w:rsidP="00A0110E">
      <w:pPr>
        <w:pStyle w:val="ListParagraph"/>
        <w:numPr>
          <w:ilvl w:val="0"/>
          <w:numId w:val="22"/>
        </w:numPr>
        <w:ind w:left="1080"/>
      </w:pPr>
      <w:r w:rsidRPr="00411D9E">
        <w:t>The following rates are statistically significantly above/better than the 2021 MMC weighted average:</w:t>
      </w:r>
    </w:p>
    <w:p w14:paraId="17A80CD1" w14:textId="77777777" w:rsidR="005C3D48" w:rsidRPr="00411D9E" w:rsidRDefault="005C3D48" w:rsidP="00A0110E">
      <w:pPr>
        <w:pStyle w:val="ListParagraph"/>
        <w:numPr>
          <w:ilvl w:val="1"/>
          <w:numId w:val="22"/>
        </w:numPr>
      </w:pPr>
      <w:r w:rsidRPr="00411D9E">
        <w:t>Annual Number of Asthma Patients with One or More Asthma-Related Emergency Room Visits (Ages 2–19 years);</w:t>
      </w:r>
    </w:p>
    <w:p w14:paraId="25007F60" w14:textId="77777777" w:rsidR="005C3D48" w:rsidRPr="00411D9E" w:rsidRDefault="005C3D48" w:rsidP="00A0110E">
      <w:pPr>
        <w:pStyle w:val="ListParagraph"/>
        <w:numPr>
          <w:ilvl w:val="1"/>
          <w:numId w:val="22"/>
        </w:numPr>
      </w:pPr>
      <w:r w:rsidRPr="00411D9E">
        <w:t>Asthma Medication Ratio (12–18 years); and</w:t>
      </w:r>
    </w:p>
    <w:p w14:paraId="1F234A5D" w14:textId="77777777" w:rsidR="005C3D48" w:rsidRPr="00411D9E" w:rsidRDefault="005C3D48" w:rsidP="00A0110E">
      <w:pPr>
        <w:pStyle w:val="ListParagraph"/>
        <w:numPr>
          <w:ilvl w:val="1"/>
          <w:numId w:val="22"/>
        </w:numPr>
      </w:pPr>
      <w:r w:rsidRPr="00411D9E">
        <w:t>Asthma Medication Ratio (Total).</w:t>
      </w:r>
    </w:p>
    <w:p w14:paraId="27E88603" w14:textId="77777777" w:rsidR="005C3D48" w:rsidRPr="00411D9E" w:rsidRDefault="005C3D48" w:rsidP="005C3D48">
      <w:pPr>
        <w:pStyle w:val="ListParagraph"/>
        <w:ind w:left="1440"/>
      </w:pPr>
    </w:p>
    <w:p w14:paraId="1E69EBB9" w14:textId="77777777" w:rsidR="005C3D48" w:rsidRPr="00411D9E" w:rsidRDefault="005C3D48" w:rsidP="005C3D48">
      <w:bookmarkStart w:id="141" w:name="_Toc70508414"/>
      <w:r w:rsidRPr="00411D9E">
        <w:t>No opportunities for improvement are identified for the 2021 (MY 2020) Respiratory Conditions performance measures.</w:t>
      </w:r>
    </w:p>
    <w:p w14:paraId="6084C862" w14:textId="77777777" w:rsidR="005C3D48" w:rsidRPr="00411D9E" w:rsidRDefault="005C3D48" w:rsidP="005C3D48">
      <w:pPr>
        <w:pStyle w:val="tableheading"/>
      </w:pPr>
      <w:bookmarkStart w:id="142" w:name="_Toc99026991"/>
      <w:r w:rsidRPr="00411D9E">
        <w:t>Table 2.6: Respiratory Conditions</w:t>
      </w:r>
      <w:bookmarkEnd w:id="139"/>
      <w:bookmarkEnd w:id="140"/>
      <w:bookmarkEnd w:id="141"/>
      <w:bookmarkEnd w:id="14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52"/>
        <w:gridCol w:w="2832"/>
        <w:gridCol w:w="1088"/>
        <w:gridCol w:w="806"/>
        <w:gridCol w:w="898"/>
        <w:gridCol w:w="987"/>
        <w:gridCol w:w="1079"/>
        <w:gridCol w:w="1166"/>
        <w:gridCol w:w="1168"/>
        <w:gridCol w:w="987"/>
        <w:gridCol w:w="1272"/>
        <w:gridCol w:w="1255"/>
      </w:tblGrid>
      <w:tr w:rsidR="005C3D48" w:rsidRPr="00411D9E" w14:paraId="6C6CFD55" w14:textId="77777777" w:rsidTr="00255428">
        <w:trPr>
          <w:cantSplit/>
          <w:trHeight w:val="178"/>
          <w:tblHeader/>
        </w:trPr>
        <w:tc>
          <w:tcPr>
            <w:tcW w:w="1280" w:type="pct"/>
            <w:gridSpan w:val="2"/>
            <w:shd w:val="clear" w:color="000000" w:fill="5F497A"/>
            <w:vAlign w:val="bottom"/>
            <w:hideMark/>
          </w:tcPr>
          <w:p w14:paraId="61084FEF"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Indicator</w:t>
            </w:r>
          </w:p>
        </w:tc>
        <w:tc>
          <w:tcPr>
            <w:tcW w:w="2093" w:type="pct"/>
            <w:gridSpan w:val="6"/>
            <w:shd w:val="clear" w:color="000000" w:fill="5F497A"/>
            <w:vAlign w:val="bottom"/>
            <w:hideMark/>
          </w:tcPr>
          <w:p w14:paraId="16EF7917"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(MY 2020)</w:t>
            </w:r>
          </w:p>
        </w:tc>
        <w:tc>
          <w:tcPr>
            <w:tcW w:w="1627" w:type="pct"/>
            <w:gridSpan w:val="4"/>
            <w:shd w:val="clear" w:color="000000" w:fill="5F497A"/>
            <w:vAlign w:val="bottom"/>
            <w:hideMark/>
          </w:tcPr>
          <w:p w14:paraId="7C052518" w14:textId="07A96DA2" w:rsidR="005C3D48" w:rsidRPr="00411D9E" w:rsidRDefault="005C3D48" w:rsidP="00FF262E">
            <w:pPr>
              <w:jc w:val="center"/>
              <w:rPr>
                <w:rFonts w:eastAsia="Times New Roman" w:cstheme="minorHAnsi"/>
                <w:b/>
                <w:bCs/>
                <w:color w:val="FFFFFF"/>
                <w:sz w:val="20"/>
                <w:szCs w:val="20"/>
                <w:vertAlign w:val="superscript"/>
                <w:lang w:bidi="ar-SA"/>
              </w:rPr>
            </w:pPr>
            <w:r w:rsidRPr="00411D9E">
              <w:rPr>
                <w:rFonts w:eastAsia="Times New Roman" w:cstheme="minorHAnsi"/>
                <w:b/>
                <w:bCs/>
                <w:color w:val="FFFFFF"/>
                <w:sz w:val="20"/>
                <w:szCs w:val="20"/>
                <w:lang w:bidi="ar-SA"/>
              </w:rPr>
              <w:t>Rate Comparison</w:t>
            </w:r>
            <w:r w:rsidR="00FF262E" w:rsidRPr="00411D9E">
              <w:rPr>
                <w:rFonts w:eastAsia="Times New Roman" w:cstheme="minorHAnsi"/>
                <w:b/>
                <w:bCs/>
                <w:color w:val="FFFFFF"/>
                <w:sz w:val="20"/>
                <w:szCs w:val="20"/>
                <w:vertAlign w:val="superscript"/>
                <w:lang w:bidi="ar-SA"/>
              </w:rPr>
              <w:t>1</w:t>
            </w:r>
          </w:p>
        </w:tc>
      </w:tr>
      <w:tr w:rsidR="005C3D48" w:rsidRPr="00411D9E" w14:paraId="76CB7FD5" w14:textId="77777777" w:rsidTr="00255428">
        <w:trPr>
          <w:cantSplit/>
          <w:trHeight w:val="144"/>
          <w:tblHeader/>
        </w:trPr>
        <w:tc>
          <w:tcPr>
            <w:tcW w:w="296" w:type="pct"/>
            <w:shd w:val="clear" w:color="000000" w:fill="5F497A"/>
            <w:vAlign w:val="bottom"/>
            <w:hideMark/>
          </w:tcPr>
          <w:p w14:paraId="2C3F8A36"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Source</w:t>
            </w:r>
          </w:p>
        </w:tc>
        <w:tc>
          <w:tcPr>
            <w:tcW w:w="984" w:type="pct"/>
            <w:shd w:val="clear" w:color="000000" w:fill="5F497A"/>
            <w:vAlign w:val="bottom"/>
            <w:hideMark/>
          </w:tcPr>
          <w:p w14:paraId="1CA5F57D"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Name</w:t>
            </w:r>
          </w:p>
        </w:tc>
        <w:tc>
          <w:tcPr>
            <w:tcW w:w="378" w:type="pct"/>
            <w:shd w:val="clear" w:color="000000" w:fill="5F497A"/>
            <w:vAlign w:val="bottom"/>
            <w:hideMark/>
          </w:tcPr>
          <w:p w14:paraId="25C774E8" w14:textId="77777777" w:rsidR="005C3D48" w:rsidRPr="00411D9E" w:rsidRDefault="005C3D48" w:rsidP="00FF262E">
            <w:pPr>
              <w:jc w:val="center"/>
              <w:rPr>
                <w:rFonts w:eastAsia="Times New Roman" w:cstheme="minorHAnsi"/>
                <w:b/>
                <w:bCs/>
                <w:color w:val="FFFFFF"/>
                <w:sz w:val="20"/>
                <w:szCs w:val="20"/>
                <w:lang w:bidi="ar-SA"/>
              </w:rPr>
            </w:pPr>
            <w:proofErr w:type="spellStart"/>
            <w:r w:rsidRPr="00411D9E">
              <w:rPr>
                <w:rFonts w:eastAsia="Times New Roman" w:cstheme="minorHAnsi"/>
                <w:b/>
                <w:bCs/>
                <w:color w:val="FFFFFF"/>
                <w:sz w:val="20"/>
                <w:szCs w:val="20"/>
                <w:lang w:bidi="ar-SA"/>
              </w:rPr>
              <w:t>Denom</w:t>
            </w:r>
            <w:proofErr w:type="spellEnd"/>
          </w:p>
        </w:tc>
        <w:tc>
          <w:tcPr>
            <w:tcW w:w="280" w:type="pct"/>
            <w:shd w:val="clear" w:color="000000" w:fill="5F497A"/>
            <w:vAlign w:val="bottom"/>
            <w:hideMark/>
          </w:tcPr>
          <w:p w14:paraId="6FDCC078"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Num</w:t>
            </w:r>
          </w:p>
        </w:tc>
        <w:tc>
          <w:tcPr>
            <w:tcW w:w="312" w:type="pct"/>
            <w:shd w:val="clear" w:color="000000" w:fill="5F497A"/>
            <w:vAlign w:val="bottom"/>
            <w:hideMark/>
          </w:tcPr>
          <w:p w14:paraId="02D0B3C8"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Rate</w:t>
            </w:r>
          </w:p>
        </w:tc>
        <w:tc>
          <w:tcPr>
            <w:tcW w:w="343" w:type="pct"/>
            <w:shd w:val="clear" w:color="000000" w:fill="5F497A"/>
            <w:vAlign w:val="bottom"/>
            <w:hideMark/>
          </w:tcPr>
          <w:p w14:paraId="1B8DC09F"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Lower 95% Confidence Limit</w:t>
            </w:r>
          </w:p>
        </w:tc>
        <w:tc>
          <w:tcPr>
            <w:tcW w:w="375" w:type="pct"/>
            <w:shd w:val="clear" w:color="000000" w:fill="5F497A"/>
            <w:vAlign w:val="bottom"/>
            <w:hideMark/>
          </w:tcPr>
          <w:p w14:paraId="282359C0"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Upper 95% Confidence Limit</w:t>
            </w:r>
          </w:p>
        </w:tc>
        <w:tc>
          <w:tcPr>
            <w:tcW w:w="405" w:type="pct"/>
            <w:shd w:val="clear" w:color="000000" w:fill="5F497A"/>
            <w:vAlign w:val="bottom"/>
            <w:hideMark/>
          </w:tcPr>
          <w:p w14:paraId="6F36D7E4"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2020 (MY 2019) Rate</w:t>
            </w:r>
          </w:p>
        </w:tc>
        <w:tc>
          <w:tcPr>
            <w:tcW w:w="406" w:type="pct"/>
            <w:shd w:val="clear" w:color="000000" w:fill="5F497A"/>
            <w:vAlign w:val="bottom"/>
            <w:hideMark/>
          </w:tcPr>
          <w:p w14:paraId="26052810"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Rate Compared to 2020</w:t>
            </w:r>
          </w:p>
        </w:tc>
        <w:tc>
          <w:tcPr>
            <w:tcW w:w="343" w:type="pct"/>
            <w:shd w:val="clear" w:color="000000" w:fill="5F497A"/>
            <w:vAlign w:val="bottom"/>
            <w:hideMark/>
          </w:tcPr>
          <w:p w14:paraId="2EDEA662"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MMC</w:t>
            </w:r>
          </w:p>
        </w:tc>
        <w:tc>
          <w:tcPr>
            <w:tcW w:w="442" w:type="pct"/>
            <w:shd w:val="clear" w:color="000000" w:fill="5F497A"/>
            <w:vAlign w:val="bottom"/>
            <w:hideMark/>
          </w:tcPr>
          <w:p w14:paraId="2EA1DCC3"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Rate Compared to MMC</w:t>
            </w:r>
          </w:p>
        </w:tc>
        <w:tc>
          <w:tcPr>
            <w:tcW w:w="436" w:type="pct"/>
            <w:shd w:val="clear" w:color="000000" w:fill="5F497A"/>
            <w:vAlign w:val="bottom"/>
            <w:hideMark/>
          </w:tcPr>
          <w:p w14:paraId="129EF28B"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rPr>
              <w:t>HEDIS 2021 Percentile</w:t>
            </w:r>
          </w:p>
        </w:tc>
      </w:tr>
      <w:tr w:rsidR="005C3D48" w:rsidRPr="00411D9E" w14:paraId="331CFC84" w14:textId="77777777" w:rsidTr="00255428">
        <w:trPr>
          <w:cantSplit/>
          <w:trHeight w:val="144"/>
        </w:trPr>
        <w:tc>
          <w:tcPr>
            <w:tcW w:w="296" w:type="pct"/>
            <w:shd w:val="clear" w:color="auto" w:fill="FFFFFF" w:themeFill="background1"/>
            <w:vAlign w:val="center"/>
            <w:hideMark/>
          </w:tcPr>
          <w:p w14:paraId="77F3F733"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hideMark/>
          </w:tcPr>
          <w:p w14:paraId="655F6439"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Appropriate Testing for Children with Pharyngitis ( 3–17 years)</w:t>
            </w:r>
          </w:p>
        </w:tc>
        <w:tc>
          <w:tcPr>
            <w:tcW w:w="378" w:type="pct"/>
            <w:shd w:val="clear" w:color="auto" w:fill="auto"/>
            <w:vAlign w:val="center"/>
          </w:tcPr>
          <w:p w14:paraId="1794D2E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720</w:t>
            </w:r>
          </w:p>
        </w:tc>
        <w:tc>
          <w:tcPr>
            <w:tcW w:w="280" w:type="pct"/>
            <w:shd w:val="clear" w:color="auto" w:fill="auto"/>
            <w:vAlign w:val="center"/>
          </w:tcPr>
          <w:p w14:paraId="436C770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606</w:t>
            </w:r>
          </w:p>
        </w:tc>
        <w:tc>
          <w:tcPr>
            <w:tcW w:w="312" w:type="pct"/>
            <w:shd w:val="clear" w:color="auto" w:fill="auto"/>
            <w:vAlign w:val="center"/>
          </w:tcPr>
          <w:p w14:paraId="331E684F"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84.2%</w:t>
            </w:r>
          </w:p>
        </w:tc>
        <w:tc>
          <w:tcPr>
            <w:tcW w:w="343" w:type="pct"/>
            <w:shd w:val="clear" w:color="auto" w:fill="auto"/>
            <w:vAlign w:val="center"/>
          </w:tcPr>
          <w:p w14:paraId="30947DB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81.4%</w:t>
            </w:r>
          </w:p>
        </w:tc>
        <w:tc>
          <w:tcPr>
            <w:tcW w:w="375" w:type="pct"/>
            <w:shd w:val="clear" w:color="auto" w:fill="auto"/>
            <w:vAlign w:val="center"/>
          </w:tcPr>
          <w:p w14:paraId="4BA76EE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86.9%</w:t>
            </w:r>
          </w:p>
        </w:tc>
        <w:tc>
          <w:tcPr>
            <w:tcW w:w="405" w:type="pct"/>
            <w:shd w:val="clear" w:color="auto" w:fill="auto"/>
            <w:vAlign w:val="center"/>
          </w:tcPr>
          <w:p w14:paraId="71559DA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87.9%</w:t>
            </w:r>
          </w:p>
        </w:tc>
        <w:tc>
          <w:tcPr>
            <w:tcW w:w="406" w:type="pct"/>
            <w:shd w:val="clear" w:color="auto" w:fill="auto"/>
            <w:vAlign w:val="center"/>
          </w:tcPr>
          <w:p w14:paraId="7C8F0448"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15A449E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86.7%</w:t>
            </w:r>
          </w:p>
        </w:tc>
        <w:tc>
          <w:tcPr>
            <w:tcW w:w="442" w:type="pct"/>
            <w:shd w:val="clear" w:color="auto" w:fill="auto"/>
            <w:vAlign w:val="center"/>
          </w:tcPr>
          <w:p w14:paraId="5AB3CD40"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436" w:type="pct"/>
            <w:shd w:val="clear" w:color="auto" w:fill="auto"/>
            <w:vAlign w:val="center"/>
          </w:tcPr>
          <w:p w14:paraId="3ED602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19A9A09C" w14:textId="77777777" w:rsidTr="00255428">
        <w:trPr>
          <w:cantSplit/>
          <w:trHeight w:val="144"/>
        </w:trPr>
        <w:tc>
          <w:tcPr>
            <w:tcW w:w="296" w:type="pct"/>
            <w:shd w:val="clear" w:color="auto" w:fill="FFFFFF" w:themeFill="background1"/>
            <w:vAlign w:val="center"/>
            <w:hideMark/>
          </w:tcPr>
          <w:p w14:paraId="7A101AD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hideMark/>
          </w:tcPr>
          <w:p w14:paraId="56E25723"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Appropriate Testing for Children with Pharyngitis ( 18 years)</w:t>
            </w:r>
          </w:p>
        </w:tc>
        <w:tc>
          <w:tcPr>
            <w:tcW w:w="378" w:type="pct"/>
            <w:shd w:val="clear" w:color="auto" w:fill="auto"/>
            <w:vAlign w:val="center"/>
          </w:tcPr>
          <w:p w14:paraId="4435B9F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29</w:t>
            </w:r>
          </w:p>
        </w:tc>
        <w:tc>
          <w:tcPr>
            <w:tcW w:w="280" w:type="pct"/>
            <w:shd w:val="clear" w:color="auto" w:fill="auto"/>
            <w:vAlign w:val="center"/>
          </w:tcPr>
          <w:p w14:paraId="5C2D552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26</w:t>
            </w:r>
          </w:p>
        </w:tc>
        <w:tc>
          <w:tcPr>
            <w:tcW w:w="312" w:type="pct"/>
            <w:shd w:val="clear" w:color="auto" w:fill="auto"/>
            <w:vAlign w:val="center"/>
          </w:tcPr>
          <w:p w14:paraId="5227EFF6" w14:textId="3881A3CD"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612D9ECF" w14:textId="2165777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auto" w:fill="auto"/>
            <w:vAlign w:val="center"/>
          </w:tcPr>
          <w:p w14:paraId="2E32615D" w14:textId="0B0B944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5DCDF1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80.0%</w:t>
            </w:r>
          </w:p>
        </w:tc>
        <w:tc>
          <w:tcPr>
            <w:tcW w:w="406" w:type="pct"/>
            <w:shd w:val="clear" w:color="auto" w:fill="auto"/>
            <w:vAlign w:val="center"/>
          </w:tcPr>
          <w:p w14:paraId="40B37E65" w14:textId="1B087FC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4104D17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72.9%</w:t>
            </w:r>
          </w:p>
        </w:tc>
        <w:tc>
          <w:tcPr>
            <w:tcW w:w="442" w:type="pct"/>
            <w:shd w:val="clear" w:color="auto" w:fill="auto"/>
            <w:vAlign w:val="center"/>
          </w:tcPr>
          <w:p w14:paraId="70E3B357" w14:textId="13F2CA3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36" w:type="pct"/>
            <w:shd w:val="clear" w:color="auto" w:fill="auto"/>
            <w:vAlign w:val="center"/>
          </w:tcPr>
          <w:p w14:paraId="6A6401E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6C050451" w14:textId="77777777" w:rsidTr="00255428">
        <w:trPr>
          <w:cantSplit/>
          <w:trHeight w:val="144"/>
        </w:trPr>
        <w:tc>
          <w:tcPr>
            <w:tcW w:w="296" w:type="pct"/>
            <w:shd w:val="clear" w:color="auto" w:fill="FFFFFF" w:themeFill="background1"/>
            <w:vAlign w:val="center"/>
            <w:hideMark/>
          </w:tcPr>
          <w:p w14:paraId="1B83422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hideMark/>
          </w:tcPr>
          <w:p w14:paraId="158DEF4C"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Appropriate Testing for Children with Pharyngitis (Total)</w:t>
            </w:r>
          </w:p>
        </w:tc>
        <w:tc>
          <w:tcPr>
            <w:tcW w:w="378" w:type="pct"/>
            <w:shd w:val="clear" w:color="auto" w:fill="auto"/>
            <w:vAlign w:val="center"/>
          </w:tcPr>
          <w:p w14:paraId="0121E6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749</w:t>
            </w:r>
          </w:p>
        </w:tc>
        <w:tc>
          <w:tcPr>
            <w:tcW w:w="280" w:type="pct"/>
            <w:shd w:val="clear" w:color="auto" w:fill="auto"/>
            <w:vAlign w:val="center"/>
          </w:tcPr>
          <w:p w14:paraId="0C8B86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632</w:t>
            </w:r>
          </w:p>
        </w:tc>
        <w:tc>
          <w:tcPr>
            <w:tcW w:w="312" w:type="pct"/>
            <w:shd w:val="clear" w:color="auto" w:fill="auto"/>
            <w:vAlign w:val="center"/>
          </w:tcPr>
          <w:p w14:paraId="5FAA7DB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84.4%</w:t>
            </w:r>
          </w:p>
        </w:tc>
        <w:tc>
          <w:tcPr>
            <w:tcW w:w="343" w:type="pct"/>
            <w:shd w:val="clear" w:color="auto" w:fill="auto"/>
            <w:vAlign w:val="center"/>
          </w:tcPr>
          <w:p w14:paraId="2AA60F3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81.7%</w:t>
            </w:r>
          </w:p>
        </w:tc>
        <w:tc>
          <w:tcPr>
            <w:tcW w:w="375" w:type="pct"/>
            <w:shd w:val="clear" w:color="auto" w:fill="auto"/>
            <w:vAlign w:val="center"/>
          </w:tcPr>
          <w:p w14:paraId="3FA1990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87.0%</w:t>
            </w:r>
          </w:p>
        </w:tc>
        <w:tc>
          <w:tcPr>
            <w:tcW w:w="405" w:type="pct"/>
            <w:shd w:val="clear" w:color="auto" w:fill="auto"/>
            <w:vAlign w:val="center"/>
          </w:tcPr>
          <w:p w14:paraId="35786D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87.6%</w:t>
            </w:r>
          </w:p>
        </w:tc>
        <w:tc>
          <w:tcPr>
            <w:tcW w:w="406" w:type="pct"/>
            <w:shd w:val="clear" w:color="auto" w:fill="auto"/>
            <w:vAlign w:val="center"/>
          </w:tcPr>
          <w:p w14:paraId="6805C896"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40ED036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86.2%</w:t>
            </w:r>
          </w:p>
        </w:tc>
        <w:tc>
          <w:tcPr>
            <w:tcW w:w="442" w:type="pct"/>
            <w:shd w:val="clear" w:color="auto" w:fill="auto"/>
            <w:vAlign w:val="center"/>
          </w:tcPr>
          <w:p w14:paraId="5FA74E64"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436" w:type="pct"/>
            <w:shd w:val="clear" w:color="auto" w:fill="auto"/>
            <w:vAlign w:val="center"/>
          </w:tcPr>
          <w:p w14:paraId="30774E5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16BA71E8" w14:textId="77777777" w:rsidTr="00255428">
        <w:trPr>
          <w:cantSplit/>
          <w:trHeight w:val="144"/>
        </w:trPr>
        <w:tc>
          <w:tcPr>
            <w:tcW w:w="296" w:type="pct"/>
            <w:shd w:val="clear" w:color="auto" w:fill="FFFFFF" w:themeFill="background1"/>
            <w:vAlign w:val="center"/>
            <w:hideMark/>
          </w:tcPr>
          <w:p w14:paraId="178397C8"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hideMark/>
          </w:tcPr>
          <w:p w14:paraId="2E628CFA"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Appropriate Treatment for Children with Upper Respiratory Infection (3–17 years)</w:t>
            </w:r>
          </w:p>
        </w:tc>
        <w:tc>
          <w:tcPr>
            <w:tcW w:w="378" w:type="pct"/>
            <w:shd w:val="clear" w:color="auto" w:fill="auto"/>
            <w:vAlign w:val="center"/>
          </w:tcPr>
          <w:p w14:paraId="15C72AF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1,408</w:t>
            </w:r>
          </w:p>
        </w:tc>
        <w:tc>
          <w:tcPr>
            <w:tcW w:w="280" w:type="pct"/>
            <w:shd w:val="clear" w:color="auto" w:fill="auto"/>
            <w:vAlign w:val="center"/>
          </w:tcPr>
          <w:p w14:paraId="14C704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73</w:t>
            </w:r>
          </w:p>
        </w:tc>
        <w:tc>
          <w:tcPr>
            <w:tcW w:w="312" w:type="pct"/>
            <w:shd w:val="clear" w:color="auto" w:fill="auto"/>
            <w:vAlign w:val="center"/>
          </w:tcPr>
          <w:p w14:paraId="31F2DF15"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94.8%</w:t>
            </w:r>
          </w:p>
        </w:tc>
        <w:tc>
          <w:tcPr>
            <w:tcW w:w="343" w:type="pct"/>
            <w:shd w:val="clear" w:color="auto" w:fill="auto"/>
            <w:vAlign w:val="center"/>
          </w:tcPr>
          <w:p w14:paraId="4D64EE3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93.6%</w:t>
            </w:r>
          </w:p>
        </w:tc>
        <w:tc>
          <w:tcPr>
            <w:tcW w:w="375" w:type="pct"/>
            <w:shd w:val="clear" w:color="auto" w:fill="auto"/>
            <w:vAlign w:val="center"/>
          </w:tcPr>
          <w:p w14:paraId="34146A2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96.0%</w:t>
            </w:r>
          </w:p>
        </w:tc>
        <w:tc>
          <w:tcPr>
            <w:tcW w:w="405" w:type="pct"/>
            <w:shd w:val="clear" w:color="auto" w:fill="auto"/>
            <w:vAlign w:val="center"/>
          </w:tcPr>
          <w:p w14:paraId="0E3A669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91.9%</w:t>
            </w:r>
          </w:p>
        </w:tc>
        <w:tc>
          <w:tcPr>
            <w:tcW w:w="406" w:type="pct"/>
            <w:shd w:val="clear" w:color="auto" w:fill="auto"/>
            <w:vAlign w:val="center"/>
          </w:tcPr>
          <w:p w14:paraId="717F713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auto"/>
            <w:vAlign w:val="center"/>
          </w:tcPr>
          <w:p w14:paraId="4126750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93.5%</w:t>
            </w:r>
          </w:p>
        </w:tc>
        <w:tc>
          <w:tcPr>
            <w:tcW w:w="442" w:type="pct"/>
            <w:shd w:val="clear" w:color="auto" w:fill="auto"/>
            <w:vAlign w:val="center"/>
          </w:tcPr>
          <w:p w14:paraId="7B64CD6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436" w:type="pct"/>
            <w:shd w:val="clear" w:color="auto" w:fill="auto"/>
            <w:vAlign w:val="center"/>
          </w:tcPr>
          <w:p w14:paraId="6529FC2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6ECBD36D" w14:textId="77777777" w:rsidTr="00255428">
        <w:trPr>
          <w:cantSplit/>
          <w:trHeight w:val="144"/>
        </w:trPr>
        <w:tc>
          <w:tcPr>
            <w:tcW w:w="296" w:type="pct"/>
            <w:shd w:val="clear" w:color="auto" w:fill="FFFFFF" w:themeFill="background1"/>
            <w:vAlign w:val="center"/>
            <w:hideMark/>
          </w:tcPr>
          <w:p w14:paraId="09B084B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hideMark/>
          </w:tcPr>
          <w:p w14:paraId="53DEF847"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 xml:space="preserve">Appropriate Treatment for Children with Upper Respiratory Infection </w:t>
            </w:r>
            <w:r w:rsidRPr="00411D9E">
              <w:rPr>
                <w:rFonts w:eastAsia="Times New Roman" w:cstheme="minorHAnsi"/>
                <w:sz w:val="20"/>
                <w:szCs w:val="20"/>
                <w:lang w:bidi="ar-SA"/>
              </w:rPr>
              <w:br/>
              <w:t>(18 years)</w:t>
            </w:r>
          </w:p>
        </w:tc>
        <w:tc>
          <w:tcPr>
            <w:tcW w:w="378" w:type="pct"/>
            <w:shd w:val="clear" w:color="auto" w:fill="auto"/>
            <w:vAlign w:val="center"/>
          </w:tcPr>
          <w:p w14:paraId="2BE7994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45</w:t>
            </w:r>
          </w:p>
        </w:tc>
        <w:tc>
          <w:tcPr>
            <w:tcW w:w="280" w:type="pct"/>
            <w:shd w:val="clear" w:color="auto" w:fill="auto"/>
            <w:vAlign w:val="center"/>
          </w:tcPr>
          <w:p w14:paraId="6EF1132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w:t>
            </w:r>
          </w:p>
        </w:tc>
        <w:tc>
          <w:tcPr>
            <w:tcW w:w="312" w:type="pct"/>
            <w:shd w:val="clear" w:color="auto" w:fill="auto"/>
            <w:vAlign w:val="center"/>
          </w:tcPr>
          <w:p w14:paraId="3179E7B6"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95.6%</w:t>
            </w:r>
          </w:p>
        </w:tc>
        <w:tc>
          <w:tcPr>
            <w:tcW w:w="343" w:type="pct"/>
            <w:shd w:val="clear" w:color="auto" w:fill="auto"/>
            <w:vAlign w:val="center"/>
          </w:tcPr>
          <w:p w14:paraId="2CBB11D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88.4%</w:t>
            </w:r>
          </w:p>
        </w:tc>
        <w:tc>
          <w:tcPr>
            <w:tcW w:w="375" w:type="pct"/>
            <w:shd w:val="clear" w:color="auto" w:fill="auto"/>
            <w:vAlign w:val="center"/>
          </w:tcPr>
          <w:p w14:paraId="1FA89E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100.0%</w:t>
            </w:r>
          </w:p>
        </w:tc>
        <w:tc>
          <w:tcPr>
            <w:tcW w:w="405" w:type="pct"/>
            <w:shd w:val="clear" w:color="auto" w:fill="auto"/>
            <w:vAlign w:val="center"/>
          </w:tcPr>
          <w:p w14:paraId="22E0162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85.5%</w:t>
            </w:r>
          </w:p>
        </w:tc>
        <w:tc>
          <w:tcPr>
            <w:tcW w:w="406" w:type="pct"/>
            <w:shd w:val="clear" w:color="auto" w:fill="auto"/>
            <w:vAlign w:val="center"/>
          </w:tcPr>
          <w:p w14:paraId="09BFAD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auto"/>
            <w:vAlign w:val="center"/>
          </w:tcPr>
          <w:p w14:paraId="195E39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87.5%</w:t>
            </w:r>
          </w:p>
        </w:tc>
        <w:tc>
          <w:tcPr>
            <w:tcW w:w="442" w:type="pct"/>
            <w:shd w:val="clear" w:color="auto" w:fill="auto"/>
            <w:vAlign w:val="center"/>
          </w:tcPr>
          <w:p w14:paraId="4ED71137"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436" w:type="pct"/>
            <w:shd w:val="clear" w:color="auto" w:fill="auto"/>
            <w:vAlign w:val="center"/>
          </w:tcPr>
          <w:p w14:paraId="2BBC386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16770D4E" w14:textId="77777777" w:rsidTr="00255428">
        <w:trPr>
          <w:cantSplit/>
          <w:trHeight w:val="144"/>
        </w:trPr>
        <w:tc>
          <w:tcPr>
            <w:tcW w:w="296" w:type="pct"/>
            <w:shd w:val="clear" w:color="auto" w:fill="FFFFFF" w:themeFill="background1"/>
            <w:vAlign w:val="center"/>
            <w:hideMark/>
          </w:tcPr>
          <w:p w14:paraId="1C7AF5E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hideMark/>
          </w:tcPr>
          <w:p w14:paraId="3438A21E"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Appropriate Treatment for Children with Upper Respiratory Infection (Total)</w:t>
            </w:r>
          </w:p>
        </w:tc>
        <w:tc>
          <w:tcPr>
            <w:tcW w:w="378" w:type="pct"/>
            <w:shd w:val="clear" w:color="auto" w:fill="auto"/>
            <w:vAlign w:val="center"/>
          </w:tcPr>
          <w:p w14:paraId="7BB034C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1,453</w:t>
            </w:r>
          </w:p>
        </w:tc>
        <w:tc>
          <w:tcPr>
            <w:tcW w:w="280" w:type="pct"/>
            <w:shd w:val="clear" w:color="auto" w:fill="auto"/>
            <w:vAlign w:val="center"/>
          </w:tcPr>
          <w:p w14:paraId="31E4EAD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w:t>
            </w:r>
          </w:p>
        </w:tc>
        <w:tc>
          <w:tcPr>
            <w:tcW w:w="312" w:type="pct"/>
            <w:shd w:val="clear" w:color="auto" w:fill="auto"/>
            <w:vAlign w:val="center"/>
          </w:tcPr>
          <w:p w14:paraId="36121764"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94.8%</w:t>
            </w:r>
          </w:p>
        </w:tc>
        <w:tc>
          <w:tcPr>
            <w:tcW w:w="343" w:type="pct"/>
            <w:shd w:val="clear" w:color="auto" w:fill="auto"/>
            <w:vAlign w:val="center"/>
          </w:tcPr>
          <w:p w14:paraId="6F1836A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93.7%</w:t>
            </w:r>
          </w:p>
        </w:tc>
        <w:tc>
          <w:tcPr>
            <w:tcW w:w="375" w:type="pct"/>
            <w:shd w:val="clear" w:color="auto" w:fill="auto"/>
            <w:vAlign w:val="center"/>
          </w:tcPr>
          <w:p w14:paraId="0EF4E6D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96.0%</w:t>
            </w:r>
          </w:p>
        </w:tc>
        <w:tc>
          <w:tcPr>
            <w:tcW w:w="405" w:type="pct"/>
            <w:shd w:val="clear" w:color="auto" w:fill="auto"/>
            <w:vAlign w:val="center"/>
          </w:tcPr>
          <w:p w14:paraId="644918B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91.7%</w:t>
            </w:r>
          </w:p>
        </w:tc>
        <w:tc>
          <w:tcPr>
            <w:tcW w:w="406" w:type="pct"/>
            <w:shd w:val="clear" w:color="auto" w:fill="auto"/>
            <w:vAlign w:val="center"/>
          </w:tcPr>
          <w:p w14:paraId="6346881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auto"/>
            <w:vAlign w:val="center"/>
          </w:tcPr>
          <w:p w14:paraId="23E093A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93.3%</w:t>
            </w:r>
          </w:p>
        </w:tc>
        <w:tc>
          <w:tcPr>
            <w:tcW w:w="442" w:type="pct"/>
            <w:shd w:val="clear" w:color="auto" w:fill="auto"/>
            <w:vAlign w:val="center"/>
          </w:tcPr>
          <w:p w14:paraId="798C722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436" w:type="pct"/>
            <w:shd w:val="clear" w:color="auto" w:fill="auto"/>
            <w:vAlign w:val="center"/>
          </w:tcPr>
          <w:p w14:paraId="1C05681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56A030C9" w14:textId="77777777" w:rsidTr="00255428">
        <w:trPr>
          <w:cantSplit/>
          <w:trHeight w:val="144"/>
        </w:trPr>
        <w:tc>
          <w:tcPr>
            <w:tcW w:w="296" w:type="pct"/>
            <w:shd w:val="clear" w:color="auto" w:fill="FFFFFF" w:themeFill="background1"/>
            <w:vAlign w:val="center"/>
          </w:tcPr>
          <w:p w14:paraId="70461FB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PA EQR</w:t>
            </w:r>
          </w:p>
        </w:tc>
        <w:tc>
          <w:tcPr>
            <w:tcW w:w="984" w:type="pct"/>
            <w:shd w:val="clear" w:color="auto" w:fill="FFFFFF" w:themeFill="background1"/>
            <w:vAlign w:val="center"/>
          </w:tcPr>
          <w:p w14:paraId="4D3C4431"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Annual Number of Asthma Patients with One or More Asthma-Related Emergency Room Visits</w:t>
            </w:r>
            <w:r w:rsidRPr="00411D9E">
              <w:rPr>
                <w:rFonts w:eastAsia="Times New Roman" w:cstheme="minorHAnsi"/>
                <w:sz w:val="20"/>
                <w:szCs w:val="20"/>
                <w:lang w:bidi="ar-SA"/>
              </w:rPr>
              <w:br/>
              <w:t>(Ages 2–19 years)</w:t>
            </w:r>
          </w:p>
        </w:tc>
        <w:tc>
          <w:tcPr>
            <w:tcW w:w="378" w:type="pct"/>
            <w:shd w:val="clear" w:color="auto" w:fill="auto"/>
            <w:vAlign w:val="center"/>
          </w:tcPr>
          <w:p w14:paraId="1C10DE0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452</w:t>
            </w:r>
          </w:p>
        </w:tc>
        <w:tc>
          <w:tcPr>
            <w:tcW w:w="280" w:type="pct"/>
            <w:shd w:val="clear" w:color="auto" w:fill="auto"/>
            <w:vAlign w:val="center"/>
          </w:tcPr>
          <w:p w14:paraId="4E21637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w:t>
            </w:r>
          </w:p>
        </w:tc>
        <w:tc>
          <w:tcPr>
            <w:tcW w:w="312" w:type="pct"/>
            <w:shd w:val="clear" w:color="auto" w:fill="auto"/>
            <w:vAlign w:val="center"/>
          </w:tcPr>
          <w:p w14:paraId="71F0BDCA"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3.5%</w:t>
            </w:r>
          </w:p>
        </w:tc>
        <w:tc>
          <w:tcPr>
            <w:tcW w:w="343" w:type="pct"/>
            <w:shd w:val="clear" w:color="auto" w:fill="auto"/>
            <w:vAlign w:val="center"/>
          </w:tcPr>
          <w:p w14:paraId="3BADE31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1.7%</w:t>
            </w:r>
          </w:p>
        </w:tc>
        <w:tc>
          <w:tcPr>
            <w:tcW w:w="375" w:type="pct"/>
            <w:shd w:val="clear" w:color="auto" w:fill="auto"/>
            <w:vAlign w:val="center"/>
          </w:tcPr>
          <w:p w14:paraId="18EEF6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5.4%</w:t>
            </w:r>
          </w:p>
        </w:tc>
        <w:tc>
          <w:tcPr>
            <w:tcW w:w="405" w:type="pct"/>
            <w:shd w:val="clear" w:color="auto" w:fill="auto"/>
            <w:vAlign w:val="center"/>
          </w:tcPr>
          <w:p w14:paraId="2264151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6.2%</w:t>
            </w:r>
          </w:p>
        </w:tc>
        <w:tc>
          <w:tcPr>
            <w:tcW w:w="406" w:type="pct"/>
            <w:shd w:val="clear" w:color="auto" w:fill="auto"/>
            <w:vAlign w:val="center"/>
          </w:tcPr>
          <w:p w14:paraId="748AF9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auto"/>
            <w:vAlign w:val="center"/>
          </w:tcPr>
          <w:p w14:paraId="128A5A1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7.1%</w:t>
            </w:r>
          </w:p>
        </w:tc>
        <w:tc>
          <w:tcPr>
            <w:tcW w:w="442" w:type="pct"/>
            <w:shd w:val="clear" w:color="auto" w:fill="auto"/>
            <w:vAlign w:val="center"/>
          </w:tcPr>
          <w:p w14:paraId="60AFAFE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436" w:type="pct"/>
            <w:shd w:val="clear" w:color="auto" w:fill="auto"/>
            <w:vAlign w:val="center"/>
          </w:tcPr>
          <w:p w14:paraId="4EFCE31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NA</w:t>
            </w:r>
          </w:p>
        </w:tc>
      </w:tr>
      <w:tr w:rsidR="005C3D48" w:rsidRPr="00411D9E" w14:paraId="55DAE786" w14:textId="77777777" w:rsidTr="00255428">
        <w:trPr>
          <w:cantSplit/>
          <w:trHeight w:val="144"/>
        </w:trPr>
        <w:tc>
          <w:tcPr>
            <w:tcW w:w="296" w:type="pct"/>
            <w:shd w:val="clear" w:color="auto" w:fill="FFFFFF" w:themeFill="background1"/>
            <w:vAlign w:val="center"/>
          </w:tcPr>
          <w:p w14:paraId="5A7C638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tcPr>
          <w:p w14:paraId="71037AC6"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Asthma Medication Ratio (5–11 years)</w:t>
            </w:r>
          </w:p>
        </w:tc>
        <w:tc>
          <w:tcPr>
            <w:tcW w:w="378" w:type="pct"/>
            <w:shd w:val="clear" w:color="auto" w:fill="auto"/>
            <w:vAlign w:val="center"/>
          </w:tcPr>
          <w:p w14:paraId="2D89EF5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40</w:t>
            </w:r>
          </w:p>
        </w:tc>
        <w:tc>
          <w:tcPr>
            <w:tcW w:w="280" w:type="pct"/>
            <w:shd w:val="clear" w:color="auto" w:fill="auto"/>
            <w:vAlign w:val="center"/>
          </w:tcPr>
          <w:p w14:paraId="1FB0E9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36</w:t>
            </w:r>
          </w:p>
        </w:tc>
        <w:tc>
          <w:tcPr>
            <w:tcW w:w="312" w:type="pct"/>
            <w:shd w:val="clear" w:color="auto" w:fill="auto"/>
            <w:vAlign w:val="center"/>
          </w:tcPr>
          <w:p w14:paraId="610072D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90.0%</w:t>
            </w:r>
          </w:p>
        </w:tc>
        <w:tc>
          <w:tcPr>
            <w:tcW w:w="343" w:type="pct"/>
            <w:shd w:val="clear" w:color="auto" w:fill="auto"/>
            <w:vAlign w:val="center"/>
          </w:tcPr>
          <w:p w14:paraId="6942DE1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79.5%</w:t>
            </w:r>
          </w:p>
        </w:tc>
        <w:tc>
          <w:tcPr>
            <w:tcW w:w="375" w:type="pct"/>
            <w:shd w:val="clear" w:color="auto" w:fill="auto"/>
            <w:vAlign w:val="center"/>
          </w:tcPr>
          <w:p w14:paraId="454F5B2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100.0%</w:t>
            </w:r>
          </w:p>
        </w:tc>
        <w:tc>
          <w:tcPr>
            <w:tcW w:w="405" w:type="pct"/>
            <w:shd w:val="clear" w:color="auto" w:fill="auto"/>
            <w:vAlign w:val="center"/>
          </w:tcPr>
          <w:p w14:paraId="106964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84.6%</w:t>
            </w:r>
          </w:p>
        </w:tc>
        <w:tc>
          <w:tcPr>
            <w:tcW w:w="406" w:type="pct"/>
            <w:shd w:val="clear" w:color="auto" w:fill="auto"/>
            <w:vAlign w:val="center"/>
          </w:tcPr>
          <w:p w14:paraId="364720F4"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61C7F2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81.3%</w:t>
            </w:r>
          </w:p>
        </w:tc>
        <w:tc>
          <w:tcPr>
            <w:tcW w:w="442" w:type="pct"/>
            <w:shd w:val="clear" w:color="auto" w:fill="auto"/>
            <w:vAlign w:val="center"/>
          </w:tcPr>
          <w:p w14:paraId="4EB4CB7B"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436" w:type="pct"/>
            <w:shd w:val="clear" w:color="auto" w:fill="auto"/>
            <w:vAlign w:val="center"/>
          </w:tcPr>
          <w:p w14:paraId="08EF0D3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7818E235" w14:textId="77777777" w:rsidTr="00255428">
        <w:trPr>
          <w:cantSplit/>
          <w:trHeight w:val="144"/>
        </w:trPr>
        <w:tc>
          <w:tcPr>
            <w:tcW w:w="296" w:type="pct"/>
            <w:shd w:val="clear" w:color="auto" w:fill="FFFFFF" w:themeFill="background1"/>
            <w:vAlign w:val="center"/>
          </w:tcPr>
          <w:p w14:paraId="49F0D2C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tcPr>
          <w:p w14:paraId="36D2E0A1"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Asthma Medication Ratio (12–18 years)</w:t>
            </w:r>
          </w:p>
        </w:tc>
        <w:tc>
          <w:tcPr>
            <w:tcW w:w="378" w:type="pct"/>
            <w:shd w:val="clear" w:color="auto" w:fill="auto"/>
            <w:vAlign w:val="center"/>
          </w:tcPr>
          <w:p w14:paraId="53004D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62</w:t>
            </w:r>
          </w:p>
        </w:tc>
        <w:tc>
          <w:tcPr>
            <w:tcW w:w="280" w:type="pct"/>
            <w:shd w:val="clear" w:color="auto" w:fill="auto"/>
            <w:vAlign w:val="center"/>
          </w:tcPr>
          <w:p w14:paraId="4D9C30F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52</w:t>
            </w:r>
          </w:p>
        </w:tc>
        <w:tc>
          <w:tcPr>
            <w:tcW w:w="312" w:type="pct"/>
            <w:shd w:val="clear" w:color="auto" w:fill="auto"/>
            <w:vAlign w:val="center"/>
          </w:tcPr>
          <w:p w14:paraId="7C0EB01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83.9%</w:t>
            </w:r>
          </w:p>
        </w:tc>
        <w:tc>
          <w:tcPr>
            <w:tcW w:w="343" w:type="pct"/>
            <w:shd w:val="clear" w:color="auto" w:fill="auto"/>
            <w:vAlign w:val="center"/>
          </w:tcPr>
          <w:p w14:paraId="5A857B8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73.9%</w:t>
            </w:r>
          </w:p>
        </w:tc>
        <w:tc>
          <w:tcPr>
            <w:tcW w:w="375" w:type="pct"/>
            <w:shd w:val="clear" w:color="auto" w:fill="auto"/>
            <w:vAlign w:val="center"/>
          </w:tcPr>
          <w:p w14:paraId="4DE1C85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93.8%</w:t>
            </w:r>
          </w:p>
        </w:tc>
        <w:tc>
          <w:tcPr>
            <w:tcW w:w="405" w:type="pct"/>
            <w:shd w:val="clear" w:color="auto" w:fill="auto"/>
            <w:vAlign w:val="center"/>
          </w:tcPr>
          <w:p w14:paraId="69CF45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69.2%</w:t>
            </w:r>
          </w:p>
        </w:tc>
        <w:tc>
          <w:tcPr>
            <w:tcW w:w="406" w:type="pct"/>
            <w:shd w:val="clear" w:color="auto" w:fill="auto"/>
            <w:vAlign w:val="center"/>
          </w:tcPr>
          <w:p w14:paraId="4F9FFF43"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48109F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71.2%</w:t>
            </w:r>
          </w:p>
        </w:tc>
        <w:tc>
          <w:tcPr>
            <w:tcW w:w="442" w:type="pct"/>
            <w:shd w:val="clear" w:color="auto" w:fill="auto"/>
            <w:vAlign w:val="center"/>
          </w:tcPr>
          <w:p w14:paraId="40D076D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436" w:type="pct"/>
            <w:shd w:val="clear" w:color="auto" w:fill="auto"/>
            <w:vAlign w:val="center"/>
          </w:tcPr>
          <w:p w14:paraId="186BBC0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42A2D769" w14:textId="77777777" w:rsidTr="00255428">
        <w:trPr>
          <w:cantSplit/>
          <w:trHeight w:val="144"/>
        </w:trPr>
        <w:tc>
          <w:tcPr>
            <w:tcW w:w="296" w:type="pct"/>
            <w:shd w:val="clear" w:color="auto" w:fill="FFFFFF" w:themeFill="background1"/>
            <w:vAlign w:val="center"/>
          </w:tcPr>
          <w:p w14:paraId="6DAAF5A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984" w:type="pct"/>
            <w:shd w:val="clear" w:color="auto" w:fill="FFFFFF" w:themeFill="background1"/>
            <w:vAlign w:val="center"/>
          </w:tcPr>
          <w:p w14:paraId="529EDECF"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Asthma Medication Ratio (19 years)</w:t>
            </w:r>
          </w:p>
        </w:tc>
        <w:tc>
          <w:tcPr>
            <w:tcW w:w="378" w:type="pct"/>
            <w:shd w:val="clear" w:color="auto" w:fill="auto"/>
            <w:vAlign w:val="center"/>
          </w:tcPr>
          <w:p w14:paraId="33D68EA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280" w:type="pct"/>
            <w:shd w:val="clear" w:color="auto" w:fill="auto"/>
            <w:vAlign w:val="center"/>
          </w:tcPr>
          <w:p w14:paraId="492A91C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2" w:type="pct"/>
            <w:shd w:val="clear" w:color="auto" w:fill="auto"/>
            <w:vAlign w:val="center"/>
          </w:tcPr>
          <w:p w14:paraId="012655BC" w14:textId="19B2F6F4"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36B3BEC0" w14:textId="266365B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auto" w:fill="auto"/>
            <w:vAlign w:val="center"/>
          </w:tcPr>
          <w:p w14:paraId="28A9A119" w14:textId="501F36F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0E95F6C1" w14:textId="33058B8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2A280635" w14:textId="5872853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5C82ECA7" w14:textId="66E6603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42" w:type="pct"/>
            <w:shd w:val="clear" w:color="auto" w:fill="auto"/>
            <w:vAlign w:val="center"/>
          </w:tcPr>
          <w:p w14:paraId="25BDB4DC" w14:textId="2FFEF70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36" w:type="pct"/>
            <w:shd w:val="clear" w:color="auto" w:fill="auto"/>
            <w:vAlign w:val="center"/>
          </w:tcPr>
          <w:p w14:paraId="79D02E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628F04F5" w14:textId="77777777" w:rsidTr="00255428">
        <w:trPr>
          <w:cantSplit/>
          <w:trHeight w:val="144"/>
        </w:trPr>
        <w:tc>
          <w:tcPr>
            <w:tcW w:w="296" w:type="pct"/>
            <w:shd w:val="clear" w:color="auto" w:fill="FFFFFF" w:themeFill="background1"/>
            <w:vAlign w:val="center"/>
          </w:tcPr>
          <w:p w14:paraId="7C2EAC2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984" w:type="pct"/>
            <w:shd w:val="clear" w:color="auto" w:fill="FFFFFF" w:themeFill="background1"/>
            <w:vAlign w:val="center"/>
          </w:tcPr>
          <w:p w14:paraId="25908D7F" w14:textId="77777777" w:rsidR="005C3D48" w:rsidRPr="00411D9E" w:rsidRDefault="005C3D48" w:rsidP="00FF262E">
            <w:pPr>
              <w:ind w:left="45"/>
              <w:jc w:val="left"/>
              <w:rPr>
                <w:rFonts w:eastAsia="Times New Roman" w:cstheme="minorHAnsi"/>
                <w:sz w:val="20"/>
                <w:szCs w:val="20"/>
                <w:lang w:bidi="ar-SA"/>
              </w:rPr>
            </w:pPr>
            <w:r w:rsidRPr="00411D9E">
              <w:rPr>
                <w:rFonts w:eastAsia="Times New Roman" w:cstheme="minorHAnsi"/>
                <w:sz w:val="20"/>
                <w:szCs w:val="20"/>
                <w:lang w:bidi="ar-SA"/>
              </w:rPr>
              <w:t>Asthma Medication Ratio (Total)</w:t>
            </w:r>
          </w:p>
        </w:tc>
        <w:tc>
          <w:tcPr>
            <w:tcW w:w="378" w:type="pct"/>
            <w:shd w:val="clear" w:color="auto" w:fill="auto"/>
            <w:vAlign w:val="center"/>
          </w:tcPr>
          <w:p w14:paraId="359115E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103</w:t>
            </w:r>
          </w:p>
        </w:tc>
        <w:tc>
          <w:tcPr>
            <w:tcW w:w="280" w:type="pct"/>
            <w:shd w:val="clear" w:color="auto" w:fill="auto"/>
            <w:vAlign w:val="center"/>
          </w:tcPr>
          <w:p w14:paraId="1A01434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89</w:t>
            </w:r>
          </w:p>
        </w:tc>
        <w:tc>
          <w:tcPr>
            <w:tcW w:w="312" w:type="pct"/>
            <w:shd w:val="clear" w:color="auto" w:fill="auto"/>
            <w:vAlign w:val="center"/>
          </w:tcPr>
          <w:p w14:paraId="3D7F2C9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86.4%</w:t>
            </w:r>
          </w:p>
        </w:tc>
        <w:tc>
          <w:tcPr>
            <w:tcW w:w="343" w:type="pct"/>
            <w:shd w:val="clear" w:color="auto" w:fill="auto"/>
            <w:vAlign w:val="center"/>
          </w:tcPr>
          <w:p w14:paraId="52DEC4B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79.3%</w:t>
            </w:r>
          </w:p>
        </w:tc>
        <w:tc>
          <w:tcPr>
            <w:tcW w:w="375" w:type="pct"/>
            <w:shd w:val="clear" w:color="auto" w:fill="auto"/>
            <w:vAlign w:val="center"/>
          </w:tcPr>
          <w:p w14:paraId="472CB5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93.5%</w:t>
            </w:r>
          </w:p>
        </w:tc>
        <w:tc>
          <w:tcPr>
            <w:tcW w:w="405" w:type="pct"/>
            <w:shd w:val="clear" w:color="auto" w:fill="auto"/>
            <w:vAlign w:val="center"/>
          </w:tcPr>
          <w:p w14:paraId="1943C0D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76.9%</w:t>
            </w:r>
          </w:p>
        </w:tc>
        <w:tc>
          <w:tcPr>
            <w:tcW w:w="406" w:type="pct"/>
            <w:shd w:val="clear" w:color="auto" w:fill="auto"/>
            <w:vAlign w:val="center"/>
          </w:tcPr>
          <w:p w14:paraId="5748C028"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1D009B2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76.1%</w:t>
            </w:r>
          </w:p>
        </w:tc>
        <w:tc>
          <w:tcPr>
            <w:tcW w:w="442" w:type="pct"/>
            <w:shd w:val="clear" w:color="auto" w:fill="auto"/>
            <w:vAlign w:val="center"/>
          </w:tcPr>
          <w:p w14:paraId="3B4CA16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436" w:type="pct"/>
            <w:shd w:val="clear" w:color="auto" w:fill="auto"/>
            <w:vAlign w:val="center"/>
          </w:tcPr>
          <w:p w14:paraId="05D8A06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bl>
    <w:p w14:paraId="7CB710E0" w14:textId="77777777" w:rsidR="0053637F" w:rsidRPr="00411D9E" w:rsidRDefault="0053637F" w:rsidP="00A460D7">
      <w:pPr>
        <w:widowControl w:val="0"/>
        <w:jc w:val="left"/>
        <w:rPr>
          <w:sz w:val="20"/>
          <w:szCs w:val="20"/>
        </w:rPr>
      </w:pPr>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w:t>
      </w:r>
      <w:r w:rsidRPr="00411D9E">
        <w:rPr>
          <w:rFonts w:cstheme="minorHAnsi"/>
          <w:sz w:val="20"/>
          <w:szCs w:val="20"/>
        </w:rPr>
        <w:t>−</w:t>
      </w:r>
      <w:r w:rsidRPr="00411D9E">
        <w:rPr>
          <w:sz w:val="20"/>
          <w:szCs w:val="20"/>
        </w:rPr>
        <w:t>,” and no statistically significant change by “</w:t>
      </w:r>
      <w:proofErr w:type="spellStart"/>
      <w:r w:rsidRPr="00411D9E">
        <w:rPr>
          <w:sz w:val="20"/>
          <w:szCs w:val="20"/>
        </w:rPr>
        <w:t>n.s</w:t>
      </w:r>
      <w:proofErr w:type="spellEnd"/>
      <w:r w:rsidRPr="00411D9E">
        <w:rPr>
          <w:sz w:val="20"/>
          <w:szCs w:val="20"/>
        </w:rPr>
        <w:t xml:space="preserve">.” </w:t>
      </w:r>
      <w:r w:rsidRPr="00411D9E">
        <w:rPr>
          <w:bCs/>
          <w:sz w:val="20"/>
          <w:szCs w:val="20"/>
        </w:rPr>
        <w:t>For comparison of MY 2020 rates to CHIP MMC rates, the “+” denotes that the plan rate exceeds the CHIP MMC rate, the “</w:t>
      </w:r>
      <w:r w:rsidRPr="00411D9E">
        <w:rPr>
          <w:rFonts w:cstheme="minorHAnsi"/>
          <w:sz w:val="20"/>
          <w:szCs w:val="20"/>
        </w:rPr>
        <w:t>−</w:t>
      </w:r>
      <w:r w:rsidRPr="00411D9E">
        <w:rPr>
          <w:bCs/>
          <w:sz w:val="20"/>
          <w:szCs w:val="20"/>
        </w:rPr>
        <w:t>” denotes that the MMC rate exceeds the plan rate, and “</w:t>
      </w:r>
      <w:proofErr w:type="spellStart"/>
      <w:r w:rsidRPr="00411D9E">
        <w:rPr>
          <w:bCs/>
          <w:sz w:val="20"/>
          <w:szCs w:val="20"/>
        </w:rPr>
        <w:t>n.s</w:t>
      </w:r>
      <w:proofErr w:type="spellEnd"/>
      <w:r w:rsidRPr="00411D9E">
        <w:rPr>
          <w:bCs/>
          <w:sz w:val="20"/>
          <w:szCs w:val="20"/>
        </w:rPr>
        <w:t>.” denotes no statistically significant difference between the two rates.</w:t>
      </w:r>
    </w:p>
    <w:p w14:paraId="160F4ABA" w14:textId="77777777" w:rsidR="0053637F" w:rsidRPr="00411D9E" w:rsidRDefault="0053637F" w:rsidP="0053637F">
      <w:pPr>
        <w:jc w:val="left"/>
        <w:rPr>
          <w:sz w:val="20"/>
          <w:szCs w:val="20"/>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w:t>
      </w:r>
    </w:p>
    <w:p w14:paraId="4D28747E" w14:textId="614B1116" w:rsidR="005C3D48" w:rsidRPr="00411D9E" w:rsidRDefault="005C3D48" w:rsidP="005C3D48">
      <w:pPr>
        <w:spacing w:after="200" w:line="276" w:lineRule="auto"/>
        <w:jc w:val="left"/>
        <w:rPr>
          <w:rFonts w:asciiTheme="majorHAnsi" w:eastAsiaTheme="majorEastAsia" w:hAnsiTheme="majorHAnsi" w:cstheme="majorBidi"/>
          <w:b/>
          <w:bCs/>
          <w:color w:val="4F81BD" w:themeColor="accent1"/>
        </w:rPr>
      </w:pPr>
      <w:bookmarkStart w:id="143" w:name="_Toc70508383"/>
    </w:p>
    <w:p w14:paraId="2409DF3D" w14:textId="77777777" w:rsidR="005C3D48" w:rsidRPr="00411D9E" w:rsidRDefault="005C3D48" w:rsidP="005C3D48">
      <w:pPr>
        <w:pStyle w:val="Heading3"/>
      </w:pPr>
      <w:bookmarkStart w:id="144" w:name="_Toc99026956"/>
      <w:r w:rsidRPr="00411D9E">
        <w:t>Behavioral Health</w:t>
      </w:r>
      <w:bookmarkEnd w:id="143"/>
      <w:bookmarkEnd w:id="144"/>
    </w:p>
    <w:p w14:paraId="29C5FC5B" w14:textId="77777777" w:rsidR="005C3D48" w:rsidRPr="00411D9E" w:rsidRDefault="005C3D48" w:rsidP="005C3D48">
      <w:pPr>
        <w:rPr>
          <w:bCs/>
        </w:rPr>
      </w:pPr>
      <w:r w:rsidRPr="00411D9E">
        <w:t xml:space="preserve">No strengths are identified for 2021 (MY 2020) </w:t>
      </w:r>
      <w:r w:rsidRPr="00411D9E">
        <w:rPr>
          <w:bCs/>
        </w:rPr>
        <w:t>Behavioral Health performance measures.</w:t>
      </w:r>
    </w:p>
    <w:p w14:paraId="2B6EF6B1" w14:textId="77777777" w:rsidR="005C3D48" w:rsidRPr="00411D9E" w:rsidRDefault="005C3D48" w:rsidP="005C3D48">
      <w:pPr>
        <w:rPr>
          <w:bCs/>
        </w:rPr>
      </w:pPr>
    </w:p>
    <w:p w14:paraId="5AFAB0A7" w14:textId="77777777" w:rsidR="005C3D48" w:rsidRPr="00411D9E" w:rsidRDefault="005C3D48" w:rsidP="005C3D48">
      <w:pPr>
        <w:rPr>
          <w:bCs/>
        </w:rPr>
      </w:pPr>
      <w:r w:rsidRPr="00411D9E">
        <w:rPr>
          <w:bCs/>
        </w:rPr>
        <w:t xml:space="preserve">No opportunities for improvement are </w:t>
      </w:r>
      <w:r w:rsidRPr="00411D9E">
        <w:t xml:space="preserve">identified for 2021 (MY 2020) </w:t>
      </w:r>
      <w:r w:rsidRPr="00411D9E">
        <w:rPr>
          <w:bCs/>
        </w:rPr>
        <w:t>Behavioral Health performance measures.</w:t>
      </w:r>
      <w:r w:rsidRPr="00411D9E" w:rsidDel="00CA091F">
        <w:t xml:space="preserve"> </w:t>
      </w:r>
    </w:p>
    <w:p w14:paraId="5E57D407" w14:textId="77777777" w:rsidR="005C3D48" w:rsidRPr="00411D9E" w:rsidRDefault="005C3D48" w:rsidP="005C3D48">
      <w:pPr>
        <w:pStyle w:val="tableheading"/>
      </w:pPr>
      <w:bookmarkStart w:id="145" w:name="_Toc70508415"/>
      <w:bookmarkStart w:id="146" w:name="_Toc99026992"/>
      <w:r w:rsidRPr="00411D9E">
        <w:t>Table 2.7: Behavioral Health</w:t>
      </w:r>
      <w:bookmarkEnd w:id="145"/>
      <w:bookmarkEnd w:id="146"/>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55"/>
        <w:gridCol w:w="3019"/>
        <w:gridCol w:w="898"/>
        <w:gridCol w:w="809"/>
        <w:gridCol w:w="898"/>
        <w:gridCol w:w="987"/>
        <w:gridCol w:w="1076"/>
        <w:gridCol w:w="1166"/>
        <w:gridCol w:w="1168"/>
        <w:gridCol w:w="987"/>
        <w:gridCol w:w="987"/>
        <w:gridCol w:w="1540"/>
      </w:tblGrid>
      <w:tr w:rsidR="005C3D48" w:rsidRPr="00411D9E" w14:paraId="33B1612D" w14:textId="77777777" w:rsidTr="0053637F">
        <w:trPr>
          <w:cantSplit/>
          <w:trHeight w:val="60"/>
          <w:tblHeader/>
        </w:trPr>
        <w:tc>
          <w:tcPr>
            <w:tcW w:w="1346" w:type="pct"/>
            <w:gridSpan w:val="2"/>
            <w:shd w:val="clear" w:color="000000" w:fill="5F497A"/>
            <w:vAlign w:val="bottom"/>
            <w:hideMark/>
          </w:tcPr>
          <w:p w14:paraId="6A6DF6D1"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Indicator</w:t>
            </w:r>
          </w:p>
        </w:tc>
        <w:tc>
          <w:tcPr>
            <w:tcW w:w="1622" w:type="pct"/>
            <w:gridSpan w:val="5"/>
            <w:shd w:val="clear" w:color="000000" w:fill="5F497A"/>
            <w:vAlign w:val="bottom"/>
            <w:hideMark/>
          </w:tcPr>
          <w:p w14:paraId="17A2ADCF" w14:textId="5EFA96D5" w:rsidR="005C3D48" w:rsidRPr="00411D9E" w:rsidRDefault="00E45F45"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202</w:t>
            </w:r>
            <w:r>
              <w:rPr>
                <w:rFonts w:ascii="Calibri" w:eastAsia="Times New Roman" w:hAnsi="Calibri" w:cs="Times New Roman"/>
                <w:b/>
                <w:bCs/>
                <w:color w:val="FFFFFF"/>
                <w:sz w:val="20"/>
                <w:szCs w:val="20"/>
                <w:lang w:bidi="ar-SA"/>
              </w:rPr>
              <w:t>1</w:t>
            </w:r>
            <w:r w:rsidRPr="00411D9E">
              <w:rPr>
                <w:rFonts w:ascii="Calibri" w:eastAsia="Times New Roman" w:hAnsi="Calibri" w:cs="Times New Roman"/>
                <w:b/>
                <w:bCs/>
                <w:color w:val="FFFFFF"/>
                <w:sz w:val="20"/>
                <w:szCs w:val="20"/>
                <w:lang w:bidi="ar-SA"/>
              </w:rPr>
              <w:t xml:space="preserve"> </w:t>
            </w:r>
            <w:r w:rsidR="005C3D48" w:rsidRPr="00411D9E">
              <w:rPr>
                <w:rFonts w:ascii="Calibri" w:eastAsia="Times New Roman" w:hAnsi="Calibri" w:cs="Times New Roman"/>
                <w:b/>
                <w:bCs/>
                <w:color w:val="FFFFFF"/>
                <w:sz w:val="20"/>
                <w:szCs w:val="20"/>
                <w:lang w:bidi="ar-SA"/>
              </w:rPr>
              <w:t xml:space="preserve">(MY </w:t>
            </w:r>
            <w:r w:rsidRPr="00411D9E">
              <w:rPr>
                <w:rFonts w:ascii="Calibri" w:eastAsia="Times New Roman" w:hAnsi="Calibri" w:cs="Times New Roman"/>
                <w:b/>
                <w:bCs/>
                <w:color w:val="FFFFFF"/>
                <w:sz w:val="20"/>
                <w:szCs w:val="20"/>
                <w:lang w:bidi="ar-SA"/>
              </w:rPr>
              <w:t>20</w:t>
            </w:r>
            <w:r>
              <w:rPr>
                <w:rFonts w:ascii="Calibri" w:eastAsia="Times New Roman" w:hAnsi="Calibri" w:cs="Times New Roman"/>
                <w:b/>
                <w:bCs/>
                <w:color w:val="FFFFFF"/>
                <w:sz w:val="20"/>
                <w:szCs w:val="20"/>
                <w:lang w:bidi="ar-SA"/>
              </w:rPr>
              <w:t>20</w:t>
            </w:r>
            <w:r w:rsidR="005C3D48" w:rsidRPr="00411D9E">
              <w:rPr>
                <w:rFonts w:ascii="Calibri" w:eastAsia="Times New Roman" w:hAnsi="Calibri" w:cs="Times New Roman"/>
                <w:b/>
                <w:bCs/>
                <w:color w:val="FFFFFF"/>
                <w:sz w:val="20"/>
                <w:szCs w:val="20"/>
                <w:lang w:bidi="ar-SA"/>
              </w:rPr>
              <w:t>)</w:t>
            </w:r>
          </w:p>
        </w:tc>
        <w:tc>
          <w:tcPr>
            <w:tcW w:w="2033" w:type="pct"/>
            <w:gridSpan w:val="5"/>
            <w:shd w:val="clear" w:color="000000" w:fill="5F497A"/>
            <w:vAlign w:val="bottom"/>
            <w:hideMark/>
          </w:tcPr>
          <w:p w14:paraId="56F297AB" w14:textId="09DF86AB" w:rsidR="005C3D48" w:rsidRPr="00411D9E" w:rsidRDefault="005C3D48" w:rsidP="00FF262E">
            <w:pPr>
              <w:jc w:val="center"/>
              <w:rPr>
                <w:rFonts w:ascii="Calibri" w:eastAsia="Times New Roman" w:hAnsi="Calibri" w:cs="Times New Roman"/>
                <w:b/>
                <w:bCs/>
                <w:color w:val="FFFFFF"/>
                <w:sz w:val="20"/>
                <w:szCs w:val="20"/>
                <w:vertAlign w:val="superscript"/>
                <w:lang w:bidi="ar-SA"/>
              </w:rPr>
            </w:pPr>
            <w:r w:rsidRPr="00411D9E">
              <w:rPr>
                <w:rFonts w:ascii="Calibri" w:eastAsia="Times New Roman" w:hAnsi="Calibri" w:cs="Times New Roman"/>
                <w:b/>
                <w:bCs/>
                <w:color w:val="FFFFFF"/>
                <w:sz w:val="20"/>
                <w:szCs w:val="20"/>
                <w:lang w:bidi="ar-SA"/>
              </w:rPr>
              <w:t>Rate Comparison</w:t>
            </w:r>
            <w:r w:rsidR="00FF262E" w:rsidRPr="00411D9E">
              <w:rPr>
                <w:rFonts w:ascii="Calibri" w:eastAsia="Times New Roman" w:hAnsi="Calibri" w:cs="Times New Roman"/>
                <w:b/>
                <w:bCs/>
                <w:color w:val="FFFFFF"/>
                <w:sz w:val="20"/>
                <w:szCs w:val="20"/>
                <w:vertAlign w:val="superscript"/>
                <w:lang w:bidi="ar-SA"/>
              </w:rPr>
              <w:t>1</w:t>
            </w:r>
          </w:p>
        </w:tc>
      </w:tr>
      <w:tr w:rsidR="005C3D48" w:rsidRPr="00411D9E" w14:paraId="769B7909" w14:textId="77777777" w:rsidTr="00FF262E">
        <w:trPr>
          <w:cantSplit/>
          <w:trHeight w:val="144"/>
          <w:tblHeader/>
        </w:trPr>
        <w:tc>
          <w:tcPr>
            <w:tcW w:w="297" w:type="pct"/>
            <w:shd w:val="clear" w:color="000000" w:fill="5F497A"/>
            <w:vAlign w:val="bottom"/>
            <w:hideMark/>
          </w:tcPr>
          <w:p w14:paraId="36E9BDF6"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Source</w:t>
            </w:r>
          </w:p>
        </w:tc>
        <w:tc>
          <w:tcPr>
            <w:tcW w:w="1049" w:type="pct"/>
            <w:shd w:val="clear" w:color="000000" w:fill="5F497A"/>
            <w:vAlign w:val="bottom"/>
            <w:hideMark/>
          </w:tcPr>
          <w:p w14:paraId="40294C33"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Name</w:t>
            </w:r>
          </w:p>
        </w:tc>
        <w:tc>
          <w:tcPr>
            <w:tcW w:w="312" w:type="pct"/>
            <w:shd w:val="clear" w:color="000000" w:fill="5F497A"/>
            <w:vAlign w:val="bottom"/>
            <w:hideMark/>
          </w:tcPr>
          <w:p w14:paraId="0B5D2576" w14:textId="77777777" w:rsidR="005C3D48" w:rsidRPr="00411D9E" w:rsidRDefault="005C3D48" w:rsidP="00FF262E">
            <w:pPr>
              <w:jc w:val="center"/>
              <w:rPr>
                <w:rFonts w:ascii="Calibri" w:eastAsia="Times New Roman" w:hAnsi="Calibri" w:cs="Times New Roman"/>
                <w:b/>
                <w:bCs/>
                <w:color w:val="FFFFFF"/>
                <w:sz w:val="20"/>
                <w:szCs w:val="20"/>
                <w:lang w:bidi="ar-SA"/>
              </w:rPr>
            </w:pPr>
            <w:proofErr w:type="spellStart"/>
            <w:r w:rsidRPr="00411D9E">
              <w:rPr>
                <w:rFonts w:ascii="Calibri" w:eastAsia="Times New Roman" w:hAnsi="Calibri" w:cs="Times New Roman"/>
                <w:b/>
                <w:bCs/>
                <w:color w:val="FFFFFF"/>
                <w:sz w:val="20"/>
                <w:szCs w:val="20"/>
                <w:lang w:bidi="ar-SA"/>
              </w:rPr>
              <w:t>Denom</w:t>
            </w:r>
            <w:proofErr w:type="spellEnd"/>
          </w:p>
        </w:tc>
        <w:tc>
          <w:tcPr>
            <w:tcW w:w="281" w:type="pct"/>
            <w:shd w:val="clear" w:color="000000" w:fill="5F497A"/>
            <w:vAlign w:val="bottom"/>
            <w:hideMark/>
          </w:tcPr>
          <w:p w14:paraId="0F72C6AF"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Num</w:t>
            </w:r>
          </w:p>
        </w:tc>
        <w:tc>
          <w:tcPr>
            <w:tcW w:w="312" w:type="pct"/>
            <w:shd w:val="clear" w:color="000000" w:fill="5F497A"/>
            <w:vAlign w:val="bottom"/>
            <w:hideMark/>
          </w:tcPr>
          <w:p w14:paraId="413CDE7F"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Rate</w:t>
            </w:r>
          </w:p>
        </w:tc>
        <w:tc>
          <w:tcPr>
            <w:tcW w:w="343" w:type="pct"/>
            <w:shd w:val="clear" w:color="000000" w:fill="5F497A"/>
            <w:vAlign w:val="bottom"/>
            <w:hideMark/>
          </w:tcPr>
          <w:p w14:paraId="57308D72"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Lower 95% Confidence Limit</w:t>
            </w:r>
          </w:p>
        </w:tc>
        <w:tc>
          <w:tcPr>
            <w:tcW w:w="374" w:type="pct"/>
            <w:shd w:val="clear" w:color="000000" w:fill="5F497A"/>
            <w:vAlign w:val="bottom"/>
            <w:hideMark/>
          </w:tcPr>
          <w:p w14:paraId="7CAF2A0C"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Upper 95% Confidence Limit</w:t>
            </w:r>
          </w:p>
        </w:tc>
        <w:tc>
          <w:tcPr>
            <w:tcW w:w="405" w:type="pct"/>
            <w:shd w:val="clear" w:color="000000" w:fill="5F497A"/>
            <w:vAlign w:val="bottom"/>
            <w:hideMark/>
          </w:tcPr>
          <w:p w14:paraId="66ED142E"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eastAsia="Times New Roman" w:cstheme="minorHAnsi"/>
                <w:b/>
                <w:bCs/>
                <w:color w:val="FFFFFF"/>
                <w:sz w:val="20"/>
                <w:szCs w:val="20"/>
                <w:lang w:bidi="ar-SA"/>
              </w:rPr>
              <w:t>2020 (MY 2019) Rate</w:t>
            </w:r>
          </w:p>
        </w:tc>
        <w:tc>
          <w:tcPr>
            <w:tcW w:w="406" w:type="pct"/>
            <w:shd w:val="clear" w:color="000000" w:fill="5F497A"/>
            <w:vAlign w:val="bottom"/>
            <w:hideMark/>
          </w:tcPr>
          <w:p w14:paraId="302C1270"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eastAsia="Times New Roman" w:cstheme="minorHAnsi"/>
                <w:b/>
                <w:bCs/>
                <w:color w:val="FFFFFF"/>
                <w:sz w:val="20"/>
                <w:szCs w:val="20"/>
                <w:lang w:bidi="ar-SA"/>
              </w:rPr>
              <w:t>2021 Rate Compared to 2020</w:t>
            </w:r>
          </w:p>
        </w:tc>
        <w:tc>
          <w:tcPr>
            <w:tcW w:w="343" w:type="pct"/>
            <w:shd w:val="clear" w:color="000000" w:fill="5F497A"/>
            <w:vAlign w:val="bottom"/>
            <w:hideMark/>
          </w:tcPr>
          <w:p w14:paraId="25CC117B"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eastAsia="Times New Roman" w:cstheme="minorHAnsi"/>
                <w:b/>
                <w:bCs/>
                <w:color w:val="FFFFFF"/>
                <w:sz w:val="20"/>
                <w:szCs w:val="20"/>
                <w:lang w:bidi="ar-SA"/>
              </w:rPr>
              <w:t>MMC</w:t>
            </w:r>
          </w:p>
        </w:tc>
        <w:tc>
          <w:tcPr>
            <w:tcW w:w="343" w:type="pct"/>
            <w:shd w:val="clear" w:color="000000" w:fill="5F497A"/>
            <w:vAlign w:val="bottom"/>
            <w:hideMark/>
          </w:tcPr>
          <w:p w14:paraId="20C75767"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eastAsia="Times New Roman" w:cstheme="minorHAnsi"/>
                <w:b/>
                <w:bCs/>
                <w:color w:val="FFFFFF"/>
                <w:sz w:val="20"/>
                <w:szCs w:val="20"/>
                <w:lang w:bidi="ar-SA"/>
              </w:rPr>
              <w:t>2021 Rate Compared to MMC</w:t>
            </w:r>
          </w:p>
        </w:tc>
        <w:tc>
          <w:tcPr>
            <w:tcW w:w="535" w:type="pct"/>
            <w:shd w:val="clear" w:color="000000" w:fill="5F497A"/>
            <w:vAlign w:val="bottom"/>
            <w:hideMark/>
          </w:tcPr>
          <w:p w14:paraId="1A70DB58"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eastAsia="Times New Roman" w:cstheme="minorHAnsi"/>
                <w:b/>
                <w:bCs/>
                <w:color w:val="FFFFFF"/>
                <w:sz w:val="20"/>
                <w:szCs w:val="20"/>
              </w:rPr>
              <w:t>HEDIS 2021 Percentile</w:t>
            </w:r>
          </w:p>
        </w:tc>
      </w:tr>
      <w:tr w:rsidR="005C3D48" w:rsidRPr="00411D9E" w14:paraId="3F88EC99" w14:textId="77777777" w:rsidTr="00FF262E">
        <w:trPr>
          <w:cantSplit/>
          <w:trHeight w:val="144"/>
        </w:trPr>
        <w:tc>
          <w:tcPr>
            <w:tcW w:w="297" w:type="pct"/>
            <w:shd w:val="clear" w:color="auto" w:fill="FFFFFF" w:themeFill="background1"/>
            <w:vAlign w:val="center"/>
            <w:hideMark/>
          </w:tcPr>
          <w:p w14:paraId="457F45B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3EA1F8E9"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Antipsychotics—Blood Glucose (1—11 years)</w:t>
            </w:r>
          </w:p>
        </w:tc>
        <w:tc>
          <w:tcPr>
            <w:tcW w:w="312" w:type="pct"/>
            <w:shd w:val="clear" w:color="auto" w:fill="auto"/>
            <w:vAlign w:val="center"/>
          </w:tcPr>
          <w:p w14:paraId="66D6D96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281" w:type="pct"/>
            <w:shd w:val="clear" w:color="auto" w:fill="auto"/>
            <w:vAlign w:val="center"/>
          </w:tcPr>
          <w:p w14:paraId="5B5F780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2" w:type="pct"/>
            <w:shd w:val="clear" w:color="auto" w:fill="auto"/>
            <w:vAlign w:val="center"/>
          </w:tcPr>
          <w:p w14:paraId="788C40B6" w14:textId="28016716"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379B91B6" w14:textId="1F9359B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6631B5E0" w14:textId="7BFAC3E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1C1B4C83" w14:textId="6A8AD970"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5E52F3E9" w14:textId="6E80014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2F6425EF" w14:textId="1A35F56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30101811" w14:textId="5EFE1A4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747820A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5B9D2E65" w14:textId="77777777" w:rsidTr="00FF262E">
        <w:trPr>
          <w:cantSplit/>
          <w:trHeight w:val="144"/>
        </w:trPr>
        <w:tc>
          <w:tcPr>
            <w:tcW w:w="297" w:type="pct"/>
            <w:shd w:val="clear" w:color="auto" w:fill="FFFFFF" w:themeFill="background1"/>
            <w:vAlign w:val="center"/>
            <w:hideMark/>
          </w:tcPr>
          <w:p w14:paraId="02E98C4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54B6C8A5"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Antipsychotics—Blood Glucose (12—17 years)</w:t>
            </w:r>
          </w:p>
        </w:tc>
        <w:tc>
          <w:tcPr>
            <w:tcW w:w="312" w:type="pct"/>
            <w:shd w:val="clear" w:color="auto" w:fill="auto"/>
            <w:vAlign w:val="center"/>
          </w:tcPr>
          <w:p w14:paraId="033C47C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w:t>
            </w:r>
          </w:p>
        </w:tc>
        <w:tc>
          <w:tcPr>
            <w:tcW w:w="281" w:type="pct"/>
            <w:shd w:val="clear" w:color="auto" w:fill="auto"/>
            <w:vAlign w:val="center"/>
          </w:tcPr>
          <w:p w14:paraId="3A9A3B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w:t>
            </w:r>
          </w:p>
        </w:tc>
        <w:tc>
          <w:tcPr>
            <w:tcW w:w="312" w:type="pct"/>
            <w:shd w:val="clear" w:color="auto" w:fill="auto"/>
            <w:vAlign w:val="center"/>
          </w:tcPr>
          <w:p w14:paraId="49EECBB6" w14:textId="18A75CEB"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6909DA62" w14:textId="2B367FD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3A0BD691" w14:textId="3F6AF85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733340E7" w14:textId="3B5A16D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104DE205" w14:textId="14A42FE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16E496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53.7%</w:t>
            </w:r>
          </w:p>
        </w:tc>
        <w:tc>
          <w:tcPr>
            <w:tcW w:w="343" w:type="pct"/>
            <w:shd w:val="clear" w:color="auto" w:fill="auto"/>
            <w:vAlign w:val="center"/>
          </w:tcPr>
          <w:p w14:paraId="5A663866" w14:textId="0E72AA2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1E8E7E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037960BF" w14:textId="77777777" w:rsidTr="00FF262E">
        <w:trPr>
          <w:cantSplit/>
          <w:trHeight w:val="144"/>
        </w:trPr>
        <w:tc>
          <w:tcPr>
            <w:tcW w:w="297" w:type="pct"/>
            <w:shd w:val="clear" w:color="auto" w:fill="FFFFFF" w:themeFill="background1"/>
            <w:vAlign w:val="center"/>
            <w:hideMark/>
          </w:tcPr>
          <w:p w14:paraId="3809CA3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6A9F3435"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Antipsychotics—Blood Glucose (Total)</w:t>
            </w:r>
          </w:p>
        </w:tc>
        <w:tc>
          <w:tcPr>
            <w:tcW w:w="312" w:type="pct"/>
            <w:shd w:val="clear" w:color="auto" w:fill="auto"/>
            <w:vAlign w:val="center"/>
          </w:tcPr>
          <w:p w14:paraId="78A2D7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w:t>
            </w:r>
          </w:p>
        </w:tc>
        <w:tc>
          <w:tcPr>
            <w:tcW w:w="281" w:type="pct"/>
            <w:shd w:val="clear" w:color="auto" w:fill="auto"/>
            <w:vAlign w:val="center"/>
          </w:tcPr>
          <w:p w14:paraId="1A22F85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w:t>
            </w:r>
          </w:p>
        </w:tc>
        <w:tc>
          <w:tcPr>
            <w:tcW w:w="312" w:type="pct"/>
            <w:shd w:val="clear" w:color="auto" w:fill="auto"/>
            <w:vAlign w:val="center"/>
          </w:tcPr>
          <w:p w14:paraId="4A9DA055"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51.6%</w:t>
            </w:r>
          </w:p>
        </w:tc>
        <w:tc>
          <w:tcPr>
            <w:tcW w:w="343" w:type="pct"/>
            <w:shd w:val="clear" w:color="auto" w:fill="auto"/>
            <w:vAlign w:val="center"/>
          </w:tcPr>
          <w:p w14:paraId="1C1CB35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32.4%</w:t>
            </w:r>
          </w:p>
        </w:tc>
        <w:tc>
          <w:tcPr>
            <w:tcW w:w="374" w:type="pct"/>
            <w:shd w:val="clear" w:color="auto" w:fill="auto"/>
            <w:vAlign w:val="center"/>
          </w:tcPr>
          <w:p w14:paraId="1419285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70.8%</w:t>
            </w:r>
          </w:p>
        </w:tc>
        <w:tc>
          <w:tcPr>
            <w:tcW w:w="405" w:type="pct"/>
            <w:shd w:val="clear" w:color="auto" w:fill="auto"/>
            <w:vAlign w:val="center"/>
          </w:tcPr>
          <w:p w14:paraId="242D3E44" w14:textId="6466D3B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76BA7411"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6A03A74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57.4%</w:t>
            </w:r>
          </w:p>
        </w:tc>
        <w:tc>
          <w:tcPr>
            <w:tcW w:w="343" w:type="pct"/>
            <w:shd w:val="clear" w:color="auto" w:fill="auto"/>
            <w:vAlign w:val="center"/>
          </w:tcPr>
          <w:p w14:paraId="29367AB6"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5" w:type="pct"/>
            <w:shd w:val="clear" w:color="auto" w:fill="auto"/>
            <w:vAlign w:val="center"/>
          </w:tcPr>
          <w:p w14:paraId="2A0E590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2BFF0C98" w14:textId="77777777" w:rsidTr="00FF262E">
        <w:trPr>
          <w:cantSplit/>
          <w:trHeight w:val="144"/>
        </w:trPr>
        <w:tc>
          <w:tcPr>
            <w:tcW w:w="297" w:type="pct"/>
            <w:shd w:val="clear" w:color="auto" w:fill="FFFFFF" w:themeFill="background1"/>
            <w:vAlign w:val="center"/>
            <w:hideMark/>
          </w:tcPr>
          <w:p w14:paraId="628129A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102789DE"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 Cholesterol (1—11 years)</w:t>
            </w:r>
          </w:p>
        </w:tc>
        <w:tc>
          <w:tcPr>
            <w:tcW w:w="312" w:type="pct"/>
            <w:shd w:val="clear" w:color="auto" w:fill="auto"/>
            <w:vAlign w:val="center"/>
          </w:tcPr>
          <w:p w14:paraId="57E0C4D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281" w:type="pct"/>
            <w:shd w:val="clear" w:color="auto" w:fill="auto"/>
            <w:vAlign w:val="center"/>
          </w:tcPr>
          <w:p w14:paraId="64EC58F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2" w:type="pct"/>
            <w:shd w:val="clear" w:color="auto" w:fill="auto"/>
            <w:vAlign w:val="center"/>
          </w:tcPr>
          <w:p w14:paraId="5A1E45BC" w14:textId="1BB5D617"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5666321C" w14:textId="7FD2797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299D3CD5" w14:textId="23A3EE5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103376FF" w14:textId="40FEBD0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2168D048" w14:textId="0B6A117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4D0B241C" w14:textId="091A3FD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3F752ABA" w14:textId="5A112E7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0CF4F24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1F6D8354" w14:textId="77777777" w:rsidTr="00FF262E">
        <w:trPr>
          <w:cantSplit/>
          <w:trHeight w:val="144"/>
        </w:trPr>
        <w:tc>
          <w:tcPr>
            <w:tcW w:w="297" w:type="pct"/>
            <w:shd w:val="clear" w:color="auto" w:fill="FFFFFF" w:themeFill="background1"/>
            <w:vAlign w:val="center"/>
            <w:hideMark/>
          </w:tcPr>
          <w:p w14:paraId="729300A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49" w:type="pct"/>
            <w:shd w:val="clear" w:color="auto" w:fill="FFFFFF" w:themeFill="background1"/>
            <w:vAlign w:val="center"/>
            <w:hideMark/>
          </w:tcPr>
          <w:p w14:paraId="0C8CF3EB"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 Cholesterol (12—17 years)</w:t>
            </w:r>
          </w:p>
        </w:tc>
        <w:tc>
          <w:tcPr>
            <w:tcW w:w="312" w:type="pct"/>
            <w:shd w:val="clear" w:color="auto" w:fill="auto"/>
            <w:vAlign w:val="center"/>
          </w:tcPr>
          <w:p w14:paraId="16762B8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w:t>
            </w:r>
          </w:p>
        </w:tc>
        <w:tc>
          <w:tcPr>
            <w:tcW w:w="281" w:type="pct"/>
            <w:shd w:val="clear" w:color="auto" w:fill="auto"/>
            <w:vAlign w:val="center"/>
          </w:tcPr>
          <w:p w14:paraId="4E71AE5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w:t>
            </w:r>
          </w:p>
        </w:tc>
        <w:tc>
          <w:tcPr>
            <w:tcW w:w="312" w:type="pct"/>
            <w:shd w:val="clear" w:color="auto" w:fill="auto"/>
            <w:vAlign w:val="center"/>
          </w:tcPr>
          <w:p w14:paraId="7A3B266F" w14:textId="50904426"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4A3E6BCE" w14:textId="2F933EE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57BAA4DC" w14:textId="6135E84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2E5382C2" w14:textId="223C1E8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54CC2976" w14:textId="217134A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375F7D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24.1%</w:t>
            </w:r>
          </w:p>
        </w:tc>
        <w:tc>
          <w:tcPr>
            <w:tcW w:w="343" w:type="pct"/>
            <w:shd w:val="clear" w:color="auto" w:fill="auto"/>
            <w:vAlign w:val="center"/>
          </w:tcPr>
          <w:p w14:paraId="6564CEE1" w14:textId="1776BC5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67616BB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0E2A0299" w14:textId="77777777" w:rsidTr="00FF262E">
        <w:trPr>
          <w:cantSplit/>
          <w:trHeight w:val="144"/>
        </w:trPr>
        <w:tc>
          <w:tcPr>
            <w:tcW w:w="297" w:type="pct"/>
            <w:shd w:val="clear" w:color="auto" w:fill="FFFFFF" w:themeFill="background1"/>
            <w:vAlign w:val="center"/>
            <w:hideMark/>
          </w:tcPr>
          <w:p w14:paraId="4753E41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78611CA4"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 — Cholesterol (Total)</w:t>
            </w:r>
          </w:p>
        </w:tc>
        <w:tc>
          <w:tcPr>
            <w:tcW w:w="312" w:type="pct"/>
            <w:shd w:val="clear" w:color="auto" w:fill="auto"/>
            <w:vAlign w:val="center"/>
          </w:tcPr>
          <w:p w14:paraId="4094AFD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w:t>
            </w:r>
          </w:p>
        </w:tc>
        <w:tc>
          <w:tcPr>
            <w:tcW w:w="281" w:type="pct"/>
            <w:shd w:val="clear" w:color="auto" w:fill="auto"/>
            <w:vAlign w:val="center"/>
          </w:tcPr>
          <w:p w14:paraId="2329E90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w:t>
            </w:r>
          </w:p>
        </w:tc>
        <w:tc>
          <w:tcPr>
            <w:tcW w:w="312" w:type="pct"/>
            <w:shd w:val="clear" w:color="auto" w:fill="auto"/>
            <w:vAlign w:val="center"/>
          </w:tcPr>
          <w:p w14:paraId="19DD6DF0"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29.0%</w:t>
            </w:r>
          </w:p>
        </w:tc>
        <w:tc>
          <w:tcPr>
            <w:tcW w:w="343" w:type="pct"/>
            <w:shd w:val="clear" w:color="auto" w:fill="auto"/>
            <w:vAlign w:val="center"/>
          </w:tcPr>
          <w:p w14:paraId="5ECF531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11.4%</w:t>
            </w:r>
          </w:p>
        </w:tc>
        <w:tc>
          <w:tcPr>
            <w:tcW w:w="374" w:type="pct"/>
            <w:shd w:val="clear" w:color="auto" w:fill="auto"/>
            <w:vAlign w:val="center"/>
          </w:tcPr>
          <w:p w14:paraId="52B3C7C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46.6%</w:t>
            </w:r>
          </w:p>
        </w:tc>
        <w:tc>
          <w:tcPr>
            <w:tcW w:w="405" w:type="pct"/>
            <w:shd w:val="clear" w:color="auto" w:fill="auto"/>
            <w:vAlign w:val="center"/>
          </w:tcPr>
          <w:p w14:paraId="560464D3" w14:textId="252E6F3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019CE7B2"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7B71407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34.9%</w:t>
            </w:r>
          </w:p>
        </w:tc>
        <w:tc>
          <w:tcPr>
            <w:tcW w:w="343" w:type="pct"/>
            <w:shd w:val="clear" w:color="auto" w:fill="auto"/>
            <w:vAlign w:val="center"/>
          </w:tcPr>
          <w:p w14:paraId="42C4481E"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5" w:type="pct"/>
            <w:shd w:val="clear" w:color="auto" w:fill="auto"/>
            <w:vAlign w:val="center"/>
          </w:tcPr>
          <w:p w14:paraId="7F0F6F3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6DBF8F9B" w14:textId="77777777" w:rsidTr="00FF262E">
        <w:trPr>
          <w:cantSplit/>
          <w:trHeight w:val="144"/>
        </w:trPr>
        <w:tc>
          <w:tcPr>
            <w:tcW w:w="297" w:type="pct"/>
            <w:shd w:val="clear" w:color="auto" w:fill="FFFFFF" w:themeFill="background1"/>
            <w:vAlign w:val="center"/>
            <w:hideMark/>
          </w:tcPr>
          <w:p w14:paraId="7CB25FD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621417D8"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 Blood Glucose &amp; Cholesterol (1—11 years)</w:t>
            </w:r>
          </w:p>
        </w:tc>
        <w:tc>
          <w:tcPr>
            <w:tcW w:w="312" w:type="pct"/>
            <w:shd w:val="clear" w:color="auto" w:fill="auto"/>
            <w:vAlign w:val="center"/>
          </w:tcPr>
          <w:p w14:paraId="37E397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281" w:type="pct"/>
            <w:shd w:val="clear" w:color="auto" w:fill="auto"/>
            <w:vAlign w:val="center"/>
          </w:tcPr>
          <w:p w14:paraId="3143879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2" w:type="pct"/>
            <w:shd w:val="clear" w:color="auto" w:fill="auto"/>
            <w:vAlign w:val="center"/>
          </w:tcPr>
          <w:p w14:paraId="06B65A58" w14:textId="68F389DB"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1CB4A050" w14:textId="31BD992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5876D555" w14:textId="60C6469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61E30787" w14:textId="349AFEB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5DA4A43A" w14:textId="47A28B1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103D2B47" w14:textId="6CC61DF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15B1ECFB" w14:textId="0F6863C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65DD16C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75th and &lt; 90th percentile </w:t>
            </w:r>
          </w:p>
        </w:tc>
      </w:tr>
      <w:tr w:rsidR="005C3D48" w:rsidRPr="00411D9E" w14:paraId="058C04B2" w14:textId="77777777" w:rsidTr="00FF262E">
        <w:trPr>
          <w:cantSplit/>
          <w:trHeight w:val="144"/>
        </w:trPr>
        <w:tc>
          <w:tcPr>
            <w:tcW w:w="297" w:type="pct"/>
            <w:shd w:val="clear" w:color="auto" w:fill="FFFFFF" w:themeFill="background1"/>
            <w:vAlign w:val="center"/>
            <w:hideMark/>
          </w:tcPr>
          <w:p w14:paraId="68F519C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1DEBCE47"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 - Blood Glucose &amp; Cholesterol (12-17 Years)</w:t>
            </w:r>
          </w:p>
        </w:tc>
        <w:tc>
          <w:tcPr>
            <w:tcW w:w="312" w:type="pct"/>
            <w:shd w:val="clear" w:color="auto" w:fill="auto"/>
            <w:vAlign w:val="center"/>
          </w:tcPr>
          <w:p w14:paraId="7A55367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w:t>
            </w:r>
          </w:p>
        </w:tc>
        <w:tc>
          <w:tcPr>
            <w:tcW w:w="281" w:type="pct"/>
            <w:shd w:val="clear" w:color="auto" w:fill="auto"/>
            <w:vAlign w:val="center"/>
          </w:tcPr>
          <w:p w14:paraId="321811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2" w:type="pct"/>
            <w:shd w:val="clear" w:color="auto" w:fill="auto"/>
            <w:vAlign w:val="center"/>
          </w:tcPr>
          <w:p w14:paraId="6070E9AD" w14:textId="5EC99D92"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66C16EC2" w14:textId="08CDE73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25C2EB4F" w14:textId="3735CE6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41C9FF9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42.9%</w:t>
            </w:r>
          </w:p>
        </w:tc>
        <w:tc>
          <w:tcPr>
            <w:tcW w:w="406" w:type="pct"/>
            <w:shd w:val="clear" w:color="auto" w:fill="auto"/>
            <w:vAlign w:val="center"/>
          </w:tcPr>
          <w:p w14:paraId="7D5EAE59" w14:textId="6F1FCF4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345387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22.2%</w:t>
            </w:r>
          </w:p>
        </w:tc>
        <w:tc>
          <w:tcPr>
            <w:tcW w:w="343" w:type="pct"/>
            <w:shd w:val="clear" w:color="auto" w:fill="auto"/>
            <w:vAlign w:val="center"/>
          </w:tcPr>
          <w:p w14:paraId="03829E1C" w14:textId="088FA8D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44F852C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10th and &lt; 25th percentile </w:t>
            </w:r>
          </w:p>
        </w:tc>
      </w:tr>
      <w:tr w:rsidR="005C3D48" w:rsidRPr="00411D9E" w14:paraId="20B2BFB0" w14:textId="77777777" w:rsidTr="00FF262E">
        <w:trPr>
          <w:cantSplit/>
          <w:trHeight w:val="144"/>
        </w:trPr>
        <w:tc>
          <w:tcPr>
            <w:tcW w:w="297" w:type="pct"/>
            <w:shd w:val="clear" w:color="auto" w:fill="FFFFFF" w:themeFill="background1"/>
            <w:vAlign w:val="center"/>
            <w:hideMark/>
          </w:tcPr>
          <w:p w14:paraId="679CCBD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0544291C"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Metabolic Monitoring for Children and Adolescents on Antipsychotics—Blood Glucose &amp; Cholesterol (Total)</w:t>
            </w:r>
          </w:p>
        </w:tc>
        <w:tc>
          <w:tcPr>
            <w:tcW w:w="312" w:type="pct"/>
            <w:shd w:val="clear" w:color="auto" w:fill="auto"/>
            <w:vAlign w:val="center"/>
          </w:tcPr>
          <w:p w14:paraId="22E9C74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w:t>
            </w:r>
          </w:p>
        </w:tc>
        <w:tc>
          <w:tcPr>
            <w:tcW w:w="281" w:type="pct"/>
            <w:shd w:val="clear" w:color="auto" w:fill="auto"/>
            <w:vAlign w:val="center"/>
          </w:tcPr>
          <w:p w14:paraId="7D8EB9C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w:t>
            </w:r>
          </w:p>
        </w:tc>
        <w:tc>
          <w:tcPr>
            <w:tcW w:w="312" w:type="pct"/>
            <w:shd w:val="clear" w:color="auto" w:fill="auto"/>
            <w:vAlign w:val="center"/>
          </w:tcPr>
          <w:p w14:paraId="677A9A2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25.8%</w:t>
            </w:r>
          </w:p>
        </w:tc>
        <w:tc>
          <w:tcPr>
            <w:tcW w:w="343" w:type="pct"/>
            <w:shd w:val="clear" w:color="auto" w:fill="auto"/>
            <w:vAlign w:val="center"/>
          </w:tcPr>
          <w:p w14:paraId="6577C7B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8.8%</w:t>
            </w:r>
          </w:p>
        </w:tc>
        <w:tc>
          <w:tcPr>
            <w:tcW w:w="374" w:type="pct"/>
            <w:shd w:val="clear" w:color="auto" w:fill="auto"/>
            <w:vAlign w:val="center"/>
          </w:tcPr>
          <w:p w14:paraId="3F35AE9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42.8%</w:t>
            </w:r>
          </w:p>
        </w:tc>
        <w:tc>
          <w:tcPr>
            <w:tcW w:w="405" w:type="pct"/>
            <w:shd w:val="clear" w:color="auto" w:fill="auto"/>
            <w:vAlign w:val="center"/>
          </w:tcPr>
          <w:p w14:paraId="0978B5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39.3%</w:t>
            </w:r>
          </w:p>
        </w:tc>
        <w:tc>
          <w:tcPr>
            <w:tcW w:w="406" w:type="pct"/>
            <w:shd w:val="clear" w:color="auto" w:fill="auto"/>
            <w:vAlign w:val="center"/>
          </w:tcPr>
          <w:p w14:paraId="76E6EB81"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auto"/>
            <w:vAlign w:val="center"/>
          </w:tcPr>
          <w:p w14:paraId="13E5A17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31.8%</w:t>
            </w:r>
          </w:p>
        </w:tc>
        <w:tc>
          <w:tcPr>
            <w:tcW w:w="343" w:type="pct"/>
            <w:shd w:val="clear" w:color="auto" w:fill="auto"/>
            <w:vAlign w:val="center"/>
          </w:tcPr>
          <w:p w14:paraId="6B70E1FE"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535" w:type="pct"/>
            <w:shd w:val="clear" w:color="auto" w:fill="auto"/>
            <w:vAlign w:val="center"/>
          </w:tcPr>
          <w:p w14:paraId="649AC63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25th and &lt; 50th percentile </w:t>
            </w:r>
          </w:p>
        </w:tc>
      </w:tr>
      <w:tr w:rsidR="005C3D48" w:rsidRPr="00411D9E" w14:paraId="4A9288F6" w14:textId="77777777" w:rsidTr="00FF262E">
        <w:trPr>
          <w:cantSplit/>
          <w:trHeight w:val="144"/>
        </w:trPr>
        <w:tc>
          <w:tcPr>
            <w:tcW w:w="297" w:type="pct"/>
            <w:shd w:val="clear" w:color="auto" w:fill="FFFFFF" w:themeFill="background1"/>
            <w:vAlign w:val="center"/>
            <w:hideMark/>
          </w:tcPr>
          <w:p w14:paraId="0470940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6DEAFF18"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Use of First-Line Psychosocial Care for Children and Adolescents on Antipsychotics (1—11 years)</w:t>
            </w:r>
          </w:p>
        </w:tc>
        <w:tc>
          <w:tcPr>
            <w:tcW w:w="312" w:type="pct"/>
            <w:shd w:val="clear" w:color="auto" w:fill="auto"/>
            <w:vAlign w:val="center"/>
          </w:tcPr>
          <w:p w14:paraId="6B492AE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281" w:type="pct"/>
            <w:shd w:val="clear" w:color="auto" w:fill="auto"/>
            <w:vAlign w:val="center"/>
          </w:tcPr>
          <w:p w14:paraId="71001BC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w:t>
            </w:r>
          </w:p>
        </w:tc>
        <w:tc>
          <w:tcPr>
            <w:tcW w:w="312" w:type="pct"/>
            <w:shd w:val="clear" w:color="auto" w:fill="auto"/>
            <w:vAlign w:val="center"/>
          </w:tcPr>
          <w:p w14:paraId="2C35F011" w14:textId="58EF690F"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2C478921" w14:textId="17BD1A9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4F647F5E" w14:textId="5536000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5D7724D2" w14:textId="730BF96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3ECC66CE" w14:textId="2DD8909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4290B07F" w14:textId="28897D6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43CFD2CD" w14:textId="49878B6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16D6D41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50th and &lt; 75th percentile </w:t>
            </w:r>
          </w:p>
        </w:tc>
      </w:tr>
      <w:tr w:rsidR="005C3D48" w:rsidRPr="00411D9E" w14:paraId="5CA6ECB8" w14:textId="77777777" w:rsidTr="00FF262E">
        <w:trPr>
          <w:cantSplit/>
          <w:trHeight w:val="144"/>
        </w:trPr>
        <w:tc>
          <w:tcPr>
            <w:tcW w:w="297" w:type="pct"/>
            <w:shd w:val="clear" w:color="auto" w:fill="FFFFFF" w:themeFill="background1"/>
            <w:vAlign w:val="center"/>
            <w:hideMark/>
          </w:tcPr>
          <w:p w14:paraId="729D17B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0FA392DD"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Use of First-Line Psychosocial Care for Children and Adolescents on Antipsychotics (12—17 years)</w:t>
            </w:r>
          </w:p>
        </w:tc>
        <w:tc>
          <w:tcPr>
            <w:tcW w:w="312" w:type="pct"/>
            <w:shd w:val="clear" w:color="auto" w:fill="auto"/>
            <w:vAlign w:val="center"/>
          </w:tcPr>
          <w:p w14:paraId="1145D19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19</w:t>
            </w:r>
          </w:p>
        </w:tc>
        <w:tc>
          <w:tcPr>
            <w:tcW w:w="281" w:type="pct"/>
            <w:shd w:val="clear" w:color="auto" w:fill="auto"/>
            <w:vAlign w:val="center"/>
          </w:tcPr>
          <w:p w14:paraId="3E85AB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w:t>
            </w:r>
          </w:p>
        </w:tc>
        <w:tc>
          <w:tcPr>
            <w:tcW w:w="312" w:type="pct"/>
            <w:shd w:val="clear" w:color="auto" w:fill="auto"/>
            <w:vAlign w:val="center"/>
          </w:tcPr>
          <w:p w14:paraId="2901CEDA" w14:textId="0EE3ED2E"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456942D5" w14:textId="245148D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7235C3B6" w14:textId="1125BCE5"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13A21142" w14:textId="0F13E135"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4B7CD96F" w14:textId="64405A0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0FAE439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71.7%</w:t>
            </w:r>
          </w:p>
        </w:tc>
        <w:tc>
          <w:tcPr>
            <w:tcW w:w="343" w:type="pct"/>
            <w:shd w:val="clear" w:color="auto" w:fill="auto"/>
            <w:vAlign w:val="center"/>
          </w:tcPr>
          <w:p w14:paraId="2B644157" w14:textId="6CA413B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402B6A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10th and &lt; 25th percentile </w:t>
            </w:r>
          </w:p>
        </w:tc>
      </w:tr>
      <w:tr w:rsidR="005C3D48" w:rsidRPr="00411D9E" w14:paraId="6210A7B7" w14:textId="77777777" w:rsidTr="00FF262E">
        <w:trPr>
          <w:cantSplit/>
          <w:trHeight w:val="144"/>
        </w:trPr>
        <w:tc>
          <w:tcPr>
            <w:tcW w:w="297" w:type="pct"/>
            <w:shd w:val="clear" w:color="auto" w:fill="FFFFFF" w:themeFill="background1"/>
            <w:vAlign w:val="center"/>
            <w:hideMark/>
          </w:tcPr>
          <w:p w14:paraId="0AD4323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49" w:type="pct"/>
            <w:shd w:val="clear" w:color="auto" w:fill="FFFFFF" w:themeFill="background1"/>
            <w:vAlign w:val="center"/>
            <w:hideMark/>
          </w:tcPr>
          <w:p w14:paraId="0996A2D3" w14:textId="77777777" w:rsidR="005C3D48" w:rsidRPr="00411D9E" w:rsidRDefault="005C3D48" w:rsidP="00FF262E">
            <w:pPr>
              <w:ind w:left="44"/>
              <w:jc w:val="left"/>
              <w:rPr>
                <w:rFonts w:eastAsia="Times New Roman" w:cstheme="minorHAnsi"/>
                <w:sz w:val="20"/>
                <w:szCs w:val="20"/>
                <w:lang w:bidi="ar-SA"/>
              </w:rPr>
            </w:pPr>
            <w:r w:rsidRPr="00411D9E">
              <w:rPr>
                <w:rFonts w:eastAsia="Times New Roman" w:cstheme="minorHAnsi"/>
                <w:sz w:val="20"/>
                <w:szCs w:val="20"/>
                <w:lang w:bidi="ar-SA"/>
              </w:rPr>
              <w:t>Use of First-Line Psychosocial Care for Children and Adolescents on Antipsychotics (Total)</w:t>
            </w:r>
          </w:p>
        </w:tc>
        <w:tc>
          <w:tcPr>
            <w:tcW w:w="312" w:type="pct"/>
            <w:shd w:val="clear" w:color="auto" w:fill="auto"/>
            <w:vAlign w:val="center"/>
          </w:tcPr>
          <w:p w14:paraId="72F1396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w:t>
            </w:r>
          </w:p>
        </w:tc>
        <w:tc>
          <w:tcPr>
            <w:tcW w:w="281" w:type="pct"/>
            <w:shd w:val="clear" w:color="auto" w:fill="auto"/>
            <w:vAlign w:val="center"/>
          </w:tcPr>
          <w:p w14:paraId="2B3388C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312" w:type="pct"/>
            <w:shd w:val="clear" w:color="auto" w:fill="auto"/>
            <w:vAlign w:val="center"/>
          </w:tcPr>
          <w:p w14:paraId="7312C681" w14:textId="2E85C922" w:rsidR="005C3D48" w:rsidRPr="00411D9E" w:rsidRDefault="00A460D7" w:rsidP="00FF262E">
            <w:pPr>
              <w:jc w:val="center"/>
              <w:rPr>
                <w:rFonts w:eastAsia="Times New Roman" w:cstheme="minorHAnsi"/>
                <w:b/>
                <w:bCs/>
                <w:sz w:val="20"/>
                <w:szCs w:val="20"/>
                <w:lang w:bidi="ar-SA"/>
              </w:rPr>
            </w:pPr>
            <w:r w:rsidRPr="00411D9E">
              <w:rPr>
                <w:rFonts w:cstheme="minorHAnsi"/>
                <w:b/>
                <w:bCs/>
                <w:sz w:val="20"/>
                <w:szCs w:val="20"/>
              </w:rPr>
              <w:t>N/A</w:t>
            </w:r>
          </w:p>
        </w:tc>
        <w:tc>
          <w:tcPr>
            <w:tcW w:w="343" w:type="pct"/>
            <w:shd w:val="clear" w:color="auto" w:fill="auto"/>
            <w:vAlign w:val="center"/>
          </w:tcPr>
          <w:p w14:paraId="32563402" w14:textId="5A06D1B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4" w:type="pct"/>
            <w:shd w:val="clear" w:color="auto" w:fill="auto"/>
            <w:vAlign w:val="center"/>
          </w:tcPr>
          <w:p w14:paraId="3015EEFE" w14:textId="39E2B09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auto" w:fill="auto"/>
            <w:vAlign w:val="center"/>
          </w:tcPr>
          <w:p w14:paraId="547E5DF0" w14:textId="58B4501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6" w:type="pct"/>
            <w:shd w:val="clear" w:color="auto" w:fill="auto"/>
            <w:vAlign w:val="center"/>
          </w:tcPr>
          <w:p w14:paraId="0EE6ADF6" w14:textId="72F3285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auto"/>
            <w:vAlign w:val="center"/>
          </w:tcPr>
          <w:p w14:paraId="42AC6DD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67.3%</w:t>
            </w:r>
          </w:p>
        </w:tc>
        <w:tc>
          <w:tcPr>
            <w:tcW w:w="343" w:type="pct"/>
            <w:shd w:val="clear" w:color="auto" w:fill="auto"/>
            <w:vAlign w:val="center"/>
          </w:tcPr>
          <w:p w14:paraId="6BFDAE49" w14:textId="67B2914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535" w:type="pct"/>
            <w:shd w:val="clear" w:color="auto" w:fill="auto"/>
            <w:vAlign w:val="center"/>
          </w:tcPr>
          <w:p w14:paraId="7E140B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25th and &lt; 50th percentile </w:t>
            </w:r>
          </w:p>
        </w:tc>
      </w:tr>
    </w:tbl>
    <w:p w14:paraId="50C6E097" w14:textId="77777777" w:rsidR="0053637F" w:rsidRPr="00411D9E" w:rsidRDefault="0053637F" w:rsidP="0053637F">
      <w:pPr>
        <w:jc w:val="left"/>
        <w:rPr>
          <w:sz w:val="20"/>
          <w:szCs w:val="20"/>
        </w:rPr>
      </w:pPr>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w:t>
      </w:r>
      <w:r w:rsidRPr="00411D9E">
        <w:rPr>
          <w:rFonts w:cstheme="minorHAnsi"/>
          <w:sz w:val="20"/>
          <w:szCs w:val="20"/>
        </w:rPr>
        <w:t>−</w:t>
      </w:r>
      <w:r w:rsidRPr="00411D9E">
        <w:rPr>
          <w:sz w:val="20"/>
          <w:szCs w:val="20"/>
        </w:rPr>
        <w:t>,” and no statistically significant change by “</w:t>
      </w:r>
      <w:proofErr w:type="spellStart"/>
      <w:r w:rsidRPr="00411D9E">
        <w:rPr>
          <w:sz w:val="20"/>
          <w:szCs w:val="20"/>
        </w:rPr>
        <w:t>n.s</w:t>
      </w:r>
      <w:proofErr w:type="spellEnd"/>
      <w:r w:rsidRPr="00411D9E">
        <w:rPr>
          <w:sz w:val="20"/>
          <w:szCs w:val="20"/>
        </w:rPr>
        <w:t xml:space="preserve">.” </w:t>
      </w:r>
      <w:r w:rsidRPr="00411D9E">
        <w:rPr>
          <w:bCs/>
          <w:sz w:val="20"/>
          <w:szCs w:val="20"/>
        </w:rPr>
        <w:t>For comparison of MY 2020 rates to CHIP MMC rates, the “+” denotes that the plan rate exceeds the CHIP MMC rate, the “</w:t>
      </w:r>
      <w:r w:rsidRPr="00411D9E">
        <w:rPr>
          <w:rFonts w:cstheme="minorHAnsi"/>
          <w:sz w:val="20"/>
          <w:szCs w:val="20"/>
        </w:rPr>
        <w:t>−</w:t>
      </w:r>
      <w:r w:rsidRPr="00411D9E">
        <w:rPr>
          <w:bCs/>
          <w:sz w:val="20"/>
          <w:szCs w:val="20"/>
        </w:rPr>
        <w:t>” denotes that the MMC rate exceeds the plan rate, and “</w:t>
      </w:r>
      <w:proofErr w:type="spellStart"/>
      <w:r w:rsidRPr="00411D9E">
        <w:rPr>
          <w:bCs/>
          <w:sz w:val="20"/>
          <w:szCs w:val="20"/>
        </w:rPr>
        <w:t>n.s</w:t>
      </w:r>
      <w:proofErr w:type="spellEnd"/>
      <w:r w:rsidRPr="00411D9E">
        <w:rPr>
          <w:bCs/>
          <w:sz w:val="20"/>
          <w:szCs w:val="20"/>
        </w:rPr>
        <w:t>.” denotes no statistically significant difference between the two rates.</w:t>
      </w:r>
    </w:p>
    <w:p w14:paraId="78A2D4FF" w14:textId="77777777" w:rsidR="0053637F" w:rsidRPr="00411D9E" w:rsidRDefault="0053637F" w:rsidP="0053637F">
      <w:pPr>
        <w:jc w:val="left"/>
        <w:rPr>
          <w:sz w:val="20"/>
          <w:szCs w:val="20"/>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PA: Pennsylvania; EQR: external quality review; NA: not available, as no HEDIS percentile is available to compare; 2021 Rate N/A: not applicable, as denominator is less than 30; N/A: not applicable.</w:t>
      </w:r>
    </w:p>
    <w:p w14:paraId="57401FAA" w14:textId="0A44C1AC" w:rsidR="005C3D48" w:rsidRPr="00411D9E" w:rsidRDefault="005C3D48" w:rsidP="005C3D48">
      <w:pPr>
        <w:rPr>
          <w:rFonts w:asciiTheme="majorHAnsi" w:eastAsiaTheme="majorEastAsia" w:hAnsiTheme="majorHAnsi" w:cstheme="majorBidi"/>
          <w:color w:val="4F81BD" w:themeColor="accent1"/>
        </w:rPr>
      </w:pPr>
    </w:p>
    <w:p w14:paraId="6697BD26" w14:textId="77777777" w:rsidR="00A460D7" w:rsidRPr="00411D9E" w:rsidRDefault="00A460D7">
      <w:pPr>
        <w:rPr>
          <w:rFonts w:asciiTheme="majorHAnsi" w:eastAsiaTheme="majorEastAsia" w:hAnsiTheme="majorHAnsi" w:cstheme="majorBidi"/>
          <w:b/>
          <w:bCs/>
          <w:color w:val="4F81BD" w:themeColor="accent1"/>
        </w:rPr>
      </w:pPr>
      <w:bookmarkStart w:id="147" w:name="_Toc70508384"/>
      <w:r w:rsidRPr="00411D9E">
        <w:br w:type="page"/>
      </w:r>
    </w:p>
    <w:p w14:paraId="520BB0D2" w14:textId="487C60BB" w:rsidR="005C3D48" w:rsidRPr="00411D9E" w:rsidRDefault="005C3D48" w:rsidP="005C3D48">
      <w:pPr>
        <w:pStyle w:val="Heading3"/>
      </w:pPr>
      <w:bookmarkStart w:id="148" w:name="_Toc99026957"/>
      <w:r w:rsidRPr="00411D9E">
        <w:lastRenderedPageBreak/>
        <w:t>Utilization</w:t>
      </w:r>
      <w:bookmarkEnd w:id="147"/>
      <w:bookmarkEnd w:id="148"/>
    </w:p>
    <w:p w14:paraId="258B4FFE" w14:textId="1EE07853" w:rsidR="005C3D48" w:rsidRPr="00411D9E" w:rsidRDefault="005C3D48" w:rsidP="005C3D48">
      <w:bookmarkStart w:id="149" w:name="_Toc478563561"/>
      <w:bookmarkStart w:id="150" w:name="_Toc512521060"/>
      <w:r w:rsidRPr="00411D9E">
        <w:t xml:space="preserve">No strengths are identified for the </w:t>
      </w:r>
      <w:r w:rsidR="00E45F45" w:rsidRPr="00411D9E">
        <w:t>202</w:t>
      </w:r>
      <w:r w:rsidR="00E45F45">
        <w:t>1</w:t>
      </w:r>
      <w:r w:rsidR="00E45F45" w:rsidRPr="00411D9E">
        <w:t xml:space="preserve"> </w:t>
      </w:r>
      <w:r w:rsidRPr="00411D9E">
        <w:t xml:space="preserve">(MY </w:t>
      </w:r>
      <w:r w:rsidR="00E45F45" w:rsidRPr="00411D9E">
        <w:t>20</w:t>
      </w:r>
      <w:r w:rsidR="00E45F45">
        <w:t>20</w:t>
      </w:r>
      <w:r w:rsidRPr="00411D9E">
        <w:t>) Utilization performance measures.</w:t>
      </w:r>
    </w:p>
    <w:p w14:paraId="6C8885BC" w14:textId="77777777" w:rsidR="005C3D48" w:rsidRPr="00411D9E" w:rsidRDefault="005C3D48" w:rsidP="005C3D48"/>
    <w:p w14:paraId="4C7F5B8E" w14:textId="31E96C23" w:rsidR="005C3D48" w:rsidRPr="00411D9E" w:rsidRDefault="005C3D48" w:rsidP="005C3D48">
      <w:r w:rsidRPr="00411D9E">
        <w:t xml:space="preserve">Opportunities for improvement are identified for the following </w:t>
      </w:r>
      <w:r w:rsidR="00E45F45" w:rsidRPr="00411D9E">
        <w:t>202</w:t>
      </w:r>
      <w:r w:rsidR="00E45F45">
        <w:t>1</w:t>
      </w:r>
      <w:r w:rsidR="00E45F45" w:rsidRPr="00411D9E">
        <w:t xml:space="preserve"> </w:t>
      </w:r>
      <w:r w:rsidRPr="00411D9E">
        <w:t xml:space="preserve">(MY </w:t>
      </w:r>
      <w:r w:rsidR="00E45F45" w:rsidRPr="00411D9E">
        <w:t>20</w:t>
      </w:r>
      <w:r w:rsidR="00E45F45">
        <w:t>20</w:t>
      </w:r>
      <w:r w:rsidRPr="00411D9E">
        <w:t>) Utilization measures:</w:t>
      </w:r>
    </w:p>
    <w:p w14:paraId="4CE843E8" w14:textId="77777777" w:rsidR="005C3D48" w:rsidRPr="00411D9E" w:rsidRDefault="005C3D48" w:rsidP="00A0110E">
      <w:pPr>
        <w:pStyle w:val="ListParagraph"/>
        <w:numPr>
          <w:ilvl w:val="0"/>
          <w:numId w:val="22"/>
        </w:numPr>
        <w:ind w:left="1080"/>
      </w:pPr>
      <w:r w:rsidRPr="00411D9E">
        <w:t xml:space="preserve">The following rates are statistically </w:t>
      </w:r>
      <w:r w:rsidRPr="00411D9E">
        <w:rPr>
          <w:rFonts w:eastAsiaTheme="minorEastAsia"/>
          <w:lang w:bidi="en-US"/>
        </w:rPr>
        <w:t>significantly below/worse</w:t>
      </w:r>
      <w:r w:rsidRPr="00411D9E">
        <w:t xml:space="preserve"> than the 2021 MMC weighted average:</w:t>
      </w:r>
    </w:p>
    <w:p w14:paraId="0581F5A6" w14:textId="77777777" w:rsidR="005C3D48" w:rsidRPr="00411D9E" w:rsidRDefault="005C3D48" w:rsidP="00A0110E">
      <w:pPr>
        <w:pStyle w:val="ListParagraph"/>
        <w:numPr>
          <w:ilvl w:val="1"/>
          <w:numId w:val="22"/>
        </w:numPr>
      </w:pPr>
      <w:r w:rsidRPr="00411D9E">
        <w:t>AMBA: Outpatient Visits/1000 MM Ages &lt;1 year; and</w:t>
      </w:r>
    </w:p>
    <w:p w14:paraId="65B99707" w14:textId="77777777" w:rsidR="005C3D48" w:rsidRPr="00411D9E" w:rsidRDefault="005C3D48" w:rsidP="00A0110E">
      <w:pPr>
        <w:pStyle w:val="ListParagraph"/>
        <w:numPr>
          <w:ilvl w:val="1"/>
          <w:numId w:val="22"/>
        </w:numPr>
      </w:pPr>
      <w:r w:rsidRPr="00411D9E">
        <w:t>AMBA: Emergency Department Visits/1000 MM Ages &lt;1 year.</w:t>
      </w:r>
    </w:p>
    <w:p w14:paraId="1BE3CA73" w14:textId="77777777" w:rsidR="005C3D48" w:rsidRPr="00411D9E" w:rsidRDefault="005C3D48" w:rsidP="005C3D48">
      <w:pPr>
        <w:pStyle w:val="tableheading"/>
        <w:keepNext w:val="0"/>
        <w:keepLines w:val="0"/>
        <w:widowControl w:val="0"/>
      </w:pPr>
      <w:bookmarkStart w:id="151" w:name="_Toc70508416"/>
      <w:bookmarkStart w:id="152" w:name="_Toc99026993"/>
      <w:r w:rsidRPr="00411D9E">
        <w:t>Table 2.8: Utilization</w:t>
      </w:r>
      <w:bookmarkEnd w:id="149"/>
      <w:bookmarkEnd w:id="150"/>
      <w:bookmarkEnd w:id="151"/>
      <w:bookmarkEnd w:id="15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4" w:type="dxa"/>
          <w:right w:w="14" w:type="dxa"/>
        </w:tblCellMar>
        <w:tblLook w:val="04A0" w:firstRow="1" w:lastRow="0" w:firstColumn="1" w:lastColumn="0" w:noHBand="0" w:noVBand="1"/>
      </w:tblPr>
      <w:tblGrid>
        <w:gridCol w:w="823"/>
        <w:gridCol w:w="3051"/>
        <w:gridCol w:w="898"/>
        <w:gridCol w:w="809"/>
        <w:gridCol w:w="895"/>
        <w:gridCol w:w="987"/>
        <w:gridCol w:w="1079"/>
        <w:gridCol w:w="1166"/>
        <w:gridCol w:w="1168"/>
        <w:gridCol w:w="987"/>
        <w:gridCol w:w="987"/>
        <w:gridCol w:w="1540"/>
      </w:tblGrid>
      <w:tr w:rsidR="005C3D48" w:rsidRPr="00411D9E" w14:paraId="3759695B" w14:textId="77777777" w:rsidTr="0053637F">
        <w:trPr>
          <w:cantSplit/>
          <w:trHeight w:val="60"/>
          <w:tblHeader/>
        </w:trPr>
        <w:tc>
          <w:tcPr>
            <w:tcW w:w="1346" w:type="pct"/>
            <w:gridSpan w:val="2"/>
            <w:shd w:val="clear" w:color="000000" w:fill="5F497A"/>
            <w:vAlign w:val="bottom"/>
            <w:hideMark/>
          </w:tcPr>
          <w:p w14:paraId="0CDA6EA1"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Indicator</w:t>
            </w:r>
          </w:p>
        </w:tc>
        <w:tc>
          <w:tcPr>
            <w:tcW w:w="1622" w:type="pct"/>
            <w:gridSpan w:val="5"/>
            <w:shd w:val="clear" w:color="000000" w:fill="5F497A"/>
            <w:vAlign w:val="bottom"/>
            <w:hideMark/>
          </w:tcPr>
          <w:p w14:paraId="32D2C997" w14:textId="38F620E1" w:rsidR="005C3D48" w:rsidRPr="00411D9E" w:rsidRDefault="00E45F45"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w:t>
            </w:r>
            <w:r>
              <w:rPr>
                <w:rFonts w:eastAsia="Times New Roman" w:cstheme="minorHAnsi"/>
                <w:b/>
                <w:bCs/>
                <w:color w:val="FFFFFF"/>
                <w:sz w:val="20"/>
                <w:szCs w:val="20"/>
                <w:lang w:bidi="ar-SA"/>
              </w:rPr>
              <w:t>1</w:t>
            </w:r>
            <w:r w:rsidRPr="00411D9E">
              <w:rPr>
                <w:rFonts w:eastAsia="Times New Roman" w:cstheme="minorHAnsi"/>
                <w:b/>
                <w:bCs/>
                <w:color w:val="FFFFFF"/>
                <w:sz w:val="20"/>
                <w:szCs w:val="20"/>
                <w:lang w:bidi="ar-SA"/>
              </w:rPr>
              <w:t xml:space="preserve"> </w:t>
            </w:r>
            <w:r w:rsidR="005C3D48" w:rsidRPr="00411D9E">
              <w:rPr>
                <w:rFonts w:eastAsia="Times New Roman" w:cstheme="minorHAnsi"/>
                <w:b/>
                <w:bCs/>
                <w:color w:val="FFFFFF"/>
                <w:sz w:val="20"/>
                <w:szCs w:val="20"/>
                <w:lang w:bidi="ar-SA"/>
              </w:rPr>
              <w:t xml:space="preserve">(MY </w:t>
            </w:r>
            <w:r w:rsidRPr="00411D9E">
              <w:rPr>
                <w:rFonts w:eastAsia="Times New Roman" w:cstheme="minorHAnsi"/>
                <w:b/>
                <w:bCs/>
                <w:color w:val="FFFFFF"/>
                <w:sz w:val="20"/>
                <w:szCs w:val="20"/>
                <w:lang w:bidi="ar-SA"/>
              </w:rPr>
              <w:t>20</w:t>
            </w:r>
            <w:r>
              <w:rPr>
                <w:rFonts w:eastAsia="Times New Roman" w:cstheme="minorHAnsi"/>
                <w:b/>
                <w:bCs/>
                <w:color w:val="FFFFFF"/>
                <w:sz w:val="20"/>
                <w:szCs w:val="20"/>
                <w:lang w:bidi="ar-SA"/>
              </w:rPr>
              <w:t>20</w:t>
            </w:r>
            <w:r w:rsidR="005C3D48" w:rsidRPr="00411D9E">
              <w:rPr>
                <w:rFonts w:eastAsia="Times New Roman" w:cstheme="minorHAnsi"/>
                <w:b/>
                <w:bCs/>
                <w:color w:val="FFFFFF"/>
                <w:sz w:val="20"/>
                <w:szCs w:val="20"/>
                <w:lang w:bidi="ar-SA"/>
              </w:rPr>
              <w:t>)</w:t>
            </w:r>
          </w:p>
        </w:tc>
        <w:tc>
          <w:tcPr>
            <w:tcW w:w="2033" w:type="pct"/>
            <w:gridSpan w:val="5"/>
            <w:shd w:val="clear" w:color="000000" w:fill="5F497A"/>
            <w:vAlign w:val="bottom"/>
            <w:hideMark/>
          </w:tcPr>
          <w:p w14:paraId="5B8C7B0C" w14:textId="5F3E050B" w:rsidR="005C3D48" w:rsidRPr="00411D9E" w:rsidRDefault="005C3D48" w:rsidP="00FF262E">
            <w:pPr>
              <w:jc w:val="center"/>
              <w:rPr>
                <w:rFonts w:eastAsia="Times New Roman" w:cstheme="minorHAnsi"/>
                <w:b/>
                <w:bCs/>
                <w:color w:val="FFFFFF"/>
                <w:sz w:val="20"/>
                <w:szCs w:val="20"/>
                <w:vertAlign w:val="superscript"/>
                <w:lang w:bidi="ar-SA"/>
              </w:rPr>
            </w:pPr>
            <w:r w:rsidRPr="00411D9E">
              <w:rPr>
                <w:rFonts w:eastAsia="Times New Roman" w:cstheme="minorHAnsi"/>
                <w:b/>
                <w:bCs/>
                <w:color w:val="FFFFFF"/>
                <w:sz w:val="20"/>
                <w:szCs w:val="20"/>
                <w:lang w:bidi="ar-SA"/>
              </w:rPr>
              <w:t>Rate Comparison</w:t>
            </w:r>
            <w:r w:rsidR="00FF262E" w:rsidRPr="00411D9E">
              <w:rPr>
                <w:rFonts w:eastAsia="Times New Roman" w:cstheme="minorHAnsi"/>
                <w:b/>
                <w:bCs/>
                <w:color w:val="FFFFFF"/>
                <w:sz w:val="20"/>
                <w:szCs w:val="20"/>
                <w:vertAlign w:val="superscript"/>
                <w:lang w:bidi="ar-SA"/>
              </w:rPr>
              <w:t>1</w:t>
            </w:r>
          </w:p>
        </w:tc>
      </w:tr>
      <w:tr w:rsidR="005C3D48" w:rsidRPr="00411D9E" w14:paraId="2D7F6AF0" w14:textId="77777777" w:rsidTr="00FF262E">
        <w:trPr>
          <w:cantSplit/>
          <w:trHeight w:val="144"/>
          <w:tblHeader/>
        </w:trPr>
        <w:tc>
          <w:tcPr>
            <w:tcW w:w="286" w:type="pct"/>
            <w:shd w:val="clear" w:color="000000" w:fill="5F497A"/>
            <w:vAlign w:val="bottom"/>
            <w:hideMark/>
          </w:tcPr>
          <w:p w14:paraId="7C2B9468"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Source</w:t>
            </w:r>
          </w:p>
        </w:tc>
        <w:tc>
          <w:tcPr>
            <w:tcW w:w="1060" w:type="pct"/>
            <w:shd w:val="clear" w:color="000000" w:fill="5F497A"/>
            <w:vAlign w:val="bottom"/>
            <w:hideMark/>
          </w:tcPr>
          <w:p w14:paraId="2EE95D82"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Name</w:t>
            </w:r>
          </w:p>
        </w:tc>
        <w:tc>
          <w:tcPr>
            <w:tcW w:w="312" w:type="pct"/>
            <w:shd w:val="clear" w:color="000000" w:fill="5F497A"/>
            <w:vAlign w:val="bottom"/>
            <w:hideMark/>
          </w:tcPr>
          <w:p w14:paraId="49B5044A" w14:textId="77777777" w:rsidR="005C3D48" w:rsidRPr="00411D9E" w:rsidRDefault="005C3D48" w:rsidP="00FF262E">
            <w:pPr>
              <w:jc w:val="center"/>
              <w:rPr>
                <w:rFonts w:eastAsia="Times New Roman" w:cstheme="minorHAnsi"/>
                <w:b/>
                <w:bCs/>
                <w:color w:val="FFFFFF"/>
                <w:sz w:val="20"/>
                <w:szCs w:val="20"/>
                <w:lang w:bidi="ar-SA"/>
              </w:rPr>
            </w:pPr>
            <w:proofErr w:type="spellStart"/>
            <w:r w:rsidRPr="00411D9E">
              <w:rPr>
                <w:rFonts w:eastAsia="Times New Roman" w:cstheme="minorHAnsi"/>
                <w:b/>
                <w:bCs/>
                <w:color w:val="FFFFFF"/>
                <w:sz w:val="20"/>
                <w:szCs w:val="20"/>
                <w:lang w:bidi="ar-SA"/>
              </w:rPr>
              <w:t>Denom</w:t>
            </w:r>
            <w:proofErr w:type="spellEnd"/>
          </w:p>
        </w:tc>
        <w:tc>
          <w:tcPr>
            <w:tcW w:w="281" w:type="pct"/>
            <w:shd w:val="clear" w:color="000000" w:fill="5F497A"/>
            <w:vAlign w:val="bottom"/>
            <w:hideMark/>
          </w:tcPr>
          <w:p w14:paraId="40727056"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Num</w:t>
            </w:r>
          </w:p>
        </w:tc>
        <w:tc>
          <w:tcPr>
            <w:tcW w:w="311" w:type="pct"/>
            <w:shd w:val="clear" w:color="000000" w:fill="5F497A"/>
            <w:vAlign w:val="bottom"/>
            <w:hideMark/>
          </w:tcPr>
          <w:p w14:paraId="014C6AD6"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Rate</w:t>
            </w:r>
          </w:p>
        </w:tc>
        <w:tc>
          <w:tcPr>
            <w:tcW w:w="343" w:type="pct"/>
            <w:shd w:val="clear" w:color="000000" w:fill="5F497A"/>
            <w:vAlign w:val="bottom"/>
            <w:hideMark/>
          </w:tcPr>
          <w:p w14:paraId="6BAB542E"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Lower 95% Confidence Limit</w:t>
            </w:r>
          </w:p>
        </w:tc>
        <w:tc>
          <w:tcPr>
            <w:tcW w:w="375" w:type="pct"/>
            <w:shd w:val="clear" w:color="000000" w:fill="5F497A"/>
            <w:vAlign w:val="bottom"/>
            <w:hideMark/>
          </w:tcPr>
          <w:p w14:paraId="26C94AA5"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Upper 95% Confidence Limit</w:t>
            </w:r>
          </w:p>
        </w:tc>
        <w:tc>
          <w:tcPr>
            <w:tcW w:w="405" w:type="pct"/>
            <w:shd w:val="clear" w:color="000000" w:fill="5F497A"/>
            <w:vAlign w:val="bottom"/>
            <w:hideMark/>
          </w:tcPr>
          <w:p w14:paraId="13416A8B"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2020 (MY 2019) Rate</w:t>
            </w:r>
          </w:p>
        </w:tc>
        <w:tc>
          <w:tcPr>
            <w:tcW w:w="406" w:type="pct"/>
            <w:shd w:val="clear" w:color="000000" w:fill="5F497A"/>
            <w:vAlign w:val="bottom"/>
            <w:hideMark/>
          </w:tcPr>
          <w:p w14:paraId="4FA11EBA"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Rate Compared to 2020</w:t>
            </w:r>
          </w:p>
        </w:tc>
        <w:tc>
          <w:tcPr>
            <w:tcW w:w="343" w:type="pct"/>
            <w:shd w:val="clear" w:color="000000" w:fill="5F497A"/>
            <w:vAlign w:val="bottom"/>
            <w:hideMark/>
          </w:tcPr>
          <w:p w14:paraId="7324A34E"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MMC</w:t>
            </w:r>
          </w:p>
        </w:tc>
        <w:tc>
          <w:tcPr>
            <w:tcW w:w="343" w:type="pct"/>
            <w:shd w:val="clear" w:color="000000" w:fill="5F497A"/>
            <w:vAlign w:val="bottom"/>
            <w:hideMark/>
          </w:tcPr>
          <w:p w14:paraId="5F99CA17"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lang w:bidi="ar-SA"/>
              </w:rPr>
              <w:t>2021 Rate Compared to MMC</w:t>
            </w:r>
          </w:p>
        </w:tc>
        <w:tc>
          <w:tcPr>
            <w:tcW w:w="535" w:type="pct"/>
            <w:shd w:val="clear" w:color="000000" w:fill="5F497A"/>
            <w:vAlign w:val="bottom"/>
            <w:hideMark/>
          </w:tcPr>
          <w:p w14:paraId="29EABDC8" w14:textId="77777777" w:rsidR="005C3D48" w:rsidRPr="00411D9E" w:rsidRDefault="005C3D48" w:rsidP="00FF262E">
            <w:pPr>
              <w:jc w:val="center"/>
              <w:rPr>
                <w:rFonts w:eastAsia="Times New Roman" w:cstheme="minorHAnsi"/>
                <w:b/>
                <w:bCs/>
                <w:color w:val="FFFFFF"/>
                <w:sz w:val="20"/>
                <w:szCs w:val="20"/>
                <w:lang w:bidi="ar-SA"/>
              </w:rPr>
            </w:pPr>
            <w:r w:rsidRPr="00411D9E">
              <w:rPr>
                <w:rFonts w:eastAsia="Times New Roman" w:cstheme="minorHAnsi"/>
                <w:b/>
                <w:bCs/>
                <w:color w:val="FFFFFF"/>
                <w:sz w:val="20"/>
                <w:szCs w:val="20"/>
              </w:rPr>
              <w:t>HEDIS 2021 Percentile</w:t>
            </w:r>
          </w:p>
        </w:tc>
      </w:tr>
      <w:tr w:rsidR="005C3D48" w:rsidRPr="00411D9E" w14:paraId="0E498364" w14:textId="77777777" w:rsidTr="00FF262E">
        <w:trPr>
          <w:cantSplit/>
          <w:trHeight w:val="144"/>
        </w:trPr>
        <w:tc>
          <w:tcPr>
            <w:tcW w:w="286" w:type="pct"/>
            <w:shd w:val="clear" w:color="auto" w:fill="FFFFFF" w:themeFill="background1"/>
            <w:vAlign w:val="center"/>
          </w:tcPr>
          <w:p w14:paraId="0C36456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910DCC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Outpatient Visits/1000 MM Ages &lt;1 year</w:t>
            </w:r>
          </w:p>
        </w:tc>
        <w:tc>
          <w:tcPr>
            <w:tcW w:w="312" w:type="pct"/>
            <w:shd w:val="clear" w:color="auto" w:fill="auto"/>
            <w:vAlign w:val="center"/>
          </w:tcPr>
          <w:p w14:paraId="36F1A0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951</w:t>
            </w:r>
          </w:p>
        </w:tc>
        <w:tc>
          <w:tcPr>
            <w:tcW w:w="281" w:type="pct"/>
            <w:shd w:val="clear" w:color="000000" w:fill="FFFFFF"/>
            <w:vAlign w:val="center"/>
          </w:tcPr>
          <w:p w14:paraId="6E9E4D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561</w:t>
            </w:r>
          </w:p>
        </w:tc>
        <w:tc>
          <w:tcPr>
            <w:tcW w:w="311" w:type="pct"/>
            <w:shd w:val="clear" w:color="000000" w:fill="FFFFFF"/>
            <w:vAlign w:val="center"/>
          </w:tcPr>
          <w:p w14:paraId="4A1CCB4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589.91</w:t>
            </w:r>
          </w:p>
        </w:tc>
        <w:tc>
          <w:tcPr>
            <w:tcW w:w="343" w:type="pct"/>
            <w:shd w:val="clear" w:color="000000" w:fill="FFFFFF"/>
            <w:vAlign w:val="center"/>
          </w:tcPr>
          <w:p w14:paraId="4DAE6596" w14:textId="4AA8D32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367C17B1" w14:textId="7423176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51A59F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784.46</w:t>
            </w:r>
          </w:p>
        </w:tc>
        <w:tc>
          <w:tcPr>
            <w:tcW w:w="406" w:type="pct"/>
            <w:shd w:val="clear" w:color="000000" w:fill="FFFFFF"/>
            <w:vAlign w:val="center"/>
          </w:tcPr>
          <w:p w14:paraId="59F2D4D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53DB7FF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613.82</w:t>
            </w:r>
          </w:p>
        </w:tc>
        <w:tc>
          <w:tcPr>
            <w:tcW w:w="343" w:type="pct"/>
            <w:shd w:val="clear" w:color="000000" w:fill="FFFFFF"/>
            <w:vAlign w:val="center"/>
          </w:tcPr>
          <w:p w14:paraId="26C7F98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60BB58C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47795D1B" w14:textId="77777777" w:rsidTr="00FF262E">
        <w:trPr>
          <w:cantSplit/>
          <w:trHeight w:val="144"/>
        </w:trPr>
        <w:tc>
          <w:tcPr>
            <w:tcW w:w="286" w:type="pct"/>
            <w:shd w:val="clear" w:color="auto" w:fill="FFFFFF" w:themeFill="background1"/>
            <w:vAlign w:val="center"/>
          </w:tcPr>
          <w:p w14:paraId="3542568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CFEC35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Outpatient Visits/1000 MM Ages 1— 9 years</w:t>
            </w:r>
          </w:p>
        </w:tc>
        <w:tc>
          <w:tcPr>
            <w:tcW w:w="312" w:type="pct"/>
            <w:shd w:val="clear" w:color="auto" w:fill="auto"/>
            <w:vAlign w:val="center"/>
          </w:tcPr>
          <w:p w14:paraId="649917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56,709</w:t>
            </w:r>
          </w:p>
        </w:tc>
        <w:tc>
          <w:tcPr>
            <w:tcW w:w="281" w:type="pct"/>
            <w:shd w:val="clear" w:color="000000" w:fill="FFFFFF"/>
            <w:vAlign w:val="center"/>
          </w:tcPr>
          <w:p w14:paraId="602D583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12,256</w:t>
            </w:r>
          </w:p>
        </w:tc>
        <w:tc>
          <w:tcPr>
            <w:tcW w:w="311" w:type="pct"/>
            <w:shd w:val="clear" w:color="000000" w:fill="FFFFFF"/>
            <w:vAlign w:val="center"/>
          </w:tcPr>
          <w:p w14:paraId="469DAA5E"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216.12</w:t>
            </w:r>
          </w:p>
        </w:tc>
        <w:tc>
          <w:tcPr>
            <w:tcW w:w="343" w:type="pct"/>
            <w:shd w:val="clear" w:color="000000" w:fill="FFFFFF"/>
            <w:vAlign w:val="center"/>
          </w:tcPr>
          <w:p w14:paraId="299DAC12" w14:textId="127D5D4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20DEF2CD" w14:textId="3CB27A6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2415682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299.99</w:t>
            </w:r>
          </w:p>
        </w:tc>
        <w:tc>
          <w:tcPr>
            <w:tcW w:w="406" w:type="pct"/>
            <w:shd w:val="clear" w:color="000000" w:fill="FFFFFF"/>
            <w:vAlign w:val="center"/>
          </w:tcPr>
          <w:p w14:paraId="64499D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772CF31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198.85</w:t>
            </w:r>
          </w:p>
        </w:tc>
        <w:tc>
          <w:tcPr>
            <w:tcW w:w="343" w:type="pct"/>
            <w:shd w:val="clear" w:color="000000" w:fill="FFFFFF"/>
            <w:vAlign w:val="center"/>
          </w:tcPr>
          <w:p w14:paraId="1276E29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75E0ADD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42525F1F" w14:textId="77777777" w:rsidTr="00FF262E">
        <w:trPr>
          <w:cantSplit/>
          <w:trHeight w:val="144"/>
        </w:trPr>
        <w:tc>
          <w:tcPr>
            <w:tcW w:w="286" w:type="pct"/>
            <w:shd w:val="clear" w:color="auto" w:fill="FFFFFF" w:themeFill="background1"/>
            <w:vAlign w:val="center"/>
          </w:tcPr>
          <w:p w14:paraId="15F5AC8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CE96B9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Outpatient Visits/1000 MM Ages 10—19 years</w:t>
            </w:r>
          </w:p>
        </w:tc>
        <w:tc>
          <w:tcPr>
            <w:tcW w:w="312" w:type="pct"/>
            <w:shd w:val="clear" w:color="auto" w:fill="auto"/>
            <w:vAlign w:val="center"/>
          </w:tcPr>
          <w:p w14:paraId="71D1A6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75,550</w:t>
            </w:r>
          </w:p>
        </w:tc>
        <w:tc>
          <w:tcPr>
            <w:tcW w:w="281" w:type="pct"/>
            <w:shd w:val="clear" w:color="000000" w:fill="FFFFFF"/>
            <w:vAlign w:val="center"/>
          </w:tcPr>
          <w:p w14:paraId="12E48F2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16,189</w:t>
            </w:r>
          </w:p>
        </w:tc>
        <w:tc>
          <w:tcPr>
            <w:tcW w:w="311" w:type="pct"/>
            <w:shd w:val="clear" w:color="000000" w:fill="FFFFFF"/>
            <w:vAlign w:val="center"/>
          </w:tcPr>
          <w:p w14:paraId="65551FE3"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214.28</w:t>
            </w:r>
          </w:p>
        </w:tc>
        <w:tc>
          <w:tcPr>
            <w:tcW w:w="343" w:type="pct"/>
            <w:shd w:val="clear" w:color="000000" w:fill="FFFFFF"/>
            <w:vAlign w:val="center"/>
          </w:tcPr>
          <w:p w14:paraId="0DB53B4F" w14:textId="2D4C9F7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7CB0F221" w14:textId="6162FB3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2B45D12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275.13</w:t>
            </w:r>
          </w:p>
        </w:tc>
        <w:tc>
          <w:tcPr>
            <w:tcW w:w="406" w:type="pct"/>
            <w:shd w:val="clear" w:color="000000" w:fill="FFFFFF"/>
            <w:vAlign w:val="center"/>
          </w:tcPr>
          <w:p w14:paraId="3076887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4E5ECE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187.19</w:t>
            </w:r>
          </w:p>
        </w:tc>
        <w:tc>
          <w:tcPr>
            <w:tcW w:w="343" w:type="pct"/>
            <w:shd w:val="clear" w:color="000000" w:fill="FFFFFF"/>
            <w:vAlign w:val="center"/>
          </w:tcPr>
          <w:p w14:paraId="2621C2C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78391E7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13126BE8" w14:textId="77777777" w:rsidTr="00FF262E">
        <w:trPr>
          <w:cantSplit/>
          <w:trHeight w:val="144"/>
        </w:trPr>
        <w:tc>
          <w:tcPr>
            <w:tcW w:w="286" w:type="pct"/>
            <w:shd w:val="clear" w:color="auto" w:fill="FFFFFF" w:themeFill="background1"/>
            <w:vAlign w:val="center"/>
          </w:tcPr>
          <w:p w14:paraId="6D18026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D20F09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Outpatient Visits/1000 MM Ages &lt;1—19 years Total Rate</w:t>
            </w:r>
          </w:p>
        </w:tc>
        <w:tc>
          <w:tcPr>
            <w:tcW w:w="312" w:type="pct"/>
            <w:shd w:val="clear" w:color="auto" w:fill="auto"/>
            <w:vAlign w:val="center"/>
          </w:tcPr>
          <w:p w14:paraId="03BB0D0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133,222</w:t>
            </w:r>
          </w:p>
        </w:tc>
        <w:tc>
          <w:tcPr>
            <w:tcW w:w="281" w:type="pct"/>
            <w:shd w:val="clear" w:color="000000" w:fill="FFFFFF"/>
            <w:vAlign w:val="center"/>
          </w:tcPr>
          <w:p w14:paraId="39EE96A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29,008</w:t>
            </w:r>
          </w:p>
        </w:tc>
        <w:tc>
          <w:tcPr>
            <w:tcW w:w="311" w:type="pct"/>
            <w:shd w:val="clear" w:color="000000" w:fill="FFFFFF"/>
            <w:vAlign w:val="center"/>
          </w:tcPr>
          <w:p w14:paraId="1116AD2F"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217.74</w:t>
            </w:r>
          </w:p>
        </w:tc>
        <w:tc>
          <w:tcPr>
            <w:tcW w:w="343" w:type="pct"/>
            <w:shd w:val="clear" w:color="000000" w:fill="FFFFFF"/>
            <w:vAlign w:val="center"/>
          </w:tcPr>
          <w:p w14:paraId="2DFEAB1C" w14:textId="3F99475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1DF70C25" w14:textId="3E8D3B8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2999990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289.28</w:t>
            </w:r>
          </w:p>
        </w:tc>
        <w:tc>
          <w:tcPr>
            <w:tcW w:w="406" w:type="pct"/>
            <w:shd w:val="clear" w:color="000000" w:fill="FFFFFF"/>
            <w:vAlign w:val="center"/>
          </w:tcPr>
          <w:p w14:paraId="04911E4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4E43571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195.78</w:t>
            </w:r>
          </w:p>
        </w:tc>
        <w:tc>
          <w:tcPr>
            <w:tcW w:w="343" w:type="pct"/>
            <w:shd w:val="clear" w:color="000000" w:fill="FFFFFF"/>
            <w:vAlign w:val="center"/>
          </w:tcPr>
          <w:p w14:paraId="0872052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193B4D5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1D088478" w14:textId="77777777" w:rsidTr="00FF262E">
        <w:trPr>
          <w:cantSplit/>
          <w:trHeight w:val="144"/>
        </w:trPr>
        <w:tc>
          <w:tcPr>
            <w:tcW w:w="286" w:type="pct"/>
            <w:shd w:val="clear" w:color="auto" w:fill="FFFFFF" w:themeFill="background1"/>
            <w:vAlign w:val="center"/>
          </w:tcPr>
          <w:p w14:paraId="44C2555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E50849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Emergency Department Visits/1000 MM Ages &lt;1 year</w:t>
            </w:r>
          </w:p>
        </w:tc>
        <w:tc>
          <w:tcPr>
            <w:tcW w:w="312" w:type="pct"/>
            <w:shd w:val="clear" w:color="auto" w:fill="auto"/>
            <w:vAlign w:val="center"/>
          </w:tcPr>
          <w:p w14:paraId="21FC094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951</w:t>
            </w:r>
          </w:p>
        </w:tc>
        <w:tc>
          <w:tcPr>
            <w:tcW w:w="281" w:type="pct"/>
            <w:shd w:val="clear" w:color="000000" w:fill="FFFFFF"/>
            <w:vAlign w:val="center"/>
          </w:tcPr>
          <w:p w14:paraId="5CFC89A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w:t>
            </w:r>
          </w:p>
        </w:tc>
        <w:tc>
          <w:tcPr>
            <w:tcW w:w="311" w:type="pct"/>
            <w:shd w:val="clear" w:color="000000" w:fill="FFFFFF"/>
            <w:vAlign w:val="center"/>
          </w:tcPr>
          <w:p w14:paraId="5F3AF4CF"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8.41</w:t>
            </w:r>
          </w:p>
        </w:tc>
        <w:tc>
          <w:tcPr>
            <w:tcW w:w="343" w:type="pct"/>
            <w:shd w:val="clear" w:color="000000" w:fill="FFFFFF"/>
            <w:vAlign w:val="center"/>
          </w:tcPr>
          <w:p w14:paraId="73CE9B2A" w14:textId="7430AE5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58237EA9" w14:textId="38F6E82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64BF02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35.09</w:t>
            </w:r>
          </w:p>
        </w:tc>
        <w:tc>
          <w:tcPr>
            <w:tcW w:w="406" w:type="pct"/>
            <w:shd w:val="clear" w:color="000000" w:fill="FFFFFF"/>
            <w:vAlign w:val="center"/>
          </w:tcPr>
          <w:p w14:paraId="0ED07C1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6F3534A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23.50</w:t>
            </w:r>
          </w:p>
        </w:tc>
        <w:tc>
          <w:tcPr>
            <w:tcW w:w="343" w:type="pct"/>
            <w:shd w:val="clear" w:color="000000" w:fill="FFFFFF"/>
            <w:vAlign w:val="center"/>
          </w:tcPr>
          <w:p w14:paraId="6732C52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21C1A5F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24B7560D" w14:textId="77777777" w:rsidTr="00FF262E">
        <w:trPr>
          <w:cantSplit/>
          <w:trHeight w:val="144"/>
        </w:trPr>
        <w:tc>
          <w:tcPr>
            <w:tcW w:w="286" w:type="pct"/>
            <w:shd w:val="clear" w:color="auto" w:fill="FFFFFF" w:themeFill="background1"/>
            <w:vAlign w:val="center"/>
          </w:tcPr>
          <w:p w14:paraId="6ACEA89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52771A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Emergency Department Visits/1000 MM Ages 1—9 years</w:t>
            </w:r>
          </w:p>
        </w:tc>
        <w:tc>
          <w:tcPr>
            <w:tcW w:w="312" w:type="pct"/>
            <w:shd w:val="clear" w:color="auto" w:fill="auto"/>
            <w:vAlign w:val="center"/>
          </w:tcPr>
          <w:p w14:paraId="253F7BE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56,709</w:t>
            </w:r>
          </w:p>
        </w:tc>
        <w:tc>
          <w:tcPr>
            <w:tcW w:w="281" w:type="pct"/>
            <w:shd w:val="clear" w:color="000000" w:fill="FFFFFF"/>
            <w:vAlign w:val="center"/>
          </w:tcPr>
          <w:p w14:paraId="0F81A9F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798</w:t>
            </w:r>
          </w:p>
        </w:tc>
        <w:tc>
          <w:tcPr>
            <w:tcW w:w="311" w:type="pct"/>
            <w:shd w:val="clear" w:color="000000" w:fill="FFFFFF"/>
            <w:vAlign w:val="center"/>
          </w:tcPr>
          <w:p w14:paraId="7C61EFB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14.07</w:t>
            </w:r>
          </w:p>
        </w:tc>
        <w:tc>
          <w:tcPr>
            <w:tcW w:w="343" w:type="pct"/>
            <w:shd w:val="clear" w:color="000000" w:fill="FFFFFF"/>
            <w:vAlign w:val="center"/>
          </w:tcPr>
          <w:p w14:paraId="54357BBF" w14:textId="63E3870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22D9206F" w14:textId="3054593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7EBE183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24.24</w:t>
            </w:r>
          </w:p>
        </w:tc>
        <w:tc>
          <w:tcPr>
            <w:tcW w:w="406" w:type="pct"/>
            <w:shd w:val="clear" w:color="000000" w:fill="FFFFFF"/>
            <w:vAlign w:val="center"/>
          </w:tcPr>
          <w:p w14:paraId="5DB2EF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34A5BFB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16.36</w:t>
            </w:r>
          </w:p>
        </w:tc>
        <w:tc>
          <w:tcPr>
            <w:tcW w:w="343" w:type="pct"/>
            <w:shd w:val="clear" w:color="000000" w:fill="FFFFFF"/>
            <w:vAlign w:val="center"/>
          </w:tcPr>
          <w:p w14:paraId="55B8DD8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3018065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003DB1FE" w14:textId="77777777" w:rsidTr="00FF262E">
        <w:trPr>
          <w:cantSplit/>
          <w:trHeight w:val="144"/>
        </w:trPr>
        <w:tc>
          <w:tcPr>
            <w:tcW w:w="286" w:type="pct"/>
            <w:shd w:val="clear" w:color="auto" w:fill="FFFFFF" w:themeFill="background1"/>
            <w:vAlign w:val="center"/>
          </w:tcPr>
          <w:p w14:paraId="286CF788"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760E8D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Emergency Department Visits/1000 MM Ages 10—19 years</w:t>
            </w:r>
          </w:p>
        </w:tc>
        <w:tc>
          <w:tcPr>
            <w:tcW w:w="312" w:type="pct"/>
            <w:shd w:val="clear" w:color="auto" w:fill="auto"/>
            <w:vAlign w:val="center"/>
          </w:tcPr>
          <w:p w14:paraId="5BD117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75,550</w:t>
            </w:r>
          </w:p>
        </w:tc>
        <w:tc>
          <w:tcPr>
            <w:tcW w:w="281" w:type="pct"/>
            <w:shd w:val="clear" w:color="000000" w:fill="FFFFFF"/>
            <w:vAlign w:val="center"/>
          </w:tcPr>
          <w:p w14:paraId="7F875C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969</w:t>
            </w:r>
          </w:p>
        </w:tc>
        <w:tc>
          <w:tcPr>
            <w:tcW w:w="311" w:type="pct"/>
            <w:shd w:val="clear" w:color="000000" w:fill="FFFFFF"/>
            <w:vAlign w:val="center"/>
          </w:tcPr>
          <w:p w14:paraId="07070E6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12.83</w:t>
            </w:r>
          </w:p>
        </w:tc>
        <w:tc>
          <w:tcPr>
            <w:tcW w:w="343" w:type="pct"/>
            <w:shd w:val="clear" w:color="000000" w:fill="FFFFFF"/>
            <w:vAlign w:val="center"/>
          </w:tcPr>
          <w:p w14:paraId="34C0841F" w14:textId="359E1E6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58997905" w14:textId="482C49C0"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12C493E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19.41</w:t>
            </w:r>
          </w:p>
        </w:tc>
        <w:tc>
          <w:tcPr>
            <w:tcW w:w="406" w:type="pct"/>
            <w:shd w:val="clear" w:color="000000" w:fill="FFFFFF"/>
            <w:vAlign w:val="center"/>
          </w:tcPr>
          <w:p w14:paraId="1A6ACB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0E138B2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15.35</w:t>
            </w:r>
          </w:p>
        </w:tc>
        <w:tc>
          <w:tcPr>
            <w:tcW w:w="343" w:type="pct"/>
            <w:shd w:val="clear" w:color="000000" w:fill="FFFFFF"/>
            <w:vAlign w:val="center"/>
          </w:tcPr>
          <w:p w14:paraId="1ECD331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412D41A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27B20AF3" w14:textId="77777777" w:rsidTr="00FF262E">
        <w:trPr>
          <w:cantSplit/>
          <w:trHeight w:val="144"/>
        </w:trPr>
        <w:tc>
          <w:tcPr>
            <w:tcW w:w="286" w:type="pct"/>
            <w:shd w:val="clear" w:color="auto" w:fill="FFFFFF" w:themeFill="background1"/>
            <w:vAlign w:val="center"/>
          </w:tcPr>
          <w:p w14:paraId="59E2017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E5F01C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AMBA: Emergency Department Visits/1000 MM Ages &lt;1—19 years Total Rate</w:t>
            </w:r>
          </w:p>
        </w:tc>
        <w:tc>
          <w:tcPr>
            <w:tcW w:w="312" w:type="pct"/>
            <w:shd w:val="clear" w:color="auto" w:fill="auto"/>
            <w:vAlign w:val="center"/>
          </w:tcPr>
          <w:p w14:paraId="2DD5205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133,222</w:t>
            </w:r>
          </w:p>
        </w:tc>
        <w:tc>
          <w:tcPr>
            <w:tcW w:w="281" w:type="pct"/>
            <w:shd w:val="clear" w:color="000000" w:fill="FFFFFF"/>
            <w:vAlign w:val="center"/>
          </w:tcPr>
          <w:p w14:paraId="64458D2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1,775</w:t>
            </w:r>
          </w:p>
        </w:tc>
        <w:tc>
          <w:tcPr>
            <w:tcW w:w="311" w:type="pct"/>
            <w:shd w:val="clear" w:color="000000" w:fill="FFFFFF"/>
            <w:vAlign w:val="center"/>
          </w:tcPr>
          <w:p w14:paraId="5B45072E"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13.32</w:t>
            </w:r>
          </w:p>
        </w:tc>
        <w:tc>
          <w:tcPr>
            <w:tcW w:w="343" w:type="pct"/>
            <w:shd w:val="clear" w:color="000000" w:fill="FFFFFF"/>
            <w:vAlign w:val="center"/>
          </w:tcPr>
          <w:p w14:paraId="02314CC7" w14:textId="77E5E4C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385B1256" w14:textId="59E59B2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18DB2EE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21.65</w:t>
            </w:r>
          </w:p>
        </w:tc>
        <w:tc>
          <w:tcPr>
            <w:tcW w:w="406" w:type="pct"/>
            <w:shd w:val="clear" w:color="000000" w:fill="FFFFFF"/>
            <w:vAlign w:val="center"/>
          </w:tcPr>
          <w:p w14:paraId="2BA2631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000000" w:fill="FFFFFF"/>
            <w:vAlign w:val="center"/>
          </w:tcPr>
          <w:p w14:paraId="0FBFBA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15.85</w:t>
            </w:r>
          </w:p>
        </w:tc>
        <w:tc>
          <w:tcPr>
            <w:tcW w:w="343" w:type="pct"/>
            <w:shd w:val="clear" w:color="000000" w:fill="FFFFFF"/>
            <w:vAlign w:val="center"/>
          </w:tcPr>
          <w:p w14:paraId="4974D1F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535" w:type="pct"/>
            <w:shd w:val="clear" w:color="000000" w:fill="FFFFFF"/>
            <w:vAlign w:val="center"/>
          </w:tcPr>
          <w:p w14:paraId="21A73BE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&gt;= 90th percentile </w:t>
            </w:r>
          </w:p>
        </w:tc>
      </w:tr>
      <w:tr w:rsidR="005C3D48" w:rsidRPr="00411D9E" w14:paraId="328B187D" w14:textId="77777777" w:rsidTr="00FF262E">
        <w:trPr>
          <w:cantSplit/>
          <w:trHeight w:val="144"/>
        </w:trPr>
        <w:tc>
          <w:tcPr>
            <w:tcW w:w="286" w:type="pct"/>
            <w:shd w:val="clear" w:color="auto" w:fill="FFFFFF" w:themeFill="background1"/>
            <w:vAlign w:val="center"/>
          </w:tcPr>
          <w:p w14:paraId="745AD3A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B77BE6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Discharges/1000 MM Ages &lt;1 year</w:t>
            </w:r>
          </w:p>
        </w:tc>
        <w:tc>
          <w:tcPr>
            <w:tcW w:w="312" w:type="pct"/>
            <w:shd w:val="clear" w:color="auto" w:fill="auto"/>
            <w:vAlign w:val="center"/>
          </w:tcPr>
          <w:p w14:paraId="1BCF9F5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951</w:t>
            </w:r>
          </w:p>
        </w:tc>
        <w:tc>
          <w:tcPr>
            <w:tcW w:w="281" w:type="pct"/>
            <w:shd w:val="clear" w:color="000000" w:fill="FFFFFF"/>
            <w:vAlign w:val="center"/>
          </w:tcPr>
          <w:p w14:paraId="0720184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311" w:type="pct"/>
            <w:shd w:val="clear" w:color="000000" w:fill="FFFFFF"/>
            <w:vAlign w:val="center"/>
          </w:tcPr>
          <w:p w14:paraId="75514A6A"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3.15</w:t>
            </w:r>
          </w:p>
        </w:tc>
        <w:tc>
          <w:tcPr>
            <w:tcW w:w="343" w:type="pct"/>
            <w:shd w:val="clear" w:color="000000" w:fill="FFFFFF"/>
            <w:vAlign w:val="center"/>
          </w:tcPr>
          <w:p w14:paraId="4AA0BBCB" w14:textId="1929FA95"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13513B2F" w14:textId="73D88E2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2E5824C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5.01</w:t>
            </w:r>
          </w:p>
        </w:tc>
        <w:tc>
          <w:tcPr>
            <w:tcW w:w="406" w:type="pct"/>
            <w:shd w:val="clear" w:color="000000" w:fill="FFFFFF"/>
            <w:vAlign w:val="center"/>
          </w:tcPr>
          <w:p w14:paraId="0687FB0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29B6046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6D29FA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942CB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724B47C" w14:textId="77777777" w:rsidTr="00FF262E">
        <w:trPr>
          <w:cantSplit/>
          <w:trHeight w:val="144"/>
        </w:trPr>
        <w:tc>
          <w:tcPr>
            <w:tcW w:w="286" w:type="pct"/>
            <w:shd w:val="clear" w:color="auto" w:fill="FFFFFF" w:themeFill="background1"/>
            <w:vAlign w:val="center"/>
          </w:tcPr>
          <w:p w14:paraId="1D3738F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A9064F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Discharges/1000 MM Ages 1—9 years</w:t>
            </w:r>
          </w:p>
        </w:tc>
        <w:tc>
          <w:tcPr>
            <w:tcW w:w="312" w:type="pct"/>
            <w:shd w:val="clear" w:color="auto" w:fill="auto"/>
            <w:vAlign w:val="center"/>
          </w:tcPr>
          <w:p w14:paraId="407E5BC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56,709</w:t>
            </w:r>
          </w:p>
        </w:tc>
        <w:tc>
          <w:tcPr>
            <w:tcW w:w="281" w:type="pct"/>
            <w:shd w:val="clear" w:color="000000" w:fill="FFFFFF"/>
            <w:vAlign w:val="center"/>
          </w:tcPr>
          <w:p w14:paraId="4A92D6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w:t>
            </w:r>
          </w:p>
        </w:tc>
        <w:tc>
          <w:tcPr>
            <w:tcW w:w="311" w:type="pct"/>
            <w:shd w:val="clear" w:color="000000" w:fill="FFFFFF"/>
            <w:vAlign w:val="center"/>
          </w:tcPr>
          <w:p w14:paraId="7E4B22F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0.39</w:t>
            </w:r>
          </w:p>
        </w:tc>
        <w:tc>
          <w:tcPr>
            <w:tcW w:w="343" w:type="pct"/>
            <w:shd w:val="clear" w:color="000000" w:fill="FFFFFF"/>
            <w:vAlign w:val="center"/>
          </w:tcPr>
          <w:p w14:paraId="2388A59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38.6%</w:t>
            </w:r>
          </w:p>
        </w:tc>
        <w:tc>
          <w:tcPr>
            <w:tcW w:w="375" w:type="pct"/>
            <w:shd w:val="clear" w:color="000000" w:fill="FFFFFF"/>
            <w:vAlign w:val="center"/>
          </w:tcPr>
          <w:p w14:paraId="4C4629B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39.4%</w:t>
            </w:r>
          </w:p>
        </w:tc>
        <w:tc>
          <w:tcPr>
            <w:tcW w:w="405" w:type="pct"/>
            <w:shd w:val="clear" w:color="000000" w:fill="FFFFFF"/>
            <w:vAlign w:val="center"/>
          </w:tcPr>
          <w:p w14:paraId="3ABB155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0.54</w:t>
            </w:r>
          </w:p>
        </w:tc>
        <w:tc>
          <w:tcPr>
            <w:tcW w:w="406" w:type="pct"/>
            <w:shd w:val="clear" w:color="000000" w:fill="FFFFFF"/>
            <w:vAlign w:val="center"/>
          </w:tcPr>
          <w:p w14:paraId="362F805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575BE84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BEB58C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EBA2B8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F8C76CB" w14:textId="77777777" w:rsidTr="00FF262E">
        <w:trPr>
          <w:cantSplit/>
          <w:trHeight w:val="144"/>
        </w:trPr>
        <w:tc>
          <w:tcPr>
            <w:tcW w:w="286" w:type="pct"/>
            <w:shd w:val="clear" w:color="auto" w:fill="FFFFFF" w:themeFill="background1"/>
            <w:vAlign w:val="center"/>
          </w:tcPr>
          <w:p w14:paraId="762CB5BC"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C44F27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Discharges/1000 MM Ages 10—19 years</w:t>
            </w:r>
          </w:p>
        </w:tc>
        <w:tc>
          <w:tcPr>
            <w:tcW w:w="312" w:type="pct"/>
            <w:shd w:val="clear" w:color="auto" w:fill="auto"/>
            <w:vAlign w:val="center"/>
          </w:tcPr>
          <w:p w14:paraId="6C15D0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75,550</w:t>
            </w:r>
          </w:p>
        </w:tc>
        <w:tc>
          <w:tcPr>
            <w:tcW w:w="281" w:type="pct"/>
            <w:shd w:val="clear" w:color="000000" w:fill="FFFFFF"/>
            <w:vAlign w:val="center"/>
          </w:tcPr>
          <w:p w14:paraId="1BF4B30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51</w:t>
            </w:r>
          </w:p>
        </w:tc>
        <w:tc>
          <w:tcPr>
            <w:tcW w:w="311" w:type="pct"/>
            <w:shd w:val="clear" w:color="000000" w:fill="FFFFFF"/>
            <w:vAlign w:val="center"/>
          </w:tcPr>
          <w:p w14:paraId="1584F660"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0.68</w:t>
            </w:r>
          </w:p>
        </w:tc>
        <w:tc>
          <w:tcPr>
            <w:tcW w:w="343" w:type="pct"/>
            <w:shd w:val="clear" w:color="000000" w:fill="FFFFFF"/>
            <w:vAlign w:val="center"/>
          </w:tcPr>
          <w:p w14:paraId="28EC8AC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67.7%</w:t>
            </w:r>
          </w:p>
        </w:tc>
        <w:tc>
          <w:tcPr>
            <w:tcW w:w="375" w:type="pct"/>
            <w:shd w:val="clear" w:color="000000" w:fill="FFFFFF"/>
            <w:vAlign w:val="center"/>
          </w:tcPr>
          <w:p w14:paraId="1593EBB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68.3%</w:t>
            </w:r>
          </w:p>
        </w:tc>
        <w:tc>
          <w:tcPr>
            <w:tcW w:w="405" w:type="pct"/>
            <w:shd w:val="clear" w:color="000000" w:fill="FFFFFF"/>
            <w:vAlign w:val="center"/>
          </w:tcPr>
          <w:p w14:paraId="66C606D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0.62</w:t>
            </w:r>
          </w:p>
        </w:tc>
        <w:tc>
          <w:tcPr>
            <w:tcW w:w="406" w:type="pct"/>
            <w:shd w:val="clear" w:color="000000" w:fill="FFFFFF"/>
            <w:vAlign w:val="center"/>
          </w:tcPr>
          <w:p w14:paraId="56017DF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24B0D8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451E95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571F33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CB8BA93" w14:textId="77777777" w:rsidTr="00FF262E">
        <w:trPr>
          <w:cantSplit/>
          <w:trHeight w:val="144"/>
        </w:trPr>
        <w:tc>
          <w:tcPr>
            <w:tcW w:w="286" w:type="pct"/>
            <w:shd w:val="clear" w:color="auto" w:fill="FFFFFF" w:themeFill="background1"/>
            <w:vAlign w:val="center"/>
          </w:tcPr>
          <w:p w14:paraId="7AB64693"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DBE66EB"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Discharges/1000 MM Ages &lt;1—19 years Total Rate</w:t>
            </w:r>
          </w:p>
        </w:tc>
        <w:tc>
          <w:tcPr>
            <w:tcW w:w="312" w:type="pct"/>
            <w:shd w:val="clear" w:color="auto" w:fill="auto"/>
            <w:vAlign w:val="center"/>
          </w:tcPr>
          <w:p w14:paraId="4C7F266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133,222</w:t>
            </w:r>
          </w:p>
        </w:tc>
        <w:tc>
          <w:tcPr>
            <w:tcW w:w="281" w:type="pct"/>
            <w:shd w:val="clear" w:color="000000" w:fill="FFFFFF"/>
            <w:vAlign w:val="center"/>
          </w:tcPr>
          <w:p w14:paraId="44F11FE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76</w:t>
            </w:r>
          </w:p>
        </w:tc>
        <w:tc>
          <w:tcPr>
            <w:tcW w:w="311" w:type="pct"/>
            <w:shd w:val="clear" w:color="000000" w:fill="FFFFFF"/>
            <w:vAlign w:val="center"/>
          </w:tcPr>
          <w:p w14:paraId="7160A1C6"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0.57</w:t>
            </w:r>
          </w:p>
        </w:tc>
        <w:tc>
          <w:tcPr>
            <w:tcW w:w="343" w:type="pct"/>
            <w:shd w:val="clear" w:color="000000" w:fill="FFFFFF"/>
            <w:vAlign w:val="center"/>
          </w:tcPr>
          <w:p w14:paraId="232B1B1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56.7%</w:t>
            </w:r>
          </w:p>
        </w:tc>
        <w:tc>
          <w:tcPr>
            <w:tcW w:w="375" w:type="pct"/>
            <w:shd w:val="clear" w:color="000000" w:fill="FFFFFF"/>
            <w:vAlign w:val="center"/>
          </w:tcPr>
          <w:p w14:paraId="47BC473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57.3%</w:t>
            </w:r>
          </w:p>
        </w:tc>
        <w:tc>
          <w:tcPr>
            <w:tcW w:w="405" w:type="pct"/>
            <w:shd w:val="clear" w:color="000000" w:fill="FFFFFF"/>
            <w:vAlign w:val="center"/>
          </w:tcPr>
          <w:p w14:paraId="1D04990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0.61</w:t>
            </w:r>
          </w:p>
        </w:tc>
        <w:tc>
          <w:tcPr>
            <w:tcW w:w="406" w:type="pct"/>
            <w:shd w:val="clear" w:color="000000" w:fill="FFFFFF"/>
            <w:vAlign w:val="center"/>
          </w:tcPr>
          <w:p w14:paraId="546F035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1E03F7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2EF21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AF74FA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B21DF56" w14:textId="77777777" w:rsidTr="00FF262E">
        <w:trPr>
          <w:cantSplit/>
          <w:trHeight w:val="144"/>
        </w:trPr>
        <w:tc>
          <w:tcPr>
            <w:tcW w:w="286" w:type="pct"/>
            <w:shd w:val="clear" w:color="auto" w:fill="FFFFFF" w:themeFill="background1"/>
            <w:vAlign w:val="center"/>
          </w:tcPr>
          <w:p w14:paraId="15DA769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9053D5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Inpatient ALOS Ages &lt;1 year</w:t>
            </w:r>
          </w:p>
        </w:tc>
        <w:tc>
          <w:tcPr>
            <w:tcW w:w="312" w:type="pct"/>
            <w:shd w:val="clear" w:color="auto" w:fill="auto"/>
            <w:vAlign w:val="center"/>
          </w:tcPr>
          <w:p w14:paraId="59106BA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281" w:type="pct"/>
            <w:shd w:val="clear" w:color="000000" w:fill="FFFFFF"/>
            <w:vAlign w:val="center"/>
          </w:tcPr>
          <w:p w14:paraId="65FE051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w:t>
            </w:r>
          </w:p>
        </w:tc>
        <w:tc>
          <w:tcPr>
            <w:tcW w:w="311" w:type="pct"/>
            <w:shd w:val="clear" w:color="000000" w:fill="FFFFFF"/>
            <w:vAlign w:val="center"/>
          </w:tcPr>
          <w:p w14:paraId="5D15F1A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7.33</w:t>
            </w:r>
          </w:p>
        </w:tc>
        <w:tc>
          <w:tcPr>
            <w:tcW w:w="343" w:type="pct"/>
            <w:shd w:val="clear" w:color="000000" w:fill="FFFFFF"/>
            <w:vAlign w:val="center"/>
          </w:tcPr>
          <w:p w14:paraId="2DE4C3FA" w14:textId="0393934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3C3F10A8" w14:textId="4582ADD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5A6ED7C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3.50</w:t>
            </w:r>
          </w:p>
        </w:tc>
        <w:tc>
          <w:tcPr>
            <w:tcW w:w="406" w:type="pct"/>
            <w:shd w:val="clear" w:color="000000" w:fill="FFFFFF"/>
            <w:vAlign w:val="center"/>
          </w:tcPr>
          <w:p w14:paraId="69587921" w14:textId="36166D2D"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022BDBA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796686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02F8C3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2E24A81" w14:textId="77777777" w:rsidTr="00FF262E">
        <w:trPr>
          <w:cantSplit/>
          <w:trHeight w:val="144"/>
        </w:trPr>
        <w:tc>
          <w:tcPr>
            <w:tcW w:w="286" w:type="pct"/>
            <w:shd w:val="clear" w:color="auto" w:fill="FFFFFF" w:themeFill="background1"/>
            <w:vAlign w:val="center"/>
          </w:tcPr>
          <w:p w14:paraId="2D81AE2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60" w:type="pct"/>
            <w:shd w:val="clear" w:color="auto" w:fill="FFFFFF" w:themeFill="background1"/>
            <w:vAlign w:val="center"/>
          </w:tcPr>
          <w:p w14:paraId="6303B63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Inpatient ALOS Ages 1—9 Years</w:t>
            </w:r>
          </w:p>
        </w:tc>
        <w:tc>
          <w:tcPr>
            <w:tcW w:w="312" w:type="pct"/>
            <w:shd w:val="clear" w:color="auto" w:fill="auto"/>
            <w:vAlign w:val="center"/>
          </w:tcPr>
          <w:p w14:paraId="2072027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w:t>
            </w:r>
          </w:p>
        </w:tc>
        <w:tc>
          <w:tcPr>
            <w:tcW w:w="281" w:type="pct"/>
            <w:shd w:val="clear" w:color="000000" w:fill="FFFFFF"/>
            <w:vAlign w:val="center"/>
          </w:tcPr>
          <w:p w14:paraId="50D6838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79</w:t>
            </w:r>
          </w:p>
        </w:tc>
        <w:tc>
          <w:tcPr>
            <w:tcW w:w="311" w:type="pct"/>
            <w:shd w:val="clear" w:color="000000" w:fill="FFFFFF"/>
            <w:vAlign w:val="center"/>
          </w:tcPr>
          <w:p w14:paraId="508181A7"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3.59</w:t>
            </w:r>
          </w:p>
        </w:tc>
        <w:tc>
          <w:tcPr>
            <w:tcW w:w="343" w:type="pct"/>
            <w:shd w:val="clear" w:color="000000" w:fill="FFFFFF"/>
            <w:vAlign w:val="center"/>
          </w:tcPr>
          <w:p w14:paraId="1357BDCF" w14:textId="32BCF14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28197562" w14:textId="0C7FDFB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73B8F98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3.45</w:t>
            </w:r>
          </w:p>
        </w:tc>
        <w:tc>
          <w:tcPr>
            <w:tcW w:w="406" w:type="pct"/>
            <w:shd w:val="clear" w:color="000000" w:fill="FFFFFF"/>
            <w:vAlign w:val="center"/>
          </w:tcPr>
          <w:p w14:paraId="1A48BFF4" w14:textId="090B644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3F8B14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6B6E9F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23B2A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97EBE26" w14:textId="77777777" w:rsidTr="00FF262E">
        <w:trPr>
          <w:cantSplit/>
          <w:trHeight w:val="144"/>
        </w:trPr>
        <w:tc>
          <w:tcPr>
            <w:tcW w:w="286" w:type="pct"/>
            <w:shd w:val="clear" w:color="auto" w:fill="FFFFFF" w:themeFill="background1"/>
            <w:vAlign w:val="center"/>
          </w:tcPr>
          <w:p w14:paraId="7E510E2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698DF7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Inpatient ALOS Ages 10—19 years</w:t>
            </w:r>
          </w:p>
        </w:tc>
        <w:tc>
          <w:tcPr>
            <w:tcW w:w="312" w:type="pct"/>
            <w:shd w:val="clear" w:color="auto" w:fill="auto"/>
            <w:vAlign w:val="center"/>
          </w:tcPr>
          <w:p w14:paraId="31C17DE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51</w:t>
            </w:r>
          </w:p>
        </w:tc>
        <w:tc>
          <w:tcPr>
            <w:tcW w:w="281" w:type="pct"/>
            <w:shd w:val="clear" w:color="000000" w:fill="FFFFFF"/>
            <w:vAlign w:val="center"/>
          </w:tcPr>
          <w:p w14:paraId="6708883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247</w:t>
            </w:r>
          </w:p>
        </w:tc>
        <w:tc>
          <w:tcPr>
            <w:tcW w:w="311" w:type="pct"/>
            <w:shd w:val="clear" w:color="000000" w:fill="FFFFFF"/>
            <w:vAlign w:val="center"/>
          </w:tcPr>
          <w:p w14:paraId="4D5EC31B"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4.84</w:t>
            </w:r>
          </w:p>
        </w:tc>
        <w:tc>
          <w:tcPr>
            <w:tcW w:w="343" w:type="pct"/>
            <w:shd w:val="clear" w:color="000000" w:fill="FFFFFF"/>
            <w:vAlign w:val="center"/>
          </w:tcPr>
          <w:p w14:paraId="476FB8D3" w14:textId="1807F20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24126493" w14:textId="550BA8D5"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70A920C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4.05</w:t>
            </w:r>
          </w:p>
        </w:tc>
        <w:tc>
          <w:tcPr>
            <w:tcW w:w="406" w:type="pct"/>
            <w:shd w:val="clear" w:color="000000" w:fill="FFFFFF"/>
            <w:vAlign w:val="center"/>
          </w:tcPr>
          <w:p w14:paraId="235BA081" w14:textId="5C8E636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0D29347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0CF0E5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265767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5BD3239" w14:textId="77777777" w:rsidTr="00FF262E">
        <w:trPr>
          <w:cantSplit/>
          <w:trHeight w:val="144"/>
        </w:trPr>
        <w:tc>
          <w:tcPr>
            <w:tcW w:w="286" w:type="pct"/>
            <w:shd w:val="clear" w:color="auto" w:fill="FFFFFF" w:themeFill="background1"/>
            <w:vAlign w:val="center"/>
          </w:tcPr>
          <w:p w14:paraId="7E51940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AA7C48B"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Total Inpatient ALOS Ages &lt;1—19 years Total Rate</w:t>
            </w:r>
          </w:p>
        </w:tc>
        <w:tc>
          <w:tcPr>
            <w:tcW w:w="312" w:type="pct"/>
            <w:shd w:val="clear" w:color="auto" w:fill="auto"/>
            <w:vAlign w:val="center"/>
          </w:tcPr>
          <w:p w14:paraId="312BC00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76</w:t>
            </w:r>
          </w:p>
        </w:tc>
        <w:tc>
          <w:tcPr>
            <w:tcW w:w="281" w:type="pct"/>
            <w:shd w:val="clear" w:color="000000" w:fill="FFFFFF"/>
            <w:vAlign w:val="center"/>
          </w:tcPr>
          <w:p w14:paraId="76724A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348</w:t>
            </w:r>
          </w:p>
        </w:tc>
        <w:tc>
          <w:tcPr>
            <w:tcW w:w="311" w:type="pct"/>
            <w:shd w:val="clear" w:color="000000" w:fill="FFFFFF"/>
            <w:vAlign w:val="center"/>
          </w:tcPr>
          <w:p w14:paraId="19934E7A"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4.58</w:t>
            </w:r>
          </w:p>
        </w:tc>
        <w:tc>
          <w:tcPr>
            <w:tcW w:w="343" w:type="pct"/>
            <w:shd w:val="clear" w:color="000000" w:fill="FFFFFF"/>
            <w:vAlign w:val="center"/>
          </w:tcPr>
          <w:p w14:paraId="43365A7D" w14:textId="7BDA920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173A41C8" w14:textId="07F5255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30FA5D5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3.78</w:t>
            </w:r>
          </w:p>
        </w:tc>
        <w:tc>
          <w:tcPr>
            <w:tcW w:w="406" w:type="pct"/>
            <w:shd w:val="clear" w:color="000000" w:fill="FFFFFF"/>
            <w:vAlign w:val="center"/>
          </w:tcPr>
          <w:p w14:paraId="0FDC8C1C" w14:textId="032FEE1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1AF7C10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DB5D00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2F9D71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786D749" w14:textId="77777777" w:rsidTr="00FF262E">
        <w:trPr>
          <w:cantSplit/>
          <w:trHeight w:val="144"/>
        </w:trPr>
        <w:tc>
          <w:tcPr>
            <w:tcW w:w="286" w:type="pct"/>
            <w:shd w:val="clear" w:color="auto" w:fill="FFFFFF" w:themeFill="background1"/>
            <w:vAlign w:val="center"/>
          </w:tcPr>
          <w:p w14:paraId="363C764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8920C6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Surgery Discharges/1000 MM Ages &lt;1 year</w:t>
            </w:r>
          </w:p>
        </w:tc>
        <w:tc>
          <w:tcPr>
            <w:tcW w:w="312" w:type="pct"/>
            <w:shd w:val="clear" w:color="auto" w:fill="auto"/>
            <w:vAlign w:val="center"/>
          </w:tcPr>
          <w:p w14:paraId="25F3D03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951</w:t>
            </w:r>
          </w:p>
        </w:tc>
        <w:tc>
          <w:tcPr>
            <w:tcW w:w="281" w:type="pct"/>
            <w:shd w:val="clear" w:color="000000" w:fill="FFFFFF"/>
            <w:vAlign w:val="center"/>
          </w:tcPr>
          <w:p w14:paraId="1587E2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190E6F7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0.00</w:t>
            </w:r>
          </w:p>
        </w:tc>
        <w:tc>
          <w:tcPr>
            <w:tcW w:w="343" w:type="pct"/>
            <w:shd w:val="clear" w:color="000000" w:fill="FFFFFF"/>
            <w:vAlign w:val="center"/>
          </w:tcPr>
          <w:p w14:paraId="59D60EE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040781E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2F0E37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1.25</w:t>
            </w:r>
          </w:p>
        </w:tc>
        <w:tc>
          <w:tcPr>
            <w:tcW w:w="406" w:type="pct"/>
            <w:shd w:val="clear" w:color="000000" w:fill="FFFFFF"/>
            <w:vAlign w:val="center"/>
          </w:tcPr>
          <w:p w14:paraId="4F7FB3F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128450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0EC00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8D326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5A4FF345" w14:textId="77777777" w:rsidTr="00FF262E">
        <w:trPr>
          <w:cantSplit/>
          <w:trHeight w:val="144"/>
        </w:trPr>
        <w:tc>
          <w:tcPr>
            <w:tcW w:w="286" w:type="pct"/>
            <w:shd w:val="clear" w:color="auto" w:fill="FFFFFF" w:themeFill="background1"/>
            <w:vAlign w:val="center"/>
          </w:tcPr>
          <w:p w14:paraId="5AFDCDA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5C874F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Surgery Discharges/1000 MM  Ages 1—9 years</w:t>
            </w:r>
          </w:p>
        </w:tc>
        <w:tc>
          <w:tcPr>
            <w:tcW w:w="312" w:type="pct"/>
            <w:shd w:val="clear" w:color="auto" w:fill="auto"/>
            <w:vAlign w:val="center"/>
          </w:tcPr>
          <w:p w14:paraId="063BD8A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56,709</w:t>
            </w:r>
          </w:p>
        </w:tc>
        <w:tc>
          <w:tcPr>
            <w:tcW w:w="281" w:type="pct"/>
            <w:shd w:val="clear" w:color="000000" w:fill="FFFFFF"/>
            <w:vAlign w:val="center"/>
          </w:tcPr>
          <w:p w14:paraId="40F3965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1" w:type="pct"/>
            <w:shd w:val="clear" w:color="000000" w:fill="FFFFFF"/>
            <w:vAlign w:val="center"/>
          </w:tcPr>
          <w:p w14:paraId="5BDABA34"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0.12</w:t>
            </w:r>
          </w:p>
        </w:tc>
        <w:tc>
          <w:tcPr>
            <w:tcW w:w="343" w:type="pct"/>
            <w:shd w:val="clear" w:color="000000" w:fill="FFFFFF"/>
            <w:vAlign w:val="center"/>
          </w:tcPr>
          <w:p w14:paraId="712644B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11.7%</w:t>
            </w:r>
          </w:p>
        </w:tc>
        <w:tc>
          <w:tcPr>
            <w:tcW w:w="375" w:type="pct"/>
            <w:shd w:val="clear" w:color="000000" w:fill="FFFFFF"/>
            <w:vAlign w:val="center"/>
          </w:tcPr>
          <w:p w14:paraId="6427FD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12.3%</w:t>
            </w:r>
          </w:p>
        </w:tc>
        <w:tc>
          <w:tcPr>
            <w:tcW w:w="405" w:type="pct"/>
            <w:shd w:val="clear" w:color="000000" w:fill="FFFFFF"/>
            <w:vAlign w:val="center"/>
          </w:tcPr>
          <w:p w14:paraId="6D31EE5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0.19</w:t>
            </w:r>
          </w:p>
        </w:tc>
        <w:tc>
          <w:tcPr>
            <w:tcW w:w="406" w:type="pct"/>
            <w:shd w:val="clear" w:color="000000" w:fill="FFFFFF"/>
            <w:vAlign w:val="center"/>
          </w:tcPr>
          <w:p w14:paraId="2F90DB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32FF64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20723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6F684C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8B6F5AC" w14:textId="77777777" w:rsidTr="00FF262E">
        <w:trPr>
          <w:cantSplit/>
          <w:trHeight w:val="144"/>
        </w:trPr>
        <w:tc>
          <w:tcPr>
            <w:tcW w:w="286" w:type="pct"/>
            <w:shd w:val="clear" w:color="auto" w:fill="FFFFFF" w:themeFill="background1"/>
            <w:vAlign w:val="center"/>
          </w:tcPr>
          <w:p w14:paraId="48349461"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42D1FD0"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Surgery Discharges/1000 MM Ages 10—19 years</w:t>
            </w:r>
          </w:p>
        </w:tc>
        <w:tc>
          <w:tcPr>
            <w:tcW w:w="312" w:type="pct"/>
            <w:shd w:val="clear" w:color="auto" w:fill="auto"/>
            <w:vAlign w:val="center"/>
          </w:tcPr>
          <w:p w14:paraId="722A287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75,550</w:t>
            </w:r>
          </w:p>
        </w:tc>
        <w:tc>
          <w:tcPr>
            <w:tcW w:w="281" w:type="pct"/>
            <w:shd w:val="clear" w:color="000000" w:fill="FFFFFF"/>
            <w:vAlign w:val="center"/>
          </w:tcPr>
          <w:p w14:paraId="565FE02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w:t>
            </w:r>
          </w:p>
        </w:tc>
        <w:tc>
          <w:tcPr>
            <w:tcW w:w="311" w:type="pct"/>
            <w:shd w:val="clear" w:color="000000" w:fill="FFFFFF"/>
            <w:vAlign w:val="center"/>
          </w:tcPr>
          <w:p w14:paraId="37283B53"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0.28</w:t>
            </w:r>
          </w:p>
        </w:tc>
        <w:tc>
          <w:tcPr>
            <w:tcW w:w="343" w:type="pct"/>
            <w:shd w:val="clear" w:color="000000" w:fill="FFFFFF"/>
            <w:vAlign w:val="center"/>
          </w:tcPr>
          <w:p w14:paraId="1D78A7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27.7%</w:t>
            </w:r>
          </w:p>
        </w:tc>
        <w:tc>
          <w:tcPr>
            <w:tcW w:w="375" w:type="pct"/>
            <w:shd w:val="clear" w:color="000000" w:fill="FFFFFF"/>
            <w:vAlign w:val="center"/>
          </w:tcPr>
          <w:p w14:paraId="38B4789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28.3%</w:t>
            </w:r>
          </w:p>
        </w:tc>
        <w:tc>
          <w:tcPr>
            <w:tcW w:w="405" w:type="pct"/>
            <w:shd w:val="clear" w:color="000000" w:fill="FFFFFF"/>
            <w:vAlign w:val="center"/>
          </w:tcPr>
          <w:p w14:paraId="7E834A3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0.21</w:t>
            </w:r>
          </w:p>
        </w:tc>
        <w:tc>
          <w:tcPr>
            <w:tcW w:w="406" w:type="pct"/>
            <w:shd w:val="clear" w:color="000000" w:fill="FFFFFF"/>
            <w:vAlign w:val="center"/>
          </w:tcPr>
          <w:p w14:paraId="0DC3088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0E2A25B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1F4AF3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2F1FE5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C1AA328" w14:textId="77777777" w:rsidTr="00FF262E">
        <w:trPr>
          <w:cantSplit/>
          <w:trHeight w:val="144"/>
        </w:trPr>
        <w:tc>
          <w:tcPr>
            <w:tcW w:w="286" w:type="pct"/>
            <w:shd w:val="clear" w:color="auto" w:fill="FFFFFF" w:themeFill="background1"/>
            <w:vAlign w:val="center"/>
          </w:tcPr>
          <w:p w14:paraId="5DFB9C7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8ADE73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Surgery Discharges/1000 MM Ages &lt;1—19 years Total Rate</w:t>
            </w:r>
          </w:p>
        </w:tc>
        <w:tc>
          <w:tcPr>
            <w:tcW w:w="312" w:type="pct"/>
            <w:shd w:val="clear" w:color="auto" w:fill="auto"/>
            <w:vAlign w:val="center"/>
          </w:tcPr>
          <w:p w14:paraId="628C9B2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133,222</w:t>
            </w:r>
          </w:p>
        </w:tc>
        <w:tc>
          <w:tcPr>
            <w:tcW w:w="281" w:type="pct"/>
            <w:shd w:val="clear" w:color="000000" w:fill="FFFFFF"/>
            <w:vAlign w:val="center"/>
          </w:tcPr>
          <w:p w14:paraId="4728DD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w:t>
            </w:r>
          </w:p>
        </w:tc>
        <w:tc>
          <w:tcPr>
            <w:tcW w:w="311" w:type="pct"/>
            <w:shd w:val="clear" w:color="000000" w:fill="FFFFFF"/>
            <w:vAlign w:val="center"/>
          </w:tcPr>
          <w:p w14:paraId="05B4B97B"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0.21</w:t>
            </w:r>
          </w:p>
        </w:tc>
        <w:tc>
          <w:tcPr>
            <w:tcW w:w="343" w:type="pct"/>
            <w:shd w:val="clear" w:color="000000" w:fill="FFFFFF"/>
            <w:vAlign w:val="center"/>
          </w:tcPr>
          <w:p w14:paraId="013C45E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w:t>
            </w:r>
          </w:p>
        </w:tc>
        <w:tc>
          <w:tcPr>
            <w:tcW w:w="375" w:type="pct"/>
            <w:shd w:val="clear" w:color="000000" w:fill="FFFFFF"/>
            <w:vAlign w:val="center"/>
          </w:tcPr>
          <w:p w14:paraId="00536F5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21.2%</w:t>
            </w:r>
          </w:p>
        </w:tc>
        <w:tc>
          <w:tcPr>
            <w:tcW w:w="405" w:type="pct"/>
            <w:shd w:val="clear" w:color="000000" w:fill="FFFFFF"/>
            <w:vAlign w:val="center"/>
          </w:tcPr>
          <w:p w14:paraId="1BE21E3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0.21</w:t>
            </w:r>
          </w:p>
        </w:tc>
        <w:tc>
          <w:tcPr>
            <w:tcW w:w="406" w:type="pct"/>
            <w:shd w:val="clear" w:color="000000" w:fill="FFFFFF"/>
            <w:vAlign w:val="center"/>
          </w:tcPr>
          <w:p w14:paraId="4CADF4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8809F5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96D566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2993F3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061E7EA" w14:textId="77777777" w:rsidTr="00FF262E">
        <w:trPr>
          <w:cantSplit/>
          <w:trHeight w:val="144"/>
        </w:trPr>
        <w:tc>
          <w:tcPr>
            <w:tcW w:w="286" w:type="pct"/>
            <w:shd w:val="clear" w:color="auto" w:fill="FFFFFF" w:themeFill="background1"/>
            <w:vAlign w:val="center"/>
          </w:tcPr>
          <w:p w14:paraId="74F1F34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10E91A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 xml:space="preserve">IPUA: Surgery ALOS Ages &lt;1 year </w:t>
            </w:r>
          </w:p>
        </w:tc>
        <w:tc>
          <w:tcPr>
            <w:tcW w:w="312" w:type="pct"/>
            <w:shd w:val="clear" w:color="auto" w:fill="auto"/>
            <w:vAlign w:val="center"/>
          </w:tcPr>
          <w:p w14:paraId="26F7A48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281" w:type="pct"/>
            <w:shd w:val="clear" w:color="000000" w:fill="FFFFFF"/>
            <w:vAlign w:val="center"/>
          </w:tcPr>
          <w:p w14:paraId="0570244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3A2D0E47"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w:t>
            </w:r>
          </w:p>
        </w:tc>
        <w:tc>
          <w:tcPr>
            <w:tcW w:w="343" w:type="pct"/>
            <w:shd w:val="clear" w:color="000000" w:fill="FFFFFF"/>
            <w:vAlign w:val="center"/>
          </w:tcPr>
          <w:p w14:paraId="6D897E63" w14:textId="4A13F53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4EC29426" w14:textId="61C6E8A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19BA5D2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1.00</w:t>
            </w:r>
          </w:p>
        </w:tc>
        <w:tc>
          <w:tcPr>
            <w:tcW w:w="406" w:type="pct"/>
            <w:shd w:val="clear" w:color="000000" w:fill="FFFFFF"/>
            <w:vAlign w:val="center"/>
          </w:tcPr>
          <w:p w14:paraId="1D93A756" w14:textId="5A134516"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44875AB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7B1165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FB225D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1459390" w14:textId="77777777" w:rsidTr="00FF262E">
        <w:trPr>
          <w:cantSplit/>
          <w:trHeight w:val="144"/>
        </w:trPr>
        <w:tc>
          <w:tcPr>
            <w:tcW w:w="286" w:type="pct"/>
            <w:shd w:val="clear" w:color="auto" w:fill="FFFFFF" w:themeFill="background1"/>
            <w:vAlign w:val="center"/>
          </w:tcPr>
          <w:p w14:paraId="770AFB4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B57F6E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Surgery ALOS Ages 1—9 years</w:t>
            </w:r>
          </w:p>
        </w:tc>
        <w:tc>
          <w:tcPr>
            <w:tcW w:w="312" w:type="pct"/>
            <w:shd w:val="clear" w:color="auto" w:fill="auto"/>
            <w:vAlign w:val="center"/>
          </w:tcPr>
          <w:p w14:paraId="78A85A8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281" w:type="pct"/>
            <w:shd w:val="clear" w:color="000000" w:fill="FFFFFF"/>
            <w:vAlign w:val="center"/>
          </w:tcPr>
          <w:p w14:paraId="6DA5E00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46</w:t>
            </w:r>
          </w:p>
        </w:tc>
        <w:tc>
          <w:tcPr>
            <w:tcW w:w="311" w:type="pct"/>
            <w:shd w:val="clear" w:color="000000" w:fill="FFFFFF"/>
            <w:vAlign w:val="center"/>
          </w:tcPr>
          <w:p w14:paraId="0F917266"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6.57</w:t>
            </w:r>
          </w:p>
        </w:tc>
        <w:tc>
          <w:tcPr>
            <w:tcW w:w="343" w:type="pct"/>
            <w:shd w:val="clear" w:color="000000" w:fill="FFFFFF"/>
            <w:vAlign w:val="center"/>
          </w:tcPr>
          <w:p w14:paraId="59DE6987" w14:textId="46ADF79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44833BE8" w14:textId="17C78D5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799E014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3.82</w:t>
            </w:r>
          </w:p>
        </w:tc>
        <w:tc>
          <w:tcPr>
            <w:tcW w:w="406" w:type="pct"/>
            <w:shd w:val="clear" w:color="000000" w:fill="FFFFFF"/>
            <w:vAlign w:val="center"/>
          </w:tcPr>
          <w:p w14:paraId="3DA4045E" w14:textId="5D42C08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5848627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BF7352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5BF91B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0FF1145" w14:textId="77777777" w:rsidTr="00FF262E">
        <w:trPr>
          <w:cantSplit/>
          <w:trHeight w:val="144"/>
        </w:trPr>
        <w:tc>
          <w:tcPr>
            <w:tcW w:w="286" w:type="pct"/>
            <w:shd w:val="clear" w:color="auto" w:fill="FFFFFF" w:themeFill="background1"/>
            <w:vAlign w:val="center"/>
          </w:tcPr>
          <w:p w14:paraId="053AC7B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B0D81FD"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Surgery ALOS Ages 10—19 years</w:t>
            </w:r>
          </w:p>
        </w:tc>
        <w:tc>
          <w:tcPr>
            <w:tcW w:w="312" w:type="pct"/>
            <w:shd w:val="clear" w:color="auto" w:fill="auto"/>
            <w:vAlign w:val="center"/>
          </w:tcPr>
          <w:p w14:paraId="1040A91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w:t>
            </w:r>
          </w:p>
        </w:tc>
        <w:tc>
          <w:tcPr>
            <w:tcW w:w="281" w:type="pct"/>
            <w:shd w:val="clear" w:color="000000" w:fill="FFFFFF"/>
            <w:vAlign w:val="center"/>
          </w:tcPr>
          <w:p w14:paraId="1BA2C91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111</w:t>
            </w:r>
          </w:p>
        </w:tc>
        <w:tc>
          <w:tcPr>
            <w:tcW w:w="311" w:type="pct"/>
            <w:shd w:val="clear" w:color="000000" w:fill="FFFFFF"/>
            <w:vAlign w:val="center"/>
          </w:tcPr>
          <w:p w14:paraId="4F086D7D"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5.29</w:t>
            </w:r>
          </w:p>
        </w:tc>
        <w:tc>
          <w:tcPr>
            <w:tcW w:w="343" w:type="pct"/>
            <w:shd w:val="clear" w:color="000000" w:fill="FFFFFF"/>
            <w:vAlign w:val="center"/>
          </w:tcPr>
          <w:p w14:paraId="115D25DC" w14:textId="518D7CC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3D822D68" w14:textId="7E056CF0"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4614C95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5.07</w:t>
            </w:r>
          </w:p>
        </w:tc>
        <w:tc>
          <w:tcPr>
            <w:tcW w:w="406" w:type="pct"/>
            <w:shd w:val="clear" w:color="000000" w:fill="FFFFFF"/>
            <w:vAlign w:val="center"/>
          </w:tcPr>
          <w:p w14:paraId="267E0C24" w14:textId="48ACC82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4CA4979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15980B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1AC7B3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6F0E248" w14:textId="77777777" w:rsidTr="00FF262E">
        <w:trPr>
          <w:cantSplit/>
          <w:trHeight w:val="144"/>
        </w:trPr>
        <w:tc>
          <w:tcPr>
            <w:tcW w:w="286" w:type="pct"/>
            <w:shd w:val="clear" w:color="auto" w:fill="FFFFFF" w:themeFill="background1"/>
            <w:vAlign w:val="center"/>
          </w:tcPr>
          <w:p w14:paraId="2446515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8AA74A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 xml:space="preserve">IPUA: Surgery ALOS Ages &lt;1—19 years Total Rate </w:t>
            </w:r>
          </w:p>
        </w:tc>
        <w:tc>
          <w:tcPr>
            <w:tcW w:w="312" w:type="pct"/>
            <w:shd w:val="clear" w:color="auto" w:fill="auto"/>
            <w:vAlign w:val="center"/>
          </w:tcPr>
          <w:p w14:paraId="7E4B126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28</w:t>
            </w:r>
          </w:p>
        </w:tc>
        <w:tc>
          <w:tcPr>
            <w:tcW w:w="281" w:type="pct"/>
            <w:shd w:val="clear" w:color="000000" w:fill="FFFFFF"/>
            <w:vAlign w:val="center"/>
          </w:tcPr>
          <w:p w14:paraId="210DAF1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157</w:t>
            </w:r>
          </w:p>
        </w:tc>
        <w:tc>
          <w:tcPr>
            <w:tcW w:w="311" w:type="pct"/>
            <w:shd w:val="clear" w:color="000000" w:fill="FFFFFF"/>
            <w:vAlign w:val="center"/>
          </w:tcPr>
          <w:p w14:paraId="2501FB1D"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5.61</w:t>
            </w:r>
          </w:p>
        </w:tc>
        <w:tc>
          <w:tcPr>
            <w:tcW w:w="343" w:type="pct"/>
            <w:shd w:val="clear" w:color="000000" w:fill="FFFFFF"/>
            <w:vAlign w:val="center"/>
          </w:tcPr>
          <w:p w14:paraId="580B5C81" w14:textId="7FCB1AB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46E899F4" w14:textId="2A30F29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6466FE5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4.41</w:t>
            </w:r>
          </w:p>
        </w:tc>
        <w:tc>
          <w:tcPr>
            <w:tcW w:w="406" w:type="pct"/>
            <w:shd w:val="clear" w:color="000000" w:fill="FFFFFF"/>
            <w:vAlign w:val="center"/>
          </w:tcPr>
          <w:p w14:paraId="5E38C54B" w14:textId="15098D1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42F5BF1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8B09DF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AA8C09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C2159BE" w14:textId="77777777" w:rsidTr="00FF262E">
        <w:trPr>
          <w:cantSplit/>
          <w:trHeight w:val="144"/>
        </w:trPr>
        <w:tc>
          <w:tcPr>
            <w:tcW w:w="286" w:type="pct"/>
            <w:shd w:val="clear" w:color="auto" w:fill="FFFFFF" w:themeFill="background1"/>
            <w:vAlign w:val="center"/>
          </w:tcPr>
          <w:p w14:paraId="3225A8F1"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9CEF5A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Discharges/1000 MM Ages &lt;1 year</w:t>
            </w:r>
          </w:p>
        </w:tc>
        <w:tc>
          <w:tcPr>
            <w:tcW w:w="312" w:type="pct"/>
            <w:shd w:val="clear" w:color="auto" w:fill="auto"/>
            <w:vAlign w:val="center"/>
          </w:tcPr>
          <w:p w14:paraId="43B2C1D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951</w:t>
            </w:r>
          </w:p>
        </w:tc>
        <w:tc>
          <w:tcPr>
            <w:tcW w:w="281" w:type="pct"/>
            <w:shd w:val="clear" w:color="000000" w:fill="FFFFFF"/>
            <w:vAlign w:val="center"/>
          </w:tcPr>
          <w:p w14:paraId="3BC2209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311" w:type="pct"/>
            <w:shd w:val="clear" w:color="000000" w:fill="FFFFFF"/>
            <w:vAlign w:val="center"/>
          </w:tcPr>
          <w:p w14:paraId="21699E3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3.15</w:t>
            </w:r>
          </w:p>
        </w:tc>
        <w:tc>
          <w:tcPr>
            <w:tcW w:w="343" w:type="pct"/>
            <w:shd w:val="clear" w:color="000000" w:fill="FFFFFF"/>
            <w:vAlign w:val="center"/>
          </w:tcPr>
          <w:p w14:paraId="6BE6AD5E" w14:textId="082C91D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0B95DAC0" w14:textId="3079898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0EF5A4E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3.76</w:t>
            </w:r>
          </w:p>
        </w:tc>
        <w:tc>
          <w:tcPr>
            <w:tcW w:w="406" w:type="pct"/>
            <w:shd w:val="clear" w:color="000000" w:fill="FFFFFF"/>
            <w:vAlign w:val="center"/>
          </w:tcPr>
          <w:p w14:paraId="00C52C9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274D109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28292B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642CF8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0ADC34B" w14:textId="77777777" w:rsidTr="00FF262E">
        <w:trPr>
          <w:cantSplit/>
          <w:trHeight w:val="144"/>
        </w:trPr>
        <w:tc>
          <w:tcPr>
            <w:tcW w:w="286" w:type="pct"/>
            <w:shd w:val="clear" w:color="auto" w:fill="FFFFFF" w:themeFill="background1"/>
            <w:vAlign w:val="center"/>
          </w:tcPr>
          <w:p w14:paraId="267CC23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B346D8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Discharges/1000 MM Ages 1—9 years</w:t>
            </w:r>
          </w:p>
        </w:tc>
        <w:tc>
          <w:tcPr>
            <w:tcW w:w="312" w:type="pct"/>
            <w:shd w:val="clear" w:color="auto" w:fill="auto"/>
            <w:vAlign w:val="center"/>
          </w:tcPr>
          <w:p w14:paraId="4559FBC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56,709</w:t>
            </w:r>
          </w:p>
        </w:tc>
        <w:tc>
          <w:tcPr>
            <w:tcW w:w="281" w:type="pct"/>
            <w:shd w:val="clear" w:color="000000" w:fill="FFFFFF"/>
            <w:vAlign w:val="center"/>
          </w:tcPr>
          <w:p w14:paraId="281CDC2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w:t>
            </w:r>
          </w:p>
        </w:tc>
        <w:tc>
          <w:tcPr>
            <w:tcW w:w="311" w:type="pct"/>
            <w:shd w:val="clear" w:color="000000" w:fill="FFFFFF"/>
            <w:vAlign w:val="center"/>
          </w:tcPr>
          <w:p w14:paraId="7637B736"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0.26</w:t>
            </w:r>
          </w:p>
        </w:tc>
        <w:tc>
          <w:tcPr>
            <w:tcW w:w="343" w:type="pct"/>
            <w:shd w:val="clear" w:color="000000" w:fill="FFFFFF"/>
            <w:vAlign w:val="center"/>
          </w:tcPr>
          <w:p w14:paraId="527C7F0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25.6%</w:t>
            </w:r>
          </w:p>
        </w:tc>
        <w:tc>
          <w:tcPr>
            <w:tcW w:w="375" w:type="pct"/>
            <w:shd w:val="clear" w:color="000000" w:fill="FFFFFF"/>
            <w:vAlign w:val="center"/>
          </w:tcPr>
          <w:p w14:paraId="0D22762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26.4%</w:t>
            </w:r>
          </w:p>
        </w:tc>
        <w:tc>
          <w:tcPr>
            <w:tcW w:w="405" w:type="pct"/>
            <w:shd w:val="clear" w:color="000000" w:fill="FFFFFF"/>
            <w:vAlign w:val="center"/>
          </w:tcPr>
          <w:p w14:paraId="7E1C8A7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0.35</w:t>
            </w:r>
          </w:p>
        </w:tc>
        <w:tc>
          <w:tcPr>
            <w:tcW w:w="406" w:type="pct"/>
            <w:shd w:val="clear" w:color="000000" w:fill="FFFFFF"/>
            <w:vAlign w:val="center"/>
          </w:tcPr>
          <w:p w14:paraId="27F9DE1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7C8E10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06CD15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9A882C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99A108E" w14:textId="77777777" w:rsidTr="00FF262E">
        <w:trPr>
          <w:cantSplit/>
          <w:trHeight w:val="144"/>
        </w:trPr>
        <w:tc>
          <w:tcPr>
            <w:tcW w:w="286" w:type="pct"/>
            <w:shd w:val="clear" w:color="auto" w:fill="FFFFFF" w:themeFill="background1"/>
            <w:vAlign w:val="center"/>
          </w:tcPr>
          <w:p w14:paraId="1529D42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0BD006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Discharges/1000 MM Ages 10—19 years</w:t>
            </w:r>
          </w:p>
        </w:tc>
        <w:tc>
          <w:tcPr>
            <w:tcW w:w="312" w:type="pct"/>
            <w:shd w:val="clear" w:color="auto" w:fill="auto"/>
            <w:vAlign w:val="center"/>
          </w:tcPr>
          <w:p w14:paraId="6DC59B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75,550</w:t>
            </w:r>
          </w:p>
        </w:tc>
        <w:tc>
          <w:tcPr>
            <w:tcW w:w="281" w:type="pct"/>
            <w:shd w:val="clear" w:color="000000" w:fill="FFFFFF"/>
            <w:vAlign w:val="center"/>
          </w:tcPr>
          <w:p w14:paraId="50FDABE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25</w:t>
            </w:r>
          </w:p>
        </w:tc>
        <w:tc>
          <w:tcPr>
            <w:tcW w:w="311" w:type="pct"/>
            <w:shd w:val="clear" w:color="000000" w:fill="FFFFFF"/>
            <w:vAlign w:val="center"/>
          </w:tcPr>
          <w:p w14:paraId="2EB77E87"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0.33</w:t>
            </w:r>
          </w:p>
        </w:tc>
        <w:tc>
          <w:tcPr>
            <w:tcW w:w="343" w:type="pct"/>
            <w:shd w:val="clear" w:color="000000" w:fill="FFFFFF"/>
            <w:vAlign w:val="center"/>
          </w:tcPr>
          <w:p w14:paraId="507DC5D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32.7%</w:t>
            </w:r>
          </w:p>
        </w:tc>
        <w:tc>
          <w:tcPr>
            <w:tcW w:w="375" w:type="pct"/>
            <w:shd w:val="clear" w:color="000000" w:fill="FFFFFF"/>
            <w:vAlign w:val="center"/>
          </w:tcPr>
          <w:p w14:paraId="041B261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33.3%</w:t>
            </w:r>
          </w:p>
        </w:tc>
        <w:tc>
          <w:tcPr>
            <w:tcW w:w="405" w:type="pct"/>
            <w:shd w:val="clear" w:color="000000" w:fill="FFFFFF"/>
            <w:vAlign w:val="center"/>
          </w:tcPr>
          <w:p w14:paraId="2092070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0.31</w:t>
            </w:r>
          </w:p>
        </w:tc>
        <w:tc>
          <w:tcPr>
            <w:tcW w:w="406" w:type="pct"/>
            <w:shd w:val="clear" w:color="000000" w:fill="FFFFFF"/>
            <w:vAlign w:val="center"/>
          </w:tcPr>
          <w:p w14:paraId="1D25090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0D888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DFA1F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F981CE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5D53290E" w14:textId="77777777" w:rsidTr="00FF262E">
        <w:trPr>
          <w:cantSplit/>
          <w:trHeight w:val="144"/>
        </w:trPr>
        <w:tc>
          <w:tcPr>
            <w:tcW w:w="286" w:type="pct"/>
            <w:shd w:val="clear" w:color="auto" w:fill="FFFFFF" w:themeFill="background1"/>
            <w:vAlign w:val="center"/>
          </w:tcPr>
          <w:p w14:paraId="7679DF7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C7DD34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Discharges/1000 MM Ages &lt;1—19 years Total Rate</w:t>
            </w:r>
          </w:p>
        </w:tc>
        <w:tc>
          <w:tcPr>
            <w:tcW w:w="312" w:type="pct"/>
            <w:shd w:val="clear" w:color="auto" w:fill="auto"/>
            <w:vAlign w:val="center"/>
          </w:tcPr>
          <w:p w14:paraId="42204ED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133,222</w:t>
            </w:r>
          </w:p>
        </w:tc>
        <w:tc>
          <w:tcPr>
            <w:tcW w:w="281" w:type="pct"/>
            <w:shd w:val="clear" w:color="000000" w:fill="FFFFFF"/>
            <w:vAlign w:val="center"/>
          </w:tcPr>
          <w:p w14:paraId="6C7DA9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43</w:t>
            </w:r>
          </w:p>
        </w:tc>
        <w:tc>
          <w:tcPr>
            <w:tcW w:w="311" w:type="pct"/>
            <w:shd w:val="clear" w:color="000000" w:fill="FFFFFF"/>
            <w:vAlign w:val="center"/>
          </w:tcPr>
          <w:p w14:paraId="2BE82EE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0.32</w:t>
            </w:r>
          </w:p>
        </w:tc>
        <w:tc>
          <w:tcPr>
            <w:tcW w:w="343" w:type="pct"/>
            <w:shd w:val="clear" w:color="000000" w:fill="FFFFFF"/>
            <w:vAlign w:val="center"/>
          </w:tcPr>
          <w:p w14:paraId="055C69D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31.7%</w:t>
            </w:r>
          </w:p>
        </w:tc>
        <w:tc>
          <w:tcPr>
            <w:tcW w:w="375" w:type="pct"/>
            <w:shd w:val="clear" w:color="000000" w:fill="FFFFFF"/>
            <w:vAlign w:val="center"/>
          </w:tcPr>
          <w:p w14:paraId="4555956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32.3%</w:t>
            </w:r>
          </w:p>
        </w:tc>
        <w:tc>
          <w:tcPr>
            <w:tcW w:w="405" w:type="pct"/>
            <w:shd w:val="clear" w:color="000000" w:fill="FFFFFF"/>
            <w:vAlign w:val="center"/>
          </w:tcPr>
          <w:p w14:paraId="7F52708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0.35</w:t>
            </w:r>
          </w:p>
        </w:tc>
        <w:tc>
          <w:tcPr>
            <w:tcW w:w="406" w:type="pct"/>
            <w:shd w:val="clear" w:color="000000" w:fill="FFFFFF"/>
            <w:vAlign w:val="center"/>
          </w:tcPr>
          <w:p w14:paraId="18B2F30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24216E2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18C24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859EFD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9E662C6" w14:textId="77777777" w:rsidTr="00FF262E">
        <w:trPr>
          <w:cantSplit/>
          <w:trHeight w:val="144"/>
        </w:trPr>
        <w:tc>
          <w:tcPr>
            <w:tcW w:w="286" w:type="pct"/>
            <w:shd w:val="clear" w:color="auto" w:fill="FFFFFF" w:themeFill="background1"/>
            <w:vAlign w:val="center"/>
          </w:tcPr>
          <w:p w14:paraId="5A5AD40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984F77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ALOS Ages &lt;1 year</w:t>
            </w:r>
          </w:p>
        </w:tc>
        <w:tc>
          <w:tcPr>
            <w:tcW w:w="312" w:type="pct"/>
            <w:shd w:val="clear" w:color="auto" w:fill="auto"/>
            <w:vAlign w:val="center"/>
          </w:tcPr>
          <w:p w14:paraId="2D178CA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w:t>
            </w:r>
          </w:p>
        </w:tc>
        <w:tc>
          <w:tcPr>
            <w:tcW w:w="281" w:type="pct"/>
            <w:shd w:val="clear" w:color="000000" w:fill="FFFFFF"/>
            <w:vAlign w:val="center"/>
          </w:tcPr>
          <w:p w14:paraId="7B7B50A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w:t>
            </w:r>
          </w:p>
        </w:tc>
        <w:tc>
          <w:tcPr>
            <w:tcW w:w="311" w:type="pct"/>
            <w:shd w:val="clear" w:color="000000" w:fill="FFFFFF"/>
            <w:vAlign w:val="center"/>
          </w:tcPr>
          <w:p w14:paraId="44D33300"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7.33</w:t>
            </w:r>
          </w:p>
        </w:tc>
        <w:tc>
          <w:tcPr>
            <w:tcW w:w="343" w:type="pct"/>
            <w:shd w:val="clear" w:color="000000" w:fill="FFFFFF"/>
            <w:vAlign w:val="center"/>
          </w:tcPr>
          <w:p w14:paraId="7558505A" w14:textId="6DA044C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580F863A" w14:textId="0D8097D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669D50E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4.33</w:t>
            </w:r>
          </w:p>
        </w:tc>
        <w:tc>
          <w:tcPr>
            <w:tcW w:w="406" w:type="pct"/>
            <w:shd w:val="clear" w:color="000000" w:fill="FFFFFF"/>
            <w:vAlign w:val="center"/>
          </w:tcPr>
          <w:p w14:paraId="3C34EAEF" w14:textId="583DEE7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55259DD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F24A10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B42B9F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2444A3F" w14:textId="77777777" w:rsidTr="00FF262E">
        <w:trPr>
          <w:cantSplit/>
          <w:trHeight w:val="144"/>
        </w:trPr>
        <w:tc>
          <w:tcPr>
            <w:tcW w:w="286" w:type="pct"/>
            <w:shd w:val="clear" w:color="auto" w:fill="FFFFFF" w:themeFill="background1"/>
            <w:vAlign w:val="center"/>
          </w:tcPr>
          <w:p w14:paraId="0668186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27DE6E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ALOS Ages 1—9 years</w:t>
            </w:r>
          </w:p>
        </w:tc>
        <w:tc>
          <w:tcPr>
            <w:tcW w:w="312" w:type="pct"/>
            <w:shd w:val="clear" w:color="auto" w:fill="auto"/>
            <w:vAlign w:val="center"/>
          </w:tcPr>
          <w:p w14:paraId="131066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w:t>
            </w:r>
          </w:p>
        </w:tc>
        <w:tc>
          <w:tcPr>
            <w:tcW w:w="281" w:type="pct"/>
            <w:shd w:val="clear" w:color="000000" w:fill="FFFFFF"/>
            <w:vAlign w:val="center"/>
          </w:tcPr>
          <w:p w14:paraId="77300E9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33</w:t>
            </w:r>
          </w:p>
        </w:tc>
        <w:tc>
          <w:tcPr>
            <w:tcW w:w="311" w:type="pct"/>
            <w:shd w:val="clear" w:color="000000" w:fill="FFFFFF"/>
            <w:vAlign w:val="center"/>
          </w:tcPr>
          <w:p w14:paraId="09AC0F5F"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2.20</w:t>
            </w:r>
          </w:p>
        </w:tc>
        <w:tc>
          <w:tcPr>
            <w:tcW w:w="343" w:type="pct"/>
            <w:shd w:val="clear" w:color="000000" w:fill="FFFFFF"/>
            <w:vAlign w:val="center"/>
          </w:tcPr>
          <w:p w14:paraId="28D66DA1" w14:textId="47DE5CD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45388338" w14:textId="4ED8F01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240ECAF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3.25</w:t>
            </w:r>
          </w:p>
        </w:tc>
        <w:tc>
          <w:tcPr>
            <w:tcW w:w="406" w:type="pct"/>
            <w:shd w:val="clear" w:color="000000" w:fill="FFFFFF"/>
            <w:vAlign w:val="center"/>
          </w:tcPr>
          <w:p w14:paraId="668E4F55" w14:textId="1A9C247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C8660A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A3681F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823D8E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5876A3E" w14:textId="77777777" w:rsidTr="00FF262E">
        <w:trPr>
          <w:cantSplit/>
          <w:trHeight w:val="144"/>
        </w:trPr>
        <w:tc>
          <w:tcPr>
            <w:tcW w:w="286" w:type="pct"/>
            <w:shd w:val="clear" w:color="auto" w:fill="FFFFFF" w:themeFill="background1"/>
            <w:vAlign w:val="center"/>
          </w:tcPr>
          <w:p w14:paraId="10E0F4D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11D4DB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ALOS Ages 10—19 years</w:t>
            </w:r>
          </w:p>
        </w:tc>
        <w:tc>
          <w:tcPr>
            <w:tcW w:w="312" w:type="pct"/>
            <w:shd w:val="clear" w:color="auto" w:fill="auto"/>
            <w:vAlign w:val="center"/>
          </w:tcPr>
          <w:p w14:paraId="7C3B817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25</w:t>
            </w:r>
          </w:p>
        </w:tc>
        <w:tc>
          <w:tcPr>
            <w:tcW w:w="281" w:type="pct"/>
            <w:shd w:val="clear" w:color="000000" w:fill="FFFFFF"/>
            <w:vAlign w:val="center"/>
          </w:tcPr>
          <w:p w14:paraId="11E32C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123</w:t>
            </w:r>
          </w:p>
        </w:tc>
        <w:tc>
          <w:tcPr>
            <w:tcW w:w="311" w:type="pct"/>
            <w:shd w:val="clear" w:color="000000" w:fill="FFFFFF"/>
            <w:vAlign w:val="center"/>
          </w:tcPr>
          <w:p w14:paraId="53260BC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4.92</w:t>
            </w:r>
          </w:p>
        </w:tc>
        <w:tc>
          <w:tcPr>
            <w:tcW w:w="343" w:type="pct"/>
            <w:shd w:val="clear" w:color="000000" w:fill="FFFFFF"/>
            <w:vAlign w:val="center"/>
          </w:tcPr>
          <w:p w14:paraId="759F0B1D" w14:textId="1A5E62C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717A435B" w14:textId="656EDC18"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7A76E29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3.91</w:t>
            </w:r>
          </w:p>
        </w:tc>
        <w:tc>
          <w:tcPr>
            <w:tcW w:w="406" w:type="pct"/>
            <w:shd w:val="clear" w:color="000000" w:fill="FFFFFF"/>
            <w:vAlign w:val="center"/>
          </w:tcPr>
          <w:p w14:paraId="3DDF56F4" w14:textId="05B1754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3C17AC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353C09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F1075E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F101AEF" w14:textId="77777777" w:rsidTr="00FF262E">
        <w:trPr>
          <w:cantSplit/>
          <w:trHeight w:val="144"/>
        </w:trPr>
        <w:tc>
          <w:tcPr>
            <w:tcW w:w="286" w:type="pct"/>
            <w:shd w:val="clear" w:color="auto" w:fill="FFFFFF" w:themeFill="background1"/>
            <w:vAlign w:val="center"/>
          </w:tcPr>
          <w:p w14:paraId="1703B23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3D83B0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Medicine ALOS Ages &lt;1—19 years Total Rate</w:t>
            </w:r>
          </w:p>
        </w:tc>
        <w:tc>
          <w:tcPr>
            <w:tcW w:w="312" w:type="pct"/>
            <w:shd w:val="clear" w:color="auto" w:fill="auto"/>
            <w:vAlign w:val="center"/>
          </w:tcPr>
          <w:p w14:paraId="195D2F9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43</w:t>
            </w:r>
          </w:p>
        </w:tc>
        <w:tc>
          <w:tcPr>
            <w:tcW w:w="281" w:type="pct"/>
            <w:shd w:val="clear" w:color="000000" w:fill="FFFFFF"/>
            <w:vAlign w:val="center"/>
          </w:tcPr>
          <w:p w14:paraId="26F8A37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178</w:t>
            </w:r>
          </w:p>
        </w:tc>
        <w:tc>
          <w:tcPr>
            <w:tcW w:w="311" w:type="pct"/>
            <w:shd w:val="clear" w:color="000000" w:fill="FFFFFF"/>
            <w:vAlign w:val="center"/>
          </w:tcPr>
          <w:p w14:paraId="2BA377ED"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4.14</w:t>
            </w:r>
          </w:p>
        </w:tc>
        <w:tc>
          <w:tcPr>
            <w:tcW w:w="343" w:type="pct"/>
            <w:shd w:val="clear" w:color="000000" w:fill="FFFFFF"/>
            <w:vAlign w:val="center"/>
          </w:tcPr>
          <w:p w14:paraId="393C9052" w14:textId="125EF83B"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63796FBB" w14:textId="37E24267"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44C03FE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3.64</w:t>
            </w:r>
          </w:p>
        </w:tc>
        <w:tc>
          <w:tcPr>
            <w:tcW w:w="406" w:type="pct"/>
            <w:shd w:val="clear" w:color="000000" w:fill="FFFFFF"/>
            <w:vAlign w:val="center"/>
          </w:tcPr>
          <w:p w14:paraId="1E5FB0F9" w14:textId="4D62B160"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5814FB3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7F5BCF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95EA5E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2CD4535" w14:textId="77777777" w:rsidTr="00FF262E">
        <w:trPr>
          <w:cantSplit/>
          <w:trHeight w:val="144"/>
        </w:trPr>
        <w:tc>
          <w:tcPr>
            <w:tcW w:w="286" w:type="pct"/>
            <w:shd w:val="clear" w:color="auto" w:fill="FFFFFF" w:themeFill="background1"/>
            <w:vAlign w:val="center"/>
          </w:tcPr>
          <w:p w14:paraId="57E6389C" w14:textId="77777777" w:rsidR="005C3D48" w:rsidRPr="00411D9E" w:rsidRDefault="005C3D48" w:rsidP="000B69F5">
            <w:pPr>
              <w:keepNext/>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60" w:type="pct"/>
            <w:shd w:val="clear" w:color="auto" w:fill="FFFFFF" w:themeFill="background1"/>
            <w:vAlign w:val="center"/>
          </w:tcPr>
          <w:p w14:paraId="3616A731" w14:textId="77777777" w:rsidR="005C3D48" w:rsidRPr="00411D9E" w:rsidRDefault="005C3D48" w:rsidP="000B69F5">
            <w:pPr>
              <w:keepNext/>
              <w:ind w:left="76"/>
              <w:jc w:val="left"/>
              <w:rPr>
                <w:rFonts w:eastAsia="Times New Roman" w:cstheme="minorHAnsi"/>
                <w:sz w:val="20"/>
                <w:szCs w:val="20"/>
                <w:lang w:bidi="ar-SA"/>
              </w:rPr>
            </w:pPr>
            <w:r w:rsidRPr="00411D9E">
              <w:rPr>
                <w:rFonts w:eastAsia="Times New Roman" w:cstheme="minorHAnsi"/>
                <w:sz w:val="20"/>
                <w:szCs w:val="20"/>
                <w:lang w:bidi="ar-SA"/>
              </w:rPr>
              <w:t>IPUA: Maternity/1000 MM Ages 10—19 years</w:t>
            </w:r>
          </w:p>
        </w:tc>
        <w:tc>
          <w:tcPr>
            <w:tcW w:w="312" w:type="pct"/>
            <w:shd w:val="clear" w:color="auto" w:fill="auto"/>
            <w:vAlign w:val="center"/>
          </w:tcPr>
          <w:p w14:paraId="1E18D992"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75,550</w:t>
            </w:r>
          </w:p>
        </w:tc>
        <w:tc>
          <w:tcPr>
            <w:tcW w:w="281" w:type="pct"/>
            <w:shd w:val="clear" w:color="000000" w:fill="FFFFFF"/>
            <w:vAlign w:val="center"/>
          </w:tcPr>
          <w:p w14:paraId="3A5F768E"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5</w:t>
            </w:r>
          </w:p>
        </w:tc>
        <w:tc>
          <w:tcPr>
            <w:tcW w:w="311" w:type="pct"/>
            <w:shd w:val="clear" w:color="000000" w:fill="FFFFFF"/>
            <w:vAlign w:val="center"/>
          </w:tcPr>
          <w:p w14:paraId="7B53E81E" w14:textId="77777777" w:rsidR="005C3D48" w:rsidRPr="00411D9E" w:rsidRDefault="005C3D48" w:rsidP="000B69F5">
            <w:pPr>
              <w:keepNext/>
              <w:jc w:val="center"/>
              <w:rPr>
                <w:rFonts w:eastAsia="Times New Roman" w:cstheme="minorHAnsi"/>
                <w:b/>
                <w:bCs/>
                <w:sz w:val="20"/>
                <w:szCs w:val="20"/>
                <w:lang w:bidi="ar-SA"/>
              </w:rPr>
            </w:pPr>
            <w:r w:rsidRPr="00411D9E">
              <w:rPr>
                <w:rFonts w:cstheme="minorHAnsi"/>
                <w:b/>
                <w:bCs/>
                <w:sz w:val="20"/>
                <w:szCs w:val="20"/>
              </w:rPr>
              <w:t>0.07</w:t>
            </w:r>
          </w:p>
        </w:tc>
        <w:tc>
          <w:tcPr>
            <w:tcW w:w="343" w:type="pct"/>
            <w:shd w:val="clear" w:color="000000" w:fill="FFFFFF"/>
            <w:vAlign w:val="center"/>
          </w:tcPr>
          <w:p w14:paraId="5CFCD27D"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6.8%</w:t>
            </w:r>
          </w:p>
        </w:tc>
        <w:tc>
          <w:tcPr>
            <w:tcW w:w="375" w:type="pct"/>
            <w:shd w:val="clear" w:color="000000" w:fill="FFFFFF"/>
            <w:vAlign w:val="center"/>
          </w:tcPr>
          <w:p w14:paraId="6A23EE88"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7.2%</w:t>
            </w:r>
          </w:p>
        </w:tc>
        <w:tc>
          <w:tcPr>
            <w:tcW w:w="405" w:type="pct"/>
            <w:shd w:val="clear" w:color="000000" w:fill="FFFFFF"/>
            <w:vAlign w:val="center"/>
          </w:tcPr>
          <w:p w14:paraId="7F82D189"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0.10</w:t>
            </w:r>
          </w:p>
        </w:tc>
        <w:tc>
          <w:tcPr>
            <w:tcW w:w="406" w:type="pct"/>
            <w:shd w:val="clear" w:color="000000" w:fill="FFFFFF"/>
            <w:vAlign w:val="center"/>
          </w:tcPr>
          <w:p w14:paraId="58AD77D1"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1DA814B"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69ED119"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5C85E10"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449ED9A" w14:textId="77777777" w:rsidTr="00FF262E">
        <w:trPr>
          <w:cantSplit/>
          <w:trHeight w:val="144"/>
        </w:trPr>
        <w:tc>
          <w:tcPr>
            <w:tcW w:w="286" w:type="pct"/>
            <w:shd w:val="clear" w:color="auto" w:fill="FFFFFF" w:themeFill="background1"/>
            <w:vAlign w:val="center"/>
          </w:tcPr>
          <w:p w14:paraId="57E4E15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2A58D5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IPUA: Maternity ALOS Ages 10—19 years Total Rate</w:t>
            </w:r>
          </w:p>
        </w:tc>
        <w:tc>
          <w:tcPr>
            <w:tcW w:w="312" w:type="pct"/>
            <w:shd w:val="clear" w:color="auto" w:fill="auto"/>
            <w:vAlign w:val="center"/>
          </w:tcPr>
          <w:p w14:paraId="242C081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w:t>
            </w:r>
          </w:p>
        </w:tc>
        <w:tc>
          <w:tcPr>
            <w:tcW w:w="281" w:type="pct"/>
            <w:shd w:val="clear" w:color="000000" w:fill="FFFFFF"/>
            <w:vAlign w:val="center"/>
          </w:tcPr>
          <w:p w14:paraId="483E364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w:t>
            </w:r>
          </w:p>
        </w:tc>
        <w:tc>
          <w:tcPr>
            <w:tcW w:w="311" w:type="pct"/>
            <w:shd w:val="clear" w:color="000000" w:fill="FFFFFF"/>
            <w:vAlign w:val="center"/>
          </w:tcPr>
          <w:p w14:paraId="15B4A12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2.60</w:t>
            </w:r>
          </w:p>
        </w:tc>
        <w:tc>
          <w:tcPr>
            <w:tcW w:w="343" w:type="pct"/>
            <w:shd w:val="clear" w:color="000000" w:fill="FFFFFF"/>
            <w:vAlign w:val="center"/>
          </w:tcPr>
          <w:p w14:paraId="4D961AF8" w14:textId="2FF9224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75" w:type="pct"/>
            <w:shd w:val="clear" w:color="000000" w:fill="FFFFFF"/>
            <w:vAlign w:val="center"/>
          </w:tcPr>
          <w:p w14:paraId="12958DD7" w14:textId="0C7A77A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405" w:type="pct"/>
            <w:shd w:val="clear" w:color="000000" w:fill="FFFFFF"/>
            <w:vAlign w:val="center"/>
          </w:tcPr>
          <w:p w14:paraId="0E6F1A3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2.29</w:t>
            </w:r>
          </w:p>
        </w:tc>
        <w:tc>
          <w:tcPr>
            <w:tcW w:w="406" w:type="pct"/>
            <w:shd w:val="clear" w:color="000000" w:fill="FFFFFF"/>
            <w:vAlign w:val="center"/>
          </w:tcPr>
          <w:p w14:paraId="574E8BA6" w14:textId="3A7539A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B5031F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E991E8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335069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D3E2172" w14:textId="77777777" w:rsidTr="00FF262E">
        <w:trPr>
          <w:cantSplit/>
          <w:trHeight w:val="144"/>
        </w:trPr>
        <w:tc>
          <w:tcPr>
            <w:tcW w:w="286" w:type="pct"/>
            <w:shd w:val="clear" w:color="auto" w:fill="FFFFFF" w:themeFill="background1"/>
            <w:vAlign w:val="center"/>
          </w:tcPr>
          <w:p w14:paraId="232CE94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CFD91A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Any Services Ages 0—12 years—Male</w:t>
            </w:r>
          </w:p>
        </w:tc>
        <w:tc>
          <w:tcPr>
            <w:tcW w:w="312" w:type="pct"/>
            <w:shd w:val="clear" w:color="auto" w:fill="auto"/>
            <w:vAlign w:val="center"/>
          </w:tcPr>
          <w:p w14:paraId="76C94CC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2392F5A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293</w:t>
            </w:r>
          </w:p>
        </w:tc>
        <w:tc>
          <w:tcPr>
            <w:tcW w:w="311" w:type="pct"/>
            <w:shd w:val="clear" w:color="000000" w:fill="FFFFFF"/>
            <w:vAlign w:val="center"/>
          </w:tcPr>
          <w:p w14:paraId="57E6408F"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8.37%</w:t>
            </w:r>
          </w:p>
        </w:tc>
        <w:tc>
          <w:tcPr>
            <w:tcW w:w="343" w:type="pct"/>
            <w:shd w:val="clear" w:color="000000" w:fill="FFFFFF"/>
            <w:vAlign w:val="center"/>
          </w:tcPr>
          <w:p w14:paraId="37479FB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8.1%</w:t>
            </w:r>
          </w:p>
        </w:tc>
        <w:tc>
          <w:tcPr>
            <w:tcW w:w="375" w:type="pct"/>
            <w:shd w:val="clear" w:color="000000" w:fill="FFFFFF"/>
            <w:vAlign w:val="center"/>
          </w:tcPr>
          <w:p w14:paraId="51C618C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8.6%</w:t>
            </w:r>
          </w:p>
        </w:tc>
        <w:tc>
          <w:tcPr>
            <w:tcW w:w="405" w:type="pct"/>
            <w:shd w:val="clear" w:color="000000" w:fill="FFFFFF"/>
            <w:vAlign w:val="center"/>
          </w:tcPr>
          <w:p w14:paraId="37B23F9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10.16%</w:t>
            </w:r>
          </w:p>
        </w:tc>
        <w:tc>
          <w:tcPr>
            <w:tcW w:w="406" w:type="pct"/>
            <w:shd w:val="clear" w:color="000000" w:fill="FFFFFF"/>
            <w:vAlign w:val="center"/>
          </w:tcPr>
          <w:p w14:paraId="4C3EA33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A08CF5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F06622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2F0DC3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97BD4B3" w14:textId="77777777" w:rsidTr="00FF262E">
        <w:trPr>
          <w:cantSplit/>
          <w:trHeight w:val="144"/>
        </w:trPr>
        <w:tc>
          <w:tcPr>
            <w:tcW w:w="286" w:type="pct"/>
            <w:shd w:val="clear" w:color="auto" w:fill="FFFFFF" w:themeFill="background1"/>
            <w:vAlign w:val="center"/>
          </w:tcPr>
          <w:p w14:paraId="1395F3F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ABD5DF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Any Services MM Ages 0—12 years—Female</w:t>
            </w:r>
          </w:p>
        </w:tc>
        <w:tc>
          <w:tcPr>
            <w:tcW w:w="312" w:type="pct"/>
            <w:shd w:val="clear" w:color="auto" w:fill="auto"/>
            <w:vAlign w:val="center"/>
          </w:tcPr>
          <w:p w14:paraId="4DCAA3A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71F4E5C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255</w:t>
            </w:r>
          </w:p>
        </w:tc>
        <w:tc>
          <w:tcPr>
            <w:tcW w:w="311" w:type="pct"/>
            <w:shd w:val="clear" w:color="000000" w:fill="FFFFFF"/>
            <w:vAlign w:val="center"/>
          </w:tcPr>
          <w:p w14:paraId="5B1EFDC5"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7.29%</w:t>
            </w:r>
          </w:p>
        </w:tc>
        <w:tc>
          <w:tcPr>
            <w:tcW w:w="343" w:type="pct"/>
            <w:shd w:val="clear" w:color="000000" w:fill="FFFFFF"/>
            <w:vAlign w:val="center"/>
          </w:tcPr>
          <w:p w14:paraId="4EFA54B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7.0%</w:t>
            </w:r>
          </w:p>
        </w:tc>
        <w:tc>
          <w:tcPr>
            <w:tcW w:w="375" w:type="pct"/>
            <w:shd w:val="clear" w:color="000000" w:fill="FFFFFF"/>
            <w:vAlign w:val="center"/>
          </w:tcPr>
          <w:p w14:paraId="748FFA3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7.5%</w:t>
            </w:r>
          </w:p>
        </w:tc>
        <w:tc>
          <w:tcPr>
            <w:tcW w:w="405" w:type="pct"/>
            <w:shd w:val="clear" w:color="000000" w:fill="FFFFFF"/>
            <w:vAlign w:val="center"/>
          </w:tcPr>
          <w:p w14:paraId="5280049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8.32%</w:t>
            </w:r>
          </w:p>
        </w:tc>
        <w:tc>
          <w:tcPr>
            <w:tcW w:w="406" w:type="pct"/>
            <w:shd w:val="clear" w:color="000000" w:fill="FFFFFF"/>
            <w:vAlign w:val="center"/>
          </w:tcPr>
          <w:p w14:paraId="143D46F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0DD81BF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6B6A3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7B803F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B46E7EC" w14:textId="77777777" w:rsidTr="00FF262E">
        <w:trPr>
          <w:cantSplit/>
          <w:trHeight w:val="144"/>
        </w:trPr>
        <w:tc>
          <w:tcPr>
            <w:tcW w:w="286" w:type="pct"/>
            <w:shd w:val="clear" w:color="auto" w:fill="FFFFFF" w:themeFill="background1"/>
            <w:vAlign w:val="center"/>
          </w:tcPr>
          <w:p w14:paraId="6E9B879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FAD2D9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Any Services Ages 0—12 years—Total Rate</w:t>
            </w:r>
          </w:p>
        </w:tc>
        <w:tc>
          <w:tcPr>
            <w:tcW w:w="312" w:type="pct"/>
            <w:shd w:val="clear" w:color="auto" w:fill="auto"/>
            <w:vAlign w:val="center"/>
          </w:tcPr>
          <w:p w14:paraId="11BA678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3721601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548</w:t>
            </w:r>
          </w:p>
        </w:tc>
        <w:tc>
          <w:tcPr>
            <w:tcW w:w="311" w:type="pct"/>
            <w:shd w:val="clear" w:color="000000" w:fill="FFFFFF"/>
            <w:vAlign w:val="center"/>
          </w:tcPr>
          <w:p w14:paraId="166FE384"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7.83%</w:t>
            </w:r>
          </w:p>
        </w:tc>
        <w:tc>
          <w:tcPr>
            <w:tcW w:w="343" w:type="pct"/>
            <w:shd w:val="clear" w:color="000000" w:fill="FFFFFF"/>
            <w:vAlign w:val="center"/>
          </w:tcPr>
          <w:p w14:paraId="5D78094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7.6%</w:t>
            </w:r>
          </w:p>
        </w:tc>
        <w:tc>
          <w:tcPr>
            <w:tcW w:w="375" w:type="pct"/>
            <w:shd w:val="clear" w:color="000000" w:fill="FFFFFF"/>
            <w:vAlign w:val="center"/>
          </w:tcPr>
          <w:p w14:paraId="6108F03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8.0%</w:t>
            </w:r>
          </w:p>
        </w:tc>
        <w:tc>
          <w:tcPr>
            <w:tcW w:w="405" w:type="pct"/>
            <w:shd w:val="clear" w:color="000000" w:fill="FFFFFF"/>
            <w:vAlign w:val="center"/>
          </w:tcPr>
          <w:p w14:paraId="2EF343E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9.24%</w:t>
            </w:r>
          </w:p>
        </w:tc>
        <w:tc>
          <w:tcPr>
            <w:tcW w:w="406" w:type="pct"/>
            <w:shd w:val="clear" w:color="000000" w:fill="FFFFFF"/>
            <w:vAlign w:val="center"/>
          </w:tcPr>
          <w:p w14:paraId="4580759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C2C14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209E34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062042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E334E1A" w14:textId="77777777" w:rsidTr="00FF262E">
        <w:trPr>
          <w:cantSplit/>
          <w:trHeight w:val="144"/>
        </w:trPr>
        <w:tc>
          <w:tcPr>
            <w:tcW w:w="286" w:type="pct"/>
            <w:shd w:val="clear" w:color="auto" w:fill="FFFFFF" w:themeFill="background1"/>
            <w:vAlign w:val="center"/>
          </w:tcPr>
          <w:p w14:paraId="7A3C1DB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F4C69DD"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Any Services Ages 13—17 years—Male</w:t>
            </w:r>
          </w:p>
        </w:tc>
        <w:tc>
          <w:tcPr>
            <w:tcW w:w="312" w:type="pct"/>
            <w:shd w:val="clear" w:color="auto" w:fill="auto"/>
            <w:vAlign w:val="center"/>
          </w:tcPr>
          <w:p w14:paraId="61863D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75F7AE3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182</w:t>
            </w:r>
          </w:p>
        </w:tc>
        <w:tc>
          <w:tcPr>
            <w:tcW w:w="311" w:type="pct"/>
            <w:shd w:val="clear" w:color="000000" w:fill="FFFFFF"/>
            <w:vAlign w:val="center"/>
          </w:tcPr>
          <w:p w14:paraId="39E46F6B"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10.24%</w:t>
            </w:r>
          </w:p>
        </w:tc>
        <w:tc>
          <w:tcPr>
            <w:tcW w:w="343" w:type="pct"/>
            <w:shd w:val="clear" w:color="000000" w:fill="FFFFFF"/>
            <w:vAlign w:val="center"/>
          </w:tcPr>
          <w:p w14:paraId="0B932F1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9.8%</w:t>
            </w:r>
          </w:p>
        </w:tc>
        <w:tc>
          <w:tcPr>
            <w:tcW w:w="375" w:type="pct"/>
            <w:shd w:val="clear" w:color="000000" w:fill="FFFFFF"/>
            <w:vAlign w:val="center"/>
          </w:tcPr>
          <w:p w14:paraId="2883642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10.6%</w:t>
            </w:r>
          </w:p>
        </w:tc>
        <w:tc>
          <w:tcPr>
            <w:tcW w:w="405" w:type="pct"/>
            <w:shd w:val="clear" w:color="000000" w:fill="FFFFFF"/>
            <w:vAlign w:val="center"/>
          </w:tcPr>
          <w:p w14:paraId="53A6B06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14.09%</w:t>
            </w:r>
          </w:p>
        </w:tc>
        <w:tc>
          <w:tcPr>
            <w:tcW w:w="406" w:type="pct"/>
            <w:shd w:val="clear" w:color="000000" w:fill="FFFFFF"/>
            <w:vAlign w:val="center"/>
          </w:tcPr>
          <w:p w14:paraId="3CC9E6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289559D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4A356B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943196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57BAF93" w14:textId="77777777" w:rsidTr="00FF262E">
        <w:trPr>
          <w:cantSplit/>
          <w:trHeight w:val="144"/>
        </w:trPr>
        <w:tc>
          <w:tcPr>
            <w:tcW w:w="286" w:type="pct"/>
            <w:shd w:val="clear" w:color="auto" w:fill="FFFFFF" w:themeFill="background1"/>
            <w:vAlign w:val="center"/>
          </w:tcPr>
          <w:p w14:paraId="41481DA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6A754C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Any Services Ages 13—17 years—Female</w:t>
            </w:r>
          </w:p>
        </w:tc>
        <w:tc>
          <w:tcPr>
            <w:tcW w:w="312" w:type="pct"/>
            <w:shd w:val="clear" w:color="auto" w:fill="auto"/>
            <w:vAlign w:val="center"/>
          </w:tcPr>
          <w:p w14:paraId="5C6C5BD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440B2EA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350</w:t>
            </w:r>
          </w:p>
        </w:tc>
        <w:tc>
          <w:tcPr>
            <w:tcW w:w="311" w:type="pct"/>
            <w:shd w:val="clear" w:color="000000" w:fill="FFFFFF"/>
            <w:vAlign w:val="center"/>
          </w:tcPr>
          <w:p w14:paraId="7C0897D3"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20.18%</w:t>
            </w:r>
          </w:p>
        </w:tc>
        <w:tc>
          <w:tcPr>
            <w:tcW w:w="343" w:type="pct"/>
            <w:shd w:val="clear" w:color="000000" w:fill="FFFFFF"/>
            <w:vAlign w:val="center"/>
          </w:tcPr>
          <w:p w14:paraId="70B5627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19.6%</w:t>
            </w:r>
          </w:p>
        </w:tc>
        <w:tc>
          <w:tcPr>
            <w:tcW w:w="375" w:type="pct"/>
            <w:shd w:val="clear" w:color="000000" w:fill="FFFFFF"/>
            <w:vAlign w:val="center"/>
          </w:tcPr>
          <w:p w14:paraId="798FC0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20.7%</w:t>
            </w:r>
          </w:p>
        </w:tc>
        <w:tc>
          <w:tcPr>
            <w:tcW w:w="405" w:type="pct"/>
            <w:shd w:val="clear" w:color="000000" w:fill="FFFFFF"/>
            <w:vAlign w:val="center"/>
          </w:tcPr>
          <w:p w14:paraId="1ADEBAE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22.67%</w:t>
            </w:r>
          </w:p>
        </w:tc>
        <w:tc>
          <w:tcPr>
            <w:tcW w:w="406" w:type="pct"/>
            <w:shd w:val="clear" w:color="000000" w:fill="FFFFFF"/>
            <w:vAlign w:val="center"/>
          </w:tcPr>
          <w:p w14:paraId="6DB43F7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6F3065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4469F8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463D8A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60C7B13" w14:textId="77777777" w:rsidTr="00FF262E">
        <w:trPr>
          <w:cantSplit/>
          <w:trHeight w:val="144"/>
        </w:trPr>
        <w:tc>
          <w:tcPr>
            <w:tcW w:w="286" w:type="pct"/>
            <w:shd w:val="clear" w:color="auto" w:fill="FFFFFF" w:themeFill="background1"/>
            <w:vAlign w:val="center"/>
          </w:tcPr>
          <w:p w14:paraId="350B6E9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29FA9E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Any Services Ages 13—17 years—Total Rate</w:t>
            </w:r>
          </w:p>
        </w:tc>
        <w:tc>
          <w:tcPr>
            <w:tcW w:w="312" w:type="pct"/>
            <w:shd w:val="clear" w:color="auto" w:fill="auto"/>
            <w:vAlign w:val="center"/>
          </w:tcPr>
          <w:p w14:paraId="124591C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11F5719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532</w:t>
            </w:r>
          </w:p>
        </w:tc>
        <w:tc>
          <w:tcPr>
            <w:tcW w:w="311" w:type="pct"/>
            <w:shd w:val="clear" w:color="000000" w:fill="FFFFFF"/>
            <w:vAlign w:val="center"/>
          </w:tcPr>
          <w:p w14:paraId="10140EA5"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15.15%</w:t>
            </w:r>
          </w:p>
        </w:tc>
        <w:tc>
          <w:tcPr>
            <w:tcW w:w="343" w:type="pct"/>
            <w:shd w:val="clear" w:color="000000" w:fill="FFFFFF"/>
            <w:vAlign w:val="center"/>
          </w:tcPr>
          <w:p w14:paraId="6C8280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14.8%</w:t>
            </w:r>
          </w:p>
        </w:tc>
        <w:tc>
          <w:tcPr>
            <w:tcW w:w="375" w:type="pct"/>
            <w:shd w:val="clear" w:color="000000" w:fill="FFFFFF"/>
            <w:vAlign w:val="center"/>
          </w:tcPr>
          <w:p w14:paraId="658576B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15.5%</w:t>
            </w:r>
          </w:p>
        </w:tc>
        <w:tc>
          <w:tcPr>
            <w:tcW w:w="405" w:type="pct"/>
            <w:shd w:val="clear" w:color="000000" w:fill="FFFFFF"/>
            <w:vAlign w:val="center"/>
          </w:tcPr>
          <w:p w14:paraId="4C282F6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18.36%</w:t>
            </w:r>
          </w:p>
        </w:tc>
        <w:tc>
          <w:tcPr>
            <w:tcW w:w="406" w:type="pct"/>
            <w:shd w:val="clear" w:color="000000" w:fill="FFFFFF"/>
            <w:vAlign w:val="center"/>
          </w:tcPr>
          <w:p w14:paraId="3CAF9C5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80CD31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F0A5F3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BF3764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011D033" w14:textId="77777777" w:rsidTr="00FF262E">
        <w:trPr>
          <w:cantSplit/>
          <w:trHeight w:val="144"/>
        </w:trPr>
        <w:tc>
          <w:tcPr>
            <w:tcW w:w="286" w:type="pct"/>
            <w:shd w:val="clear" w:color="auto" w:fill="FFFFFF" w:themeFill="background1"/>
            <w:vAlign w:val="center"/>
          </w:tcPr>
          <w:p w14:paraId="17DA4B1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C806EC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Inpatient Ages 0—12 years—Male</w:t>
            </w:r>
          </w:p>
        </w:tc>
        <w:tc>
          <w:tcPr>
            <w:tcW w:w="312" w:type="pct"/>
            <w:shd w:val="clear" w:color="auto" w:fill="auto"/>
            <w:vAlign w:val="center"/>
          </w:tcPr>
          <w:p w14:paraId="5625A61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7D60F71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w:t>
            </w:r>
          </w:p>
        </w:tc>
        <w:tc>
          <w:tcPr>
            <w:tcW w:w="311" w:type="pct"/>
            <w:shd w:val="clear" w:color="000000" w:fill="FFFFFF"/>
            <w:vAlign w:val="center"/>
          </w:tcPr>
          <w:p w14:paraId="0BF37B6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0.11%</w:t>
            </w:r>
          </w:p>
        </w:tc>
        <w:tc>
          <w:tcPr>
            <w:tcW w:w="343" w:type="pct"/>
            <w:shd w:val="clear" w:color="000000" w:fill="FFFFFF"/>
            <w:vAlign w:val="center"/>
          </w:tcPr>
          <w:p w14:paraId="16D10C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375" w:type="pct"/>
            <w:shd w:val="clear" w:color="000000" w:fill="FFFFFF"/>
            <w:vAlign w:val="center"/>
          </w:tcPr>
          <w:p w14:paraId="6CCF250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61CC3F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0.17%</w:t>
            </w:r>
          </w:p>
        </w:tc>
        <w:tc>
          <w:tcPr>
            <w:tcW w:w="406" w:type="pct"/>
            <w:shd w:val="clear" w:color="000000" w:fill="FFFFFF"/>
            <w:vAlign w:val="center"/>
          </w:tcPr>
          <w:p w14:paraId="739DC63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06CB5E1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2E668D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C51901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BAD57E2" w14:textId="77777777" w:rsidTr="00FF262E">
        <w:trPr>
          <w:cantSplit/>
          <w:trHeight w:val="144"/>
        </w:trPr>
        <w:tc>
          <w:tcPr>
            <w:tcW w:w="286" w:type="pct"/>
            <w:shd w:val="clear" w:color="auto" w:fill="FFFFFF" w:themeFill="background1"/>
            <w:vAlign w:val="center"/>
          </w:tcPr>
          <w:p w14:paraId="466CE21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A2A2A4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Inpatient Ages 0—12 years—Female</w:t>
            </w:r>
          </w:p>
        </w:tc>
        <w:tc>
          <w:tcPr>
            <w:tcW w:w="312" w:type="pct"/>
            <w:shd w:val="clear" w:color="auto" w:fill="auto"/>
            <w:vAlign w:val="center"/>
          </w:tcPr>
          <w:p w14:paraId="1EA3D2F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0DDFF41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1" w:type="pct"/>
            <w:shd w:val="clear" w:color="000000" w:fill="FFFFFF"/>
            <w:vAlign w:val="center"/>
          </w:tcPr>
          <w:p w14:paraId="63A2F076"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0.20%</w:t>
            </w:r>
          </w:p>
        </w:tc>
        <w:tc>
          <w:tcPr>
            <w:tcW w:w="343" w:type="pct"/>
            <w:shd w:val="clear" w:color="000000" w:fill="FFFFFF"/>
            <w:vAlign w:val="center"/>
          </w:tcPr>
          <w:p w14:paraId="7CEFD93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375" w:type="pct"/>
            <w:shd w:val="clear" w:color="000000" w:fill="FFFFFF"/>
            <w:vAlign w:val="center"/>
          </w:tcPr>
          <w:p w14:paraId="186D514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405" w:type="pct"/>
            <w:shd w:val="clear" w:color="000000" w:fill="FFFFFF"/>
            <w:vAlign w:val="center"/>
          </w:tcPr>
          <w:p w14:paraId="34D4B88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0.14%</w:t>
            </w:r>
          </w:p>
        </w:tc>
        <w:tc>
          <w:tcPr>
            <w:tcW w:w="406" w:type="pct"/>
            <w:shd w:val="clear" w:color="000000" w:fill="FFFFFF"/>
            <w:vAlign w:val="center"/>
          </w:tcPr>
          <w:p w14:paraId="5FB8372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9280B9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0524DF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085E4F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27305DE" w14:textId="77777777" w:rsidTr="00FF262E">
        <w:trPr>
          <w:cantSplit/>
          <w:trHeight w:val="144"/>
        </w:trPr>
        <w:tc>
          <w:tcPr>
            <w:tcW w:w="286" w:type="pct"/>
            <w:shd w:val="clear" w:color="auto" w:fill="FFFFFF" w:themeFill="background1"/>
            <w:vAlign w:val="center"/>
          </w:tcPr>
          <w:p w14:paraId="34113A8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3FEAEE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Inpatient Ages 0—12 years—Total Rate</w:t>
            </w:r>
          </w:p>
        </w:tc>
        <w:tc>
          <w:tcPr>
            <w:tcW w:w="312" w:type="pct"/>
            <w:shd w:val="clear" w:color="auto" w:fill="auto"/>
            <w:vAlign w:val="center"/>
          </w:tcPr>
          <w:p w14:paraId="2C87FCE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77FD7E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11</w:t>
            </w:r>
          </w:p>
        </w:tc>
        <w:tc>
          <w:tcPr>
            <w:tcW w:w="311" w:type="pct"/>
            <w:shd w:val="clear" w:color="000000" w:fill="FFFFFF"/>
            <w:vAlign w:val="center"/>
          </w:tcPr>
          <w:p w14:paraId="52E7D148"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0.16%</w:t>
            </w:r>
          </w:p>
        </w:tc>
        <w:tc>
          <w:tcPr>
            <w:tcW w:w="343" w:type="pct"/>
            <w:shd w:val="clear" w:color="000000" w:fill="FFFFFF"/>
            <w:vAlign w:val="center"/>
          </w:tcPr>
          <w:p w14:paraId="2254A9E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375" w:type="pct"/>
            <w:shd w:val="clear" w:color="000000" w:fill="FFFFFF"/>
            <w:vAlign w:val="center"/>
          </w:tcPr>
          <w:p w14:paraId="2505AD6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405" w:type="pct"/>
            <w:shd w:val="clear" w:color="000000" w:fill="FFFFFF"/>
            <w:vAlign w:val="center"/>
          </w:tcPr>
          <w:p w14:paraId="65D8FBC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0.16%</w:t>
            </w:r>
          </w:p>
        </w:tc>
        <w:tc>
          <w:tcPr>
            <w:tcW w:w="406" w:type="pct"/>
            <w:shd w:val="clear" w:color="000000" w:fill="FFFFFF"/>
            <w:vAlign w:val="center"/>
          </w:tcPr>
          <w:p w14:paraId="50404B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DAC966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1123A0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348946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89C6890" w14:textId="77777777" w:rsidTr="00FF262E">
        <w:trPr>
          <w:cantSplit/>
          <w:trHeight w:val="144"/>
        </w:trPr>
        <w:tc>
          <w:tcPr>
            <w:tcW w:w="286" w:type="pct"/>
            <w:shd w:val="clear" w:color="auto" w:fill="FFFFFF" w:themeFill="background1"/>
            <w:vAlign w:val="center"/>
          </w:tcPr>
          <w:p w14:paraId="41B5018C"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80920E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Inpatient Ages 13—17 years—Male</w:t>
            </w:r>
          </w:p>
        </w:tc>
        <w:tc>
          <w:tcPr>
            <w:tcW w:w="312" w:type="pct"/>
            <w:shd w:val="clear" w:color="auto" w:fill="auto"/>
            <w:vAlign w:val="center"/>
          </w:tcPr>
          <w:p w14:paraId="71408EA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54AE11E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w:t>
            </w:r>
          </w:p>
        </w:tc>
        <w:tc>
          <w:tcPr>
            <w:tcW w:w="311" w:type="pct"/>
            <w:shd w:val="clear" w:color="000000" w:fill="FFFFFF"/>
            <w:vAlign w:val="center"/>
          </w:tcPr>
          <w:p w14:paraId="34F1DEC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0.84%</w:t>
            </w:r>
          </w:p>
        </w:tc>
        <w:tc>
          <w:tcPr>
            <w:tcW w:w="343" w:type="pct"/>
            <w:shd w:val="clear" w:color="000000" w:fill="FFFFFF"/>
            <w:vAlign w:val="center"/>
          </w:tcPr>
          <w:p w14:paraId="3DFB540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0.7%</w:t>
            </w:r>
          </w:p>
        </w:tc>
        <w:tc>
          <w:tcPr>
            <w:tcW w:w="375" w:type="pct"/>
            <w:shd w:val="clear" w:color="000000" w:fill="FFFFFF"/>
            <w:vAlign w:val="center"/>
          </w:tcPr>
          <w:p w14:paraId="6DD44A9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w:t>
            </w:r>
          </w:p>
        </w:tc>
        <w:tc>
          <w:tcPr>
            <w:tcW w:w="405" w:type="pct"/>
            <w:shd w:val="clear" w:color="000000" w:fill="FFFFFF"/>
            <w:vAlign w:val="center"/>
          </w:tcPr>
          <w:p w14:paraId="043D805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0.79%</w:t>
            </w:r>
          </w:p>
        </w:tc>
        <w:tc>
          <w:tcPr>
            <w:tcW w:w="406" w:type="pct"/>
            <w:shd w:val="clear" w:color="000000" w:fill="FFFFFF"/>
            <w:vAlign w:val="center"/>
          </w:tcPr>
          <w:p w14:paraId="467106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91FFDE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B5D8A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E9802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99923BF" w14:textId="77777777" w:rsidTr="00FF262E">
        <w:trPr>
          <w:cantSplit/>
          <w:trHeight w:val="144"/>
        </w:trPr>
        <w:tc>
          <w:tcPr>
            <w:tcW w:w="286" w:type="pct"/>
            <w:shd w:val="clear" w:color="auto" w:fill="FFFFFF" w:themeFill="background1"/>
            <w:vAlign w:val="center"/>
          </w:tcPr>
          <w:p w14:paraId="43641F13"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308EFAB"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Inpatient Ages 13—17 years—Female</w:t>
            </w:r>
          </w:p>
        </w:tc>
        <w:tc>
          <w:tcPr>
            <w:tcW w:w="312" w:type="pct"/>
            <w:shd w:val="clear" w:color="auto" w:fill="auto"/>
            <w:vAlign w:val="center"/>
          </w:tcPr>
          <w:p w14:paraId="38DF762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6FC543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w:t>
            </w:r>
          </w:p>
        </w:tc>
        <w:tc>
          <w:tcPr>
            <w:tcW w:w="311" w:type="pct"/>
            <w:shd w:val="clear" w:color="000000" w:fill="FFFFFF"/>
            <w:vAlign w:val="center"/>
          </w:tcPr>
          <w:p w14:paraId="7DCDF7C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1.79%</w:t>
            </w:r>
          </w:p>
        </w:tc>
        <w:tc>
          <w:tcPr>
            <w:tcW w:w="343" w:type="pct"/>
            <w:shd w:val="clear" w:color="000000" w:fill="FFFFFF"/>
            <w:vAlign w:val="center"/>
          </w:tcPr>
          <w:p w14:paraId="61A6A5D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w:t>
            </w:r>
          </w:p>
        </w:tc>
        <w:tc>
          <w:tcPr>
            <w:tcW w:w="375" w:type="pct"/>
            <w:shd w:val="clear" w:color="000000" w:fill="FFFFFF"/>
            <w:vAlign w:val="center"/>
          </w:tcPr>
          <w:p w14:paraId="513422C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w:t>
            </w:r>
          </w:p>
        </w:tc>
        <w:tc>
          <w:tcPr>
            <w:tcW w:w="405" w:type="pct"/>
            <w:shd w:val="clear" w:color="000000" w:fill="FFFFFF"/>
            <w:vAlign w:val="center"/>
          </w:tcPr>
          <w:p w14:paraId="5826528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1.97%</w:t>
            </w:r>
          </w:p>
        </w:tc>
        <w:tc>
          <w:tcPr>
            <w:tcW w:w="406" w:type="pct"/>
            <w:shd w:val="clear" w:color="000000" w:fill="FFFFFF"/>
            <w:vAlign w:val="center"/>
          </w:tcPr>
          <w:p w14:paraId="5138EE0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00FFB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035F4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0E76EF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234CBAB" w14:textId="77777777" w:rsidTr="00FF262E">
        <w:trPr>
          <w:cantSplit/>
          <w:trHeight w:val="144"/>
        </w:trPr>
        <w:tc>
          <w:tcPr>
            <w:tcW w:w="286" w:type="pct"/>
            <w:shd w:val="clear" w:color="auto" w:fill="FFFFFF" w:themeFill="background1"/>
            <w:vAlign w:val="center"/>
          </w:tcPr>
          <w:p w14:paraId="52FD0F5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1420B8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Inpatient Ages 13—17 years—Total Rate</w:t>
            </w:r>
          </w:p>
        </w:tc>
        <w:tc>
          <w:tcPr>
            <w:tcW w:w="312" w:type="pct"/>
            <w:shd w:val="clear" w:color="auto" w:fill="auto"/>
            <w:vAlign w:val="center"/>
          </w:tcPr>
          <w:p w14:paraId="6DC0A66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12BCF3B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46</w:t>
            </w:r>
          </w:p>
        </w:tc>
        <w:tc>
          <w:tcPr>
            <w:tcW w:w="311" w:type="pct"/>
            <w:shd w:val="clear" w:color="000000" w:fill="FFFFFF"/>
            <w:vAlign w:val="center"/>
          </w:tcPr>
          <w:p w14:paraId="75DEB12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1.31%</w:t>
            </w:r>
          </w:p>
        </w:tc>
        <w:tc>
          <w:tcPr>
            <w:tcW w:w="343" w:type="pct"/>
            <w:shd w:val="clear" w:color="000000" w:fill="FFFFFF"/>
            <w:vAlign w:val="center"/>
          </w:tcPr>
          <w:p w14:paraId="7B3E56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375" w:type="pct"/>
            <w:shd w:val="clear" w:color="000000" w:fill="FFFFFF"/>
            <w:vAlign w:val="center"/>
          </w:tcPr>
          <w:p w14:paraId="218EC3F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1.4%</w:t>
            </w:r>
          </w:p>
        </w:tc>
        <w:tc>
          <w:tcPr>
            <w:tcW w:w="405" w:type="pct"/>
            <w:shd w:val="clear" w:color="000000" w:fill="FFFFFF"/>
            <w:vAlign w:val="center"/>
          </w:tcPr>
          <w:p w14:paraId="7D01CF3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1.37%</w:t>
            </w:r>
          </w:p>
        </w:tc>
        <w:tc>
          <w:tcPr>
            <w:tcW w:w="406" w:type="pct"/>
            <w:shd w:val="clear" w:color="000000" w:fill="FFFFFF"/>
            <w:vAlign w:val="center"/>
          </w:tcPr>
          <w:p w14:paraId="4976AEE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92059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90C4F0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8409F8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3F007C2" w14:textId="77777777" w:rsidTr="00FF262E">
        <w:trPr>
          <w:cantSplit/>
          <w:trHeight w:val="144"/>
        </w:trPr>
        <w:tc>
          <w:tcPr>
            <w:tcW w:w="286" w:type="pct"/>
            <w:shd w:val="clear" w:color="auto" w:fill="FFFFFF" w:themeFill="background1"/>
            <w:vAlign w:val="center"/>
          </w:tcPr>
          <w:p w14:paraId="2E763FD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97C7B2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Intensive Outpatient/Partial Hospitalization Ages 0—12 years—Male</w:t>
            </w:r>
          </w:p>
        </w:tc>
        <w:tc>
          <w:tcPr>
            <w:tcW w:w="312" w:type="pct"/>
            <w:shd w:val="clear" w:color="auto" w:fill="auto"/>
            <w:vAlign w:val="center"/>
          </w:tcPr>
          <w:p w14:paraId="078CF1F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452B5B0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w:t>
            </w:r>
          </w:p>
        </w:tc>
        <w:tc>
          <w:tcPr>
            <w:tcW w:w="311" w:type="pct"/>
            <w:shd w:val="clear" w:color="000000" w:fill="FFFFFF"/>
            <w:vAlign w:val="center"/>
          </w:tcPr>
          <w:p w14:paraId="2B512F7C"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0.06%</w:t>
            </w:r>
          </w:p>
        </w:tc>
        <w:tc>
          <w:tcPr>
            <w:tcW w:w="343" w:type="pct"/>
            <w:shd w:val="clear" w:color="000000" w:fill="FFFFFF"/>
            <w:vAlign w:val="center"/>
          </w:tcPr>
          <w:p w14:paraId="6497642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EE9867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7FD8E88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0.29%</w:t>
            </w:r>
          </w:p>
        </w:tc>
        <w:tc>
          <w:tcPr>
            <w:tcW w:w="406" w:type="pct"/>
            <w:shd w:val="clear" w:color="000000" w:fill="FFFFFF"/>
            <w:vAlign w:val="center"/>
          </w:tcPr>
          <w:p w14:paraId="3F5CBC8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3B9B09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5B9062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62E93F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B80EF64" w14:textId="77777777" w:rsidTr="00FF262E">
        <w:trPr>
          <w:cantSplit/>
          <w:trHeight w:val="144"/>
        </w:trPr>
        <w:tc>
          <w:tcPr>
            <w:tcW w:w="286" w:type="pct"/>
            <w:shd w:val="clear" w:color="auto" w:fill="FFFFFF" w:themeFill="background1"/>
            <w:vAlign w:val="center"/>
          </w:tcPr>
          <w:p w14:paraId="6A6675D1"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7C2B2A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Intensive Outpatient/Partial Hospitalization Ages 0—12 years—Female</w:t>
            </w:r>
          </w:p>
        </w:tc>
        <w:tc>
          <w:tcPr>
            <w:tcW w:w="312" w:type="pct"/>
            <w:shd w:val="clear" w:color="auto" w:fill="auto"/>
            <w:vAlign w:val="center"/>
          </w:tcPr>
          <w:p w14:paraId="034DC2A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5931943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w:t>
            </w:r>
          </w:p>
        </w:tc>
        <w:tc>
          <w:tcPr>
            <w:tcW w:w="311" w:type="pct"/>
            <w:shd w:val="clear" w:color="000000" w:fill="FFFFFF"/>
            <w:vAlign w:val="center"/>
          </w:tcPr>
          <w:p w14:paraId="5E0F5B5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0.14%</w:t>
            </w:r>
          </w:p>
        </w:tc>
        <w:tc>
          <w:tcPr>
            <w:tcW w:w="343" w:type="pct"/>
            <w:shd w:val="clear" w:color="000000" w:fill="FFFFFF"/>
            <w:vAlign w:val="center"/>
          </w:tcPr>
          <w:p w14:paraId="0E2F2DC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375" w:type="pct"/>
            <w:shd w:val="clear" w:color="000000" w:fill="FFFFFF"/>
            <w:vAlign w:val="center"/>
          </w:tcPr>
          <w:p w14:paraId="42FB449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405" w:type="pct"/>
            <w:shd w:val="clear" w:color="000000" w:fill="FFFFFF"/>
            <w:vAlign w:val="center"/>
          </w:tcPr>
          <w:p w14:paraId="3C82476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0.14%</w:t>
            </w:r>
          </w:p>
        </w:tc>
        <w:tc>
          <w:tcPr>
            <w:tcW w:w="406" w:type="pct"/>
            <w:shd w:val="clear" w:color="000000" w:fill="FFFFFF"/>
            <w:vAlign w:val="center"/>
          </w:tcPr>
          <w:p w14:paraId="6CF9A39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004BC2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0B3134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0F7BFA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2F66FD9" w14:textId="77777777" w:rsidTr="00FF262E">
        <w:trPr>
          <w:cantSplit/>
          <w:trHeight w:val="144"/>
        </w:trPr>
        <w:tc>
          <w:tcPr>
            <w:tcW w:w="286" w:type="pct"/>
            <w:shd w:val="clear" w:color="auto" w:fill="FFFFFF" w:themeFill="background1"/>
            <w:vAlign w:val="center"/>
          </w:tcPr>
          <w:p w14:paraId="1C6CBB3A"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257692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Intensive Outpatient/Partial Hospitalization Ages 0—12 years—Total Rate</w:t>
            </w:r>
          </w:p>
        </w:tc>
        <w:tc>
          <w:tcPr>
            <w:tcW w:w="312" w:type="pct"/>
            <w:shd w:val="clear" w:color="auto" w:fill="auto"/>
            <w:vAlign w:val="center"/>
          </w:tcPr>
          <w:p w14:paraId="3E68CE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55BEA24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1" w:type="pct"/>
            <w:shd w:val="clear" w:color="000000" w:fill="FFFFFF"/>
            <w:vAlign w:val="center"/>
          </w:tcPr>
          <w:p w14:paraId="0D6577BC"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0.10%</w:t>
            </w:r>
          </w:p>
        </w:tc>
        <w:tc>
          <w:tcPr>
            <w:tcW w:w="343" w:type="pct"/>
            <w:shd w:val="clear" w:color="000000" w:fill="FFFFFF"/>
            <w:vAlign w:val="center"/>
          </w:tcPr>
          <w:p w14:paraId="08AF22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375" w:type="pct"/>
            <w:shd w:val="clear" w:color="000000" w:fill="FFFFFF"/>
            <w:vAlign w:val="center"/>
          </w:tcPr>
          <w:p w14:paraId="41C262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59501D6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0.22%</w:t>
            </w:r>
          </w:p>
        </w:tc>
        <w:tc>
          <w:tcPr>
            <w:tcW w:w="406" w:type="pct"/>
            <w:shd w:val="clear" w:color="000000" w:fill="FFFFFF"/>
            <w:vAlign w:val="center"/>
          </w:tcPr>
          <w:p w14:paraId="7184C5B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0DA2F54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FA7490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FA974E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9F1D8F9" w14:textId="77777777" w:rsidTr="00FF262E">
        <w:trPr>
          <w:cantSplit/>
          <w:trHeight w:val="144"/>
        </w:trPr>
        <w:tc>
          <w:tcPr>
            <w:tcW w:w="286" w:type="pct"/>
            <w:shd w:val="clear" w:color="auto" w:fill="FFFFFF" w:themeFill="background1"/>
            <w:vAlign w:val="center"/>
          </w:tcPr>
          <w:p w14:paraId="732DBEE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60" w:type="pct"/>
            <w:shd w:val="clear" w:color="auto" w:fill="FFFFFF" w:themeFill="background1"/>
            <w:vAlign w:val="center"/>
          </w:tcPr>
          <w:p w14:paraId="3D02AE4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Intensive Outpatient/Partial Hospitalization Ages 13—17 years—Male</w:t>
            </w:r>
          </w:p>
        </w:tc>
        <w:tc>
          <w:tcPr>
            <w:tcW w:w="312" w:type="pct"/>
            <w:shd w:val="clear" w:color="auto" w:fill="auto"/>
            <w:vAlign w:val="center"/>
          </w:tcPr>
          <w:p w14:paraId="2AE43FA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116A67B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w:t>
            </w:r>
          </w:p>
        </w:tc>
        <w:tc>
          <w:tcPr>
            <w:tcW w:w="311" w:type="pct"/>
            <w:shd w:val="clear" w:color="000000" w:fill="FFFFFF"/>
            <w:vAlign w:val="center"/>
          </w:tcPr>
          <w:p w14:paraId="3A19E253"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0.28%</w:t>
            </w:r>
          </w:p>
        </w:tc>
        <w:tc>
          <w:tcPr>
            <w:tcW w:w="343" w:type="pct"/>
            <w:shd w:val="clear" w:color="000000" w:fill="FFFFFF"/>
            <w:vAlign w:val="center"/>
          </w:tcPr>
          <w:p w14:paraId="0E0C53E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375" w:type="pct"/>
            <w:shd w:val="clear" w:color="000000" w:fill="FFFFFF"/>
            <w:vAlign w:val="center"/>
          </w:tcPr>
          <w:p w14:paraId="09FAD4C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405" w:type="pct"/>
            <w:shd w:val="clear" w:color="000000" w:fill="FFFFFF"/>
            <w:vAlign w:val="center"/>
          </w:tcPr>
          <w:p w14:paraId="76C0A6C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0.79%</w:t>
            </w:r>
          </w:p>
        </w:tc>
        <w:tc>
          <w:tcPr>
            <w:tcW w:w="406" w:type="pct"/>
            <w:shd w:val="clear" w:color="000000" w:fill="FFFFFF"/>
            <w:vAlign w:val="center"/>
          </w:tcPr>
          <w:p w14:paraId="57CC43F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525842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F07BE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71634B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68C123E" w14:textId="77777777" w:rsidTr="00FF262E">
        <w:trPr>
          <w:cantSplit/>
          <w:trHeight w:val="144"/>
        </w:trPr>
        <w:tc>
          <w:tcPr>
            <w:tcW w:w="286" w:type="pct"/>
            <w:shd w:val="clear" w:color="auto" w:fill="FFFFFF" w:themeFill="background1"/>
            <w:vAlign w:val="center"/>
          </w:tcPr>
          <w:p w14:paraId="4E1DD00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8C1807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Intensive Outpatient/Partial Hospitalization Ages 13—17 years—Female</w:t>
            </w:r>
          </w:p>
        </w:tc>
        <w:tc>
          <w:tcPr>
            <w:tcW w:w="312" w:type="pct"/>
            <w:shd w:val="clear" w:color="auto" w:fill="auto"/>
            <w:vAlign w:val="center"/>
          </w:tcPr>
          <w:p w14:paraId="626A47B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224E4CA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w:t>
            </w:r>
          </w:p>
        </w:tc>
        <w:tc>
          <w:tcPr>
            <w:tcW w:w="311" w:type="pct"/>
            <w:shd w:val="clear" w:color="000000" w:fill="FFFFFF"/>
            <w:vAlign w:val="center"/>
          </w:tcPr>
          <w:p w14:paraId="30DFE20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0.92%</w:t>
            </w:r>
          </w:p>
        </w:tc>
        <w:tc>
          <w:tcPr>
            <w:tcW w:w="343" w:type="pct"/>
            <w:shd w:val="clear" w:color="000000" w:fill="FFFFFF"/>
            <w:vAlign w:val="center"/>
          </w:tcPr>
          <w:p w14:paraId="17EF49A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0.8%</w:t>
            </w:r>
          </w:p>
        </w:tc>
        <w:tc>
          <w:tcPr>
            <w:tcW w:w="375" w:type="pct"/>
            <w:shd w:val="clear" w:color="000000" w:fill="FFFFFF"/>
            <w:vAlign w:val="center"/>
          </w:tcPr>
          <w:p w14:paraId="51E9C2C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1.1%</w:t>
            </w:r>
          </w:p>
        </w:tc>
        <w:tc>
          <w:tcPr>
            <w:tcW w:w="405" w:type="pct"/>
            <w:shd w:val="clear" w:color="000000" w:fill="FFFFFF"/>
            <w:vAlign w:val="center"/>
          </w:tcPr>
          <w:p w14:paraId="0FE2BCE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1.78%</w:t>
            </w:r>
          </w:p>
        </w:tc>
        <w:tc>
          <w:tcPr>
            <w:tcW w:w="406" w:type="pct"/>
            <w:shd w:val="clear" w:color="000000" w:fill="FFFFFF"/>
            <w:vAlign w:val="center"/>
          </w:tcPr>
          <w:p w14:paraId="087533D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351D39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52EE23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2A9C8E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03C8F51" w14:textId="77777777" w:rsidTr="00FF262E">
        <w:trPr>
          <w:cantSplit/>
          <w:trHeight w:val="144"/>
        </w:trPr>
        <w:tc>
          <w:tcPr>
            <w:tcW w:w="286" w:type="pct"/>
            <w:shd w:val="clear" w:color="auto" w:fill="FFFFFF" w:themeFill="background1"/>
            <w:vAlign w:val="center"/>
          </w:tcPr>
          <w:p w14:paraId="36A4985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374DD7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Intensive Outpatient/Partial Hospitalization Ages 13—17 years—Total Rate</w:t>
            </w:r>
          </w:p>
        </w:tc>
        <w:tc>
          <w:tcPr>
            <w:tcW w:w="312" w:type="pct"/>
            <w:shd w:val="clear" w:color="auto" w:fill="auto"/>
            <w:vAlign w:val="center"/>
          </w:tcPr>
          <w:p w14:paraId="156181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58A02FC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w:t>
            </w:r>
          </w:p>
        </w:tc>
        <w:tc>
          <w:tcPr>
            <w:tcW w:w="311" w:type="pct"/>
            <w:shd w:val="clear" w:color="000000" w:fill="FFFFFF"/>
            <w:vAlign w:val="center"/>
          </w:tcPr>
          <w:p w14:paraId="1456BD24"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0.60%</w:t>
            </w:r>
          </w:p>
        </w:tc>
        <w:tc>
          <w:tcPr>
            <w:tcW w:w="343" w:type="pct"/>
            <w:shd w:val="clear" w:color="000000" w:fill="FFFFFF"/>
            <w:vAlign w:val="center"/>
          </w:tcPr>
          <w:p w14:paraId="5EA2D69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0.5%</w:t>
            </w:r>
          </w:p>
        </w:tc>
        <w:tc>
          <w:tcPr>
            <w:tcW w:w="375" w:type="pct"/>
            <w:shd w:val="clear" w:color="000000" w:fill="FFFFFF"/>
            <w:vAlign w:val="center"/>
          </w:tcPr>
          <w:p w14:paraId="280FF1E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0.7%</w:t>
            </w:r>
          </w:p>
        </w:tc>
        <w:tc>
          <w:tcPr>
            <w:tcW w:w="405" w:type="pct"/>
            <w:shd w:val="clear" w:color="000000" w:fill="FFFFFF"/>
            <w:vAlign w:val="center"/>
          </w:tcPr>
          <w:p w14:paraId="06C096A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1.28%</w:t>
            </w:r>
          </w:p>
        </w:tc>
        <w:tc>
          <w:tcPr>
            <w:tcW w:w="406" w:type="pct"/>
            <w:shd w:val="clear" w:color="000000" w:fill="FFFFFF"/>
            <w:vAlign w:val="center"/>
          </w:tcPr>
          <w:p w14:paraId="255FFC5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E60DC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4F0DE2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7883A9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D78F540" w14:textId="77777777" w:rsidTr="00FF262E">
        <w:trPr>
          <w:cantSplit/>
          <w:trHeight w:val="144"/>
        </w:trPr>
        <w:tc>
          <w:tcPr>
            <w:tcW w:w="286" w:type="pct"/>
            <w:shd w:val="clear" w:color="auto" w:fill="FFFFFF" w:themeFill="background1"/>
            <w:vAlign w:val="center"/>
          </w:tcPr>
          <w:p w14:paraId="6E52F5F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FB2A88B"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Outpatient Ages 0—12 years—Male</w:t>
            </w:r>
          </w:p>
        </w:tc>
        <w:tc>
          <w:tcPr>
            <w:tcW w:w="312" w:type="pct"/>
            <w:shd w:val="clear" w:color="auto" w:fill="auto"/>
            <w:vAlign w:val="center"/>
          </w:tcPr>
          <w:p w14:paraId="03F8D61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7C3A9C2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235</w:t>
            </w:r>
          </w:p>
        </w:tc>
        <w:tc>
          <w:tcPr>
            <w:tcW w:w="311" w:type="pct"/>
            <w:shd w:val="clear" w:color="000000" w:fill="FFFFFF"/>
            <w:vAlign w:val="center"/>
          </w:tcPr>
          <w:p w14:paraId="6F8575E8"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6.71%</w:t>
            </w:r>
          </w:p>
        </w:tc>
        <w:tc>
          <w:tcPr>
            <w:tcW w:w="343" w:type="pct"/>
            <w:shd w:val="clear" w:color="000000" w:fill="FFFFFF"/>
            <w:vAlign w:val="center"/>
          </w:tcPr>
          <w:p w14:paraId="6E093B4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6.5%</w:t>
            </w:r>
          </w:p>
        </w:tc>
        <w:tc>
          <w:tcPr>
            <w:tcW w:w="375" w:type="pct"/>
            <w:shd w:val="clear" w:color="000000" w:fill="FFFFFF"/>
            <w:vAlign w:val="center"/>
          </w:tcPr>
          <w:p w14:paraId="7334896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7.0%</w:t>
            </w:r>
          </w:p>
        </w:tc>
        <w:tc>
          <w:tcPr>
            <w:tcW w:w="405" w:type="pct"/>
            <w:shd w:val="clear" w:color="000000" w:fill="FFFFFF"/>
            <w:vAlign w:val="center"/>
          </w:tcPr>
          <w:p w14:paraId="4187460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10.10%</w:t>
            </w:r>
          </w:p>
        </w:tc>
        <w:tc>
          <w:tcPr>
            <w:tcW w:w="406" w:type="pct"/>
            <w:shd w:val="clear" w:color="000000" w:fill="FFFFFF"/>
            <w:vAlign w:val="center"/>
          </w:tcPr>
          <w:p w14:paraId="7D97254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2A7E1CB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3205F2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BEEA69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042FAA3" w14:textId="77777777" w:rsidTr="00FF262E">
        <w:trPr>
          <w:cantSplit/>
          <w:trHeight w:val="144"/>
        </w:trPr>
        <w:tc>
          <w:tcPr>
            <w:tcW w:w="286" w:type="pct"/>
            <w:shd w:val="clear" w:color="auto" w:fill="FFFFFF" w:themeFill="background1"/>
            <w:vAlign w:val="center"/>
          </w:tcPr>
          <w:p w14:paraId="4465534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E39432D"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Outpatient Ages 0—12 years—Female</w:t>
            </w:r>
          </w:p>
        </w:tc>
        <w:tc>
          <w:tcPr>
            <w:tcW w:w="312" w:type="pct"/>
            <w:shd w:val="clear" w:color="auto" w:fill="auto"/>
            <w:vAlign w:val="center"/>
          </w:tcPr>
          <w:p w14:paraId="75D31AD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3EBAAA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204</w:t>
            </w:r>
          </w:p>
        </w:tc>
        <w:tc>
          <w:tcPr>
            <w:tcW w:w="311" w:type="pct"/>
            <w:shd w:val="clear" w:color="000000" w:fill="FFFFFF"/>
            <w:vAlign w:val="center"/>
          </w:tcPr>
          <w:p w14:paraId="1A39AFA3"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5.83%</w:t>
            </w:r>
          </w:p>
        </w:tc>
        <w:tc>
          <w:tcPr>
            <w:tcW w:w="343" w:type="pct"/>
            <w:shd w:val="clear" w:color="000000" w:fill="FFFFFF"/>
            <w:vAlign w:val="center"/>
          </w:tcPr>
          <w:p w14:paraId="3213C16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5.6%</w:t>
            </w:r>
          </w:p>
        </w:tc>
        <w:tc>
          <w:tcPr>
            <w:tcW w:w="375" w:type="pct"/>
            <w:shd w:val="clear" w:color="000000" w:fill="FFFFFF"/>
            <w:vAlign w:val="center"/>
          </w:tcPr>
          <w:p w14:paraId="3AEF674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6.1%</w:t>
            </w:r>
          </w:p>
        </w:tc>
        <w:tc>
          <w:tcPr>
            <w:tcW w:w="405" w:type="pct"/>
            <w:shd w:val="clear" w:color="000000" w:fill="FFFFFF"/>
            <w:vAlign w:val="center"/>
          </w:tcPr>
          <w:p w14:paraId="0D5B01D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8.27%</w:t>
            </w:r>
          </w:p>
        </w:tc>
        <w:tc>
          <w:tcPr>
            <w:tcW w:w="406" w:type="pct"/>
            <w:shd w:val="clear" w:color="000000" w:fill="FFFFFF"/>
            <w:vAlign w:val="center"/>
          </w:tcPr>
          <w:p w14:paraId="77625B2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3502DB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5F71F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48F808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5211E677" w14:textId="77777777" w:rsidTr="00FF262E">
        <w:trPr>
          <w:cantSplit/>
          <w:trHeight w:val="144"/>
        </w:trPr>
        <w:tc>
          <w:tcPr>
            <w:tcW w:w="286" w:type="pct"/>
            <w:shd w:val="clear" w:color="auto" w:fill="FFFFFF" w:themeFill="background1"/>
            <w:vAlign w:val="center"/>
          </w:tcPr>
          <w:p w14:paraId="6496043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A2CE3B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Outpatient Ages 0—12 years—Total Rate</w:t>
            </w:r>
          </w:p>
        </w:tc>
        <w:tc>
          <w:tcPr>
            <w:tcW w:w="312" w:type="pct"/>
            <w:shd w:val="clear" w:color="auto" w:fill="auto"/>
            <w:vAlign w:val="center"/>
          </w:tcPr>
          <w:p w14:paraId="572891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4A59908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439</w:t>
            </w:r>
          </w:p>
        </w:tc>
        <w:tc>
          <w:tcPr>
            <w:tcW w:w="311" w:type="pct"/>
            <w:shd w:val="clear" w:color="000000" w:fill="FFFFFF"/>
            <w:vAlign w:val="center"/>
          </w:tcPr>
          <w:p w14:paraId="6909848B"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6.27%</w:t>
            </w:r>
          </w:p>
        </w:tc>
        <w:tc>
          <w:tcPr>
            <w:tcW w:w="343" w:type="pct"/>
            <w:shd w:val="clear" w:color="000000" w:fill="FFFFFF"/>
            <w:vAlign w:val="center"/>
          </w:tcPr>
          <w:p w14:paraId="2D2EC6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6.1%</w:t>
            </w:r>
          </w:p>
        </w:tc>
        <w:tc>
          <w:tcPr>
            <w:tcW w:w="375" w:type="pct"/>
            <w:shd w:val="clear" w:color="000000" w:fill="FFFFFF"/>
            <w:vAlign w:val="center"/>
          </w:tcPr>
          <w:p w14:paraId="76942FA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6.4%</w:t>
            </w:r>
          </w:p>
        </w:tc>
        <w:tc>
          <w:tcPr>
            <w:tcW w:w="405" w:type="pct"/>
            <w:shd w:val="clear" w:color="000000" w:fill="FFFFFF"/>
            <w:vAlign w:val="center"/>
          </w:tcPr>
          <w:p w14:paraId="2DF5C4E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9.19%</w:t>
            </w:r>
          </w:p>
        </w:tc>
        <w:tc>
          <w:tcPr>
            <w:tcW w:w="406" w:type="pct"/>
            <w:shd w:val="clear" w:color="000000" w:fill="FFFFFF"/>
            <w:vAlign w:val="center"/>
          </w:tcPr>
          <w:p w14:paraId="4890CA9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5B8941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51607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9306EA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38687E9" w14:textId="77777777" w:rsidTr="00FF262E">
        <w:trPr>
          <w:cantSplit/>
          <w:trHeight w:val="144"/>
        </w:trPr>
        <w:tc>
          <w:tcPr>
            <w:tcW w:w="286" w:type="pct"/>
            <w:shd w:val="clear" w:color="auto" w:fill="FFFFFF" w:themeFill="background1"/>
            <w:vAlign w:val="center"/>
          </w:tcPr>
          <w:p w14:paraId="13C34F5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6C80DA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Outpatient Ages 13—17 years—Male</w:t>
            </w:r>
          </w:p>
        </w:tc>
        <w:tc>
          <w:tcPr>
            <w:tcW w:w="312" w:type="pct"/>
            <w:shd w:val="clear" w:color="auto" w:fill="auto"/>
            <w:vAlign w:val="center"/>
          </w:tcPr>
          <w:p w14:paraId="03C0B75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1345EE6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151</w:t>
            </w:r>
          </w:p>
        </w:tc>
        <w:tc>
          <w:tcPr>
            <w:tcW w:w="311" w:type="pct"/>
            <w:shd w:val="clear" w:color="000000" w:fill="FFFFFF"/>
            <w:vAlign w:val="center"/>
          </w:tcPr>
          <w:p w14:paraId="7CD8AE6D"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8.50%</w:t>
            </w:r>
          </w:p>
        </w:tc>
        <w:tc>
          <w:tcPr>
            <w:tcW w:w="343" w:type="pct"/>
            <w:shd w:val="clear" w:color="000000" w:fill="FFFFFF"/>
            <w:vAlign w:val="center"/>
          </w:tcPr>
          <w:p w14:paraId="1FA87BD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8.1%</w:t>
            </w:r>
          </w:p>
        </w:tc>
        <w:tc>
          <w:tcPr>
            <w:tcW w:w="375" w:type="pct"/>
            <w:shd w:val="clear" w:color="000000" w:fill="FFFFFF"/>
            <w:vAlign w:val="center"/>
          </w:tcPr>
          <w:p w14:paraId="1DA3C4D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8.9%</w:t>
            </w:r>
          </w:p>
        </w:tc>
        <w:tc>
          <w:tcPr>
            <w:tcW w:w="405" w:type="pct"/>
            <w:shd w:val="clear" w:color="000000" w:fill="FFFFFF"/>
            <w:vAlign w:val="center"/>
          </w:tcPr>
          <w:p w14:paraId="2EC34E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13.66%</w:t>
            </w:r>
          </w:p>
        </w:tc>
        <w:tc>
          <w:tcPr>
            <w:tcW w:w="406" w:type="pct"/>
            <w:shd w:val="clear" w:color="000000" w:fill="FFFFFF"/>
            <w:vAlign w:val="center"/>
          </w:tcPr>
          <w:p w14:paraId="15B5373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4135AD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591F17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AE8E42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FD9E1CA" w14:textId="77777777" w:rsidTr="00FF262E">
        <w:trPr>
          <w:cantSplit/>
          <w:trHeight w:val="144"/>
        </w:trPr>
        <w:tc>
          <w:tcPr>
            <w:tcW w:w="286" w:type="pct"/>
            <w:shd w:val="clear" w:color="auto" w:fill="FFFFFF" w:themeFill="background1"/>
            <w:vAlign w:val="center"/>
          </w:tcPr>
          <w:p w14:paraId="4B18CF4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1D3FA1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Outpatient Ages 13—17 years—Female</w:t>
            </w:r>
          </w:p>
        </w:tc>
        <w:tc>
          <w:tcPr>
            <w:tcW w:w="312" w:type="pct"/>
            <w:shd w:val="clear" w:color="auto" w:fill="auto"/>
            <w:vAlign w:val="center"/>
          </w:tcPr>
          <w:p w14:paraId="0C2EC39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7911386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290</w:t>
            </w:r>
          </w:p>
        </w:tc>
        <w:tc>
          <w:tcPr>
            <w:tcW w:w="311" w:type="pct"/>
            <w:shd w:val="clear" w:color="000000" w:fill="FFFFFF"/>
            <w:vAlign w:val="center"/>
          </w:tcPr>
          <w:p w14:paraId="24AE10D4"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16.72%</w:t>
            </w:r>
          </w:p>
        </w:tc>
        <w:tc>
          <w:tcPr>
            <w:tcW w:w="343" w:type="pct"/>
            <w:shd w:val="clear" w:color="000000" w:fill="FFFFFF"/>
            <w:vAlign w:val="center"/>
          </w:tcPr>
          <w:p w14:paraId="44C8521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16.2%</w:t>
            </w:r>
          </w:p>
        </w:tc>
        <w:tc>
          <w:tcPr>
            <w:tcW w:w="375" w:type="pct"/>
            <w:shd w:val="clear" w:color="000000" w:fill="FFFFFF"/>
            <w:vAlign w:val="center"/>
          </w:tcPr>
          <w:p w14:paraId="5401CAE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17.2%</w:t>
            </w:r>
          </w:p>
        </w:tc>
        <w:tc>
          <w:tcPr>
            <w:tcW w:w="405" w:type="pct"/>
            <w:shd w:val="clear" w:color="000000" w:fill="FFFFFF"/>
            <w:vAlign w:val="center"/>
          </w:tcPr>
          <w:p w14:paraId="63D16F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22.49%</w:t>
            </w:r>
          </w:p>
        </w:tc>
        <w:tc>
          <w:tcPr>
            <w:tcW w:w="406" w:type="pct"/>
            <w:shd w:val="clear" w:color="000000" w:fill="FFFFFF"/>
            <w:vAlign w:val="center"/>
          </w:tcPr>
          <w:p w14:paraId="74BB300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C2DDEC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6C90DC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A21703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BE578D0" w14:textId="77777777" w:rsidTr="00FF262E">
        <w:trPr>
          <w:cantSplit/>
          <w:trHeight w:val="144"/>
        </w:trPr>
        <w:tc>
          <w:tcPr>
            <w:tcW w:w="286" w:type="pct"/>
            <w:shd w:val="clear" w:color="auto" w:fill="FFFFFF" w:themeFill="background1"/>
            <w:vAlign w:val="center"/>
          </w:tcPr>
          <w:p w14:paraId="54B7E1F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D659E6C"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Outpatient Ages 13—17 years—Total Rate</w:t>
            </w:r>
          </w:p>
        </w:tc>
        <w:tc>
          <w:tcPr>
            <w:tcW w:w="312" w:type="pct"/>
            <w:shd w:val="clear" w:color="auto" w:fill="auto"/>
            <w:vAlign w:val="center"/>
          </w:tcPr>
          <w:p w14:paraId="2E7B643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4EC0305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441</w:t>
            </w:r>
          </w:p>
        </w:tc>
        <w:tc>
          <w:tcPr>
            <w:tcW w:w="311" w:type="pct"/>
            <w:shd w:val="clear" w:color="000000" w:fill="FFFFFF"/>
            <w:vAlign w:val="center"/>
          </w:tcPr>
          <w:p w14:paraId="3E0ACFA5"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12.56%</w:t>
            </w:r>
          </w:p>
        </w:tc>
        <w:tc>
          <w:tcPr>
            <w:tcW w:w="343" w:type="pct"/>
            <w:shd w:val="clear" w:color="000000" w:fill="FFFFFF"/>
            <w:vAlign w:val="center"/>
          </w:tcPr>
          <w:p w14:paraId="3FCCD19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12.2%</w:t>
            </w:r>
          </w:p>
        </w:tc>
        <w:tc>
          <w:tcPr>
            <w:tcW w:w="375" w:type="pct"/>
            <w:shd w:val="clear" w:color="000000" w:fill="FFFFFF"/>
            <w:vAlign w:val="center"/>
          </w:tcPr>
          <w:p w14:paraId="2F90A5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12.9%</w:t>
            </w:r>
          </w:p>
        </w:tc>
        <w:tc>
          <w:tcPr>
            <w:tcW w:w="405" w:type="pct"/>
            <w:shd w:val="clear" w:color="000000" w:fill="FFFFFF"/>
            <w:vAlign w:val="center"/>
          </w:tcPr>
          <w:p w14:paraId="5B31D82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18.05%</w:t>
            </w:r>
          </w:p>
        </w:tc>
        <w:tc>
          <w:tcPr>
            <w:tcW w:w="406" w:type="pct"/>
            <w:shd w:val="clear" w:color="000000" w:fill="FFFFFF"/>
            <w:vAlign w:val="center"/>
          </w:tcPr>
          <w:p w14:paraId="223E7A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51F6351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D607EB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9E9080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5602DCAE" w14:textId="77777777" w:rsidTr="00FF262E">
        <w:trPr>
          <w:cantSplit/>
          <w:trHeight w:val="144"/>
        </w:trPr>
        <w:tc>
          <w:tcPr>
            <w:tcW w:w="286" w:type="pct"/>
            <w:shd w:val="clear" w:color="auto" w:fill="FFFFFF" w:themeFill="background1"/>
            <w:vAlign w:val="center"/>
          </w:tcPr>
          <w:p w14:paraId="5D58AAF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DA392A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ED Ages 0—12 years—Male</w:t>
            </w:r>
          </w:p>
        </w:tc>
        <w:tc>
          <w:tcPr>
            <w:tcW w:w="312" w:type="pct"/>
            <w:shd w:val="clear" w:color="auto" w:fill="auto"/>
            <w:vAlign w:val="center"/>
          </w:tcPr>
          <w:p w14:paraId="773F0BF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48BA7B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351986A7"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0.00%</w:t>
            </w:r>
          </w:p>
        </w:tc>
        <w:tc>
          <w:tcPr>
            <w:tcW w:w="343" w:type="pct"/>
            <w:shd w:val="clear" w:color="000000" w:fill="FFFFFF"/>
            <w:vAlign w:val="center"/>
          </w:tcPr>
          <w:p w14:paraId="2F4F7F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7D35D2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22A973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0.06%</w:t>
            </w:r>
          </w:p>
        </w:tc>
        <w:tc>
          <w:tcPr>
            <w:tcW w:w="406" w:type="pct"/>
            <w:shd w:val="clear" w:color="000000" w:fill="FFFFFF"/>
            <w:vAlign w:val="center"/>
          </w:tcPr>
          <w:p w14:paraId="59B2FA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2532CE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BEF4D5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677339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C94AEA5" w14:textId="77777777" w:rsidTr="00FF262E">
        <w:trPr>
          <w:cantSplit/>
          <w:trHeight w:val="144"/>
        </w:trPr>
        <w:tc>
          <w:tcPr>
            <w:tcW w:w="286" w:type="pct"/>
            <w:shd w:val="clear" w:color="auto" w:fill="FFFFFF" w:themeFill="background1"/>
            <w:vAlign w:val="center"/>
          </w:tcPr>
          <w:p w14:paraId="46D8DB4C"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861D58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ED Ages 0—12 years—Female</w:t>
            </w:r>
          </w:p>
        </w:tc>
        <w:tc>
          <w:tcPr>
            <w:tcW w:w="312" w:type="pct"/>
            <w:shd w:val="clear" w:color="auto" w:fill="auto"/>
            <w:vAlign w:val="center"/>
          </w:tcPr>
          <w:p w14:paraId="2C48F9C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06A406F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5DAAFA6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0.00%</w:t>
            </w:r>
          </w:p>
        </w:tc>
        <w:tc>
          <w:tcPr>
            <w:tcW w:w="343" w:type="pct"/>
            <w:shd w:val="clear" w:color="000000" w:fill="FFFFFF"/>
            <w:vAlign w:val="center"/>
          </w:tcPr>
          <w:p w14:paraId="0354493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538A4F2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7C0B422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0.03%</w:t>
            </w:r>
          </w:p>
        </w:tc>
        <w:tc>
          <w:tcPr>
            <w:tcW w:w="406" w:type="pct"/>
            <w:shd w:val="clear" w:color="000000" w:fill="FFFFFF"/>
            <w:vAlign w:val="center"/>
          </w:tcPr>
          <w:p w14:paraId="56F6428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063769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2C912C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6E28EF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B2CFB87" w14:textId="77777777" w:rsidTr="00FF262E">
        <w:trPr>
          <w:cantSplit/>
          <w:trHeight w:val="144"/>
        </w:trPr>
        <w:tc>
          <w:tcPr>
            <w:tcW w:w="286" w:type="pct"/>
            <w:shd w:val="clear" w:color="auto" w:fill="FFFFFF" w:themeFill="background1"/>
            <w:vAlign w:val="center"/>
          </w:tcPr>
          <w:p w14:paraId="5EFCB9E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0746AB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ED Ages 0—12 years—Total Rate</w:t>
            </w:r>
          </w:p>
        </w:tc>
        <w:tc>
          <w:tcPr>
            <w:tcW w:w="312" w:type="pct"/>
            <w:shd w:val="clear" w:color="auto" w:fill="auto"/>
            <w:vAlign w:val="center"/>
          </w:tcPr>
          <w:p w14:paraId="2D2FF21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2367018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41B228C1"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0.00%</w:t>
            </w:r>
          </w:p>
        </w:tc>
        <w:tc>
          <w:tcPr>
            <w:tcW w:w="343" w:type="pct"/>
            <w:shd w:val="clear" w:color="000000" w:fill="FFFFFF"/>
            <w:vAlign w:val="center"/>
          </w:tcPr>
          <w:p w14:paraId="6AD23AF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E2E1C0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69F63F3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0.04%</w:t>
            </w:r>
          </w:p>
        </w:tc>
        <w:tc>
          <w:tcPr>
            <w:tcW w:w="406" w:type="pct"/>
            <w:shd w:val="clear" w:color="000000" w:fill="FFFFFF"/>
            <w:vAlign w:val="center"/>
          </w:tcPr>
          <w:p w14:paraId="26E2FDF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D34B06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96180C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C95D5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DDD0353" w14:textId="77777777" w:rsidTr="00FF262E">
        <w:trPr>
          <w:cantSplit/>
          <w:trHeight w:val="144"/>
        </w:trPr>
        <w:tc>
          <w:tcPr>
            <w:tcW w:w="286" w:type="pct"/>
            <w:shd w:val="clear" w:color="auto" w:fill="FFFFFF" w:themeFill="background1"/>
            <w:vAlign w:val="center"/>
          </w:tcPr>
          <w:p w14:paraId="77BA23F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B027DD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ED Ages 13—17 years—Male</w:t>
            </w:r>
          </w:p>
        </w:tc>
        <w:tc>
          <w:tcPr>
            <w:tcW w:w="312" w:type="pct"/>
            <w:shd w:val="clear" w:color="auto" w:fill="auto"/>
            <w:vAlign w:val="center"/>
          </w:tcPr>
          <w:p w14:paraId="69A37DE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4021A8A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664F4503"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0.00%</w:t>
            </w:r>
          </w:p>
        </w:tc>
        <w:tc>
          <w:tcPr>
            <w:tcW w:w="343" w:type="pct"/>
            <w:shd w:val="clear" w:color="000000" w:fill="FFFFFF"/>
            <w:vAlign w:val="center"/>
          </w:tcPr>
          <w:p w14:paraId="0A176F1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400D87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6214BBB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0.12%</w:t>
            </w:r>
          </w:p>
        </w:tc>
        <w:tc>
          <w:tcPr>
            <w:tcW w:w="406" w:type="pct"/>
            <w:shd w:val="clear" w:color="000000" w:fill="FFFFFF"/>
            <w:vAlign w:val="center"/>
          </w:tcPr>
          <w:p w14:paraId="5071BFA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6D3678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7368BE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2A277D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67D8263" w14:textId="77777777" w:rsidTr="00FF262E">
        <w:trPr>
          <w:cantSplit/>
          <w:trHeight w:val="144"/>
        </w:trPr>
        <w:tc>
          <w:tcPr>
            <w:tcW w:w="286" w:type="pct"/>
            <w:shd w:val="clear" w:color="auto" w:fill="FFFFFF" w:themeFill="background1"/>
            <w:vAlign w:val="center"/>
          </w:tcPr>
          <w:p w14:paraId="42D536C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8A46AC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ED Ages 13—17 years—Female</w:t>
            </w:r>
          </w:p>
        </w:tc>
        <w:tc>
          <w:tcPr>
            <w:tcW w:w="312" w:type="pct"/>
            <w:shd w:val="clear" w:color="auto" w:fill="auto"/>
            <w:vAlign w:val="center"/>
          </w:tcPr>
          <w:p w14:paraId="26A059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70A42E6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1" w:type="pct"/>
            <w:shd w:val="clear" w:color="000000" w:fill="FFFFFF"/>
            <w:vAlign w:val="center"/>
          </w:tcPr>
          <w:p w14:paraId="65950B5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0.06%</w:t>
            </w:r>
          </w:p>
        </w:tc>
        <w:tc>
          <w:tcPr>
            <w:tcW w:w="343" w:type="pct"/>
            <w:shd w:val="clear" w:color="000000" w:fill="FFFFFF"/>
            <w:vAlign w:val="center"/>
          </w:tcPr>
          <w:p w14:paraId="21E023D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2ECB4A1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47E6388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0.06%</w:t>
            </w:r>
          </w:p>
        </w:tc>
        <w:tc>
          <w:tcPr>
            <w:tcW w:w="406" w:type="pct"/>
            <w:shd w:val="clear" w:color="000000" w:fill="FFFFFF"/>
            <w:vAlign w:val="center"/>
          </w:tcPr>
          <w:p w14:paraId="6613B3F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CECD10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41C6E8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1CA3C7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1B2ABF2" w14:textId="77777777" w:rsidTr="00FF262E">
        <w:trPr>
          <w:cantSplit/>
          <w:trHeight w:val="144"/>
        </w:trPr>
        <w:tc>
          <w:tcPr>
            <w:tcW w:w="286" w:type="pct"/>
            <w:shd w:val="clear" w:color="auto" w:fill="FFFFFF" w:themeFill="background1"/>
            <w:vAlign w:val="center"/>
          </w:tcPr>
          <w:p w14:paraId="67FFC071"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9869CE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ED Ages 13—17 years—Total Rate</w:t>
            </w:r>
          </w:p>
        </w:tc>
        <w:tc>
          <w:tcPr>
            <w:tcW w:w="312" w:type="pct"/>
            <w:shd w:val="clear" w:color="auto" w:fill="auto"/>
            <w:vAlign w:val="center"/>
          </w:tcPr>
          <w:p w14:paraId="1C3DE1F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0D12CCB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1" w:type="pct"/>
            <w:shd w:val="clear" w:color="000000" w:fill="FFFFFF"/>
            <w:vAlign w:val="center"/>
          </w:tcPr>
          <w:p w14:paraId="2543AE32"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0.03%</w:t>
            </w:r>
          </w:p>
        </w:tc>
        <w:tc>
          <w:tcPr>
            <w:tcW w:w="343" w:type="pct"/>
            <w:shd w:val="clear" w:color="000000" w:fill="FFFFFF"/>
            <w:vAlign w:val="center"/>
          </w:tcPr>
          <w:p w14:paraId="307E6C5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7D0FE81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66480FC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0.09%</w:t>
            </w:r>
          </w:p>
        </w:tc>
        <w:tc>
          <w:tcPr>
            <w:tcW w:w="406" w:type="pct"/>
            <w:shd w:val="clear" w:color="000000" w:fill="FFFFFF"/>
            <w:vAlign w:val="center"/>
          </w:tcPr>
          <w:p w14:paraId="75911E9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5B4EE7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D20CF1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EB570B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315F4C4" w14:textId="77777777" w:rsidTr="00FF262E">
        <w:trPr>
          <w:cantSplit/>
          <w:trHeight w:val="144"/>
        </w:trPr>
        <w:tc>
          <w:tcPr>
            <w:tcW w:w="286" w:type="pct"/>
            <w:shd w:val="clear" w:color="auto" w:fill="FFFFFF" w:themeFill="background1"/>
            <w:vAlign w:val="center"/>
          </w:tcPr>
          <w:p w14:paraId="7E7B400C"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955041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Telehealth Ages 0—12 years—Male</w:t>
            </w:r>
          </w:p>
        </w:tc>
        <w:tc>
          <w:tcPr>
            <w:tcW w:w="312" w:type="pct"/>
            <w:shd w:val="clear" w:color="auto" w:fill="auto"/>
            <w:vAlign w:val="center"/>
          </w:tcPr>
          <w:p w14:paraId="2D8AF0C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4642BC0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166</w:t>
            </w:r>
          </w:p>
        </w:tc>
        <w:tc>
          <w:tcPr>
            <w:tcW w:w="311" w:type="pct"/>
            <w:shd w:val="clear" w:color="000000" w:fill="FFFFFF"/>
            <w:vAlign w:val="center"/>
          </w:tcPr>
          <w:p w14:paraId="09346749"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4.74%</w:t>
            </w:r>
          </w:p>
        </w:tc>
        <w:tc>
          <w:tcPr>
            <w:tcW w:w="343" w:type="pct"/>
            <w:shd w:val="clear" w:color="000000" w:fill="FFFFFF"/>
            <w:vAlign w:val="center"/>
          </w:tcPr>
          <w:p w14:paraId="3A6B0FF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4.5%</w:t>
            </w:r>
          </w:p>
        </w:tc>
        <w:tc>
          <w:tcPr>
            <w:tcW w:w="375" w:type="pct"/>
            <w:shd w:val="clear" w:color="000000" w:fill="FFFFFF"/>
            <w:vAlign w:val="center"/>
          </w:tcPr>
          <w:p w14:paraId="38507CA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4.9%</w:t>
            </w:r>
          </w:p>
        </w:tc>
        <w:tc>
          <w:tcPr>
            <w:tcW w:w="405" w:type="pct"/>
            <w:shd w:val="clear" w:color="000000" w:fill="FFFFFF"/>
            <w:vAlign w:val="center"/>
          </w:tcPr>
          <w:p w14:paraId="02C9F6A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1908D13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024F15A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EFF97D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E71E97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F261E83" w14:textId="77777777" w:rsidTr="00FF262E">
        <w:trPr>
          <w:cantSplit/>
          <w:trHeight w:val="144"/>
        </w:trPr>
        <w:tc>
          <w:tcPr>
            <w:tcW w:w="286" w:type="pct"/>
            <w:shd w:val="clear" w:color="auto" w:fill="FFFFFF" w:themeFill="background1"/>
            <w:vAlign w:val="center"/>
          </w:tcPr>
          <w:p w14:paraId="4C5BACB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3FDB41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Telehealth Ages 0—12 years—Female</w:t>
            </w:r>
          </w:p>
        </w:tc>
        <w:tc>
          <w:tcPr>
            <w:tcW w:w="312" w:type="pct"/>
            <w:shd w:val="clear" w:color="auto" w:fill="auto"/>
            <w:vAlign w:val="center"/>
          </w:tcPr>
          <w:p w14:paraId="66F26E0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7D74120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150</w:t>
            </w:r>
          </w:p>
        </w:tc>
        <w:tc>
          <w:tcPr>
            <w:tcW w:w="311" w:type="pct"/>
            <w:shd w:val="clear" w:color="000000" w:fill="FFFFFF"/>
            <w:vAlign w:val="center"/>
          </w:tcPr>
          <w:p w14:paraId="68E490AD"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4.29%</w:t>
            </w:r>
          </w:p>
        </w:tc>
        <w:tc>
          <w:tcPr>
            <w:tcW w:w="343" w:type="pct"/>
            <w:shd w:val="clear" w:color="000000" w:fill="FFFFFF"/>
            <w:vAlign w:val="center"/>
          </w:tcPr>
          <w:p w14:paraId="238F19B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w:t>
            </w:r>
          </w:p>
        </w:tc>
        <w:tc>
          <w:tcPr>
            <w:tcW w:w="375" w:type="pct"/>
            <w:shd w:val="clear" w:color="000000" w:fill="FFFFFF"/>
            <w:vAlign w:val="center"/>
          </w:tcPr>
          <w:p w14:paraId="43D92A7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4.5%</w:t>
            </w:r>
          </w:p>
        </w:tc>
        <w:tc>
          <w:tcPr>
            <w:tcW w:w="405" w:type="pct"/>
            <w:shd w:val="clear" w:color="000000" w:fill="FFFFFF"/>
            <w:vAlign w:val="center"/>
          </w:tcPr>
          <w:p w14:paraId="7D3DD8A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48AEB52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1684B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917AA3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BE945C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2329C22" w14:textId="77777777" w:rsidTr="00FF262E">
        <w:trPr>
          <w:cantSplit/>
          <w:trHeight w:val="144"/>
        </w:trPr>
        <w:tc>
          <w:tcPr>
            <w:tcW w:w="286" w:type="pct"/>
            <w:shd w:val="clear" w:color="auto" w:fill="FFFFFF" w:themeFill="background1"/>
            <w:vAlign w:val="center"/>
          </w:tcPr>
          <w:p w14:paraId="646D44C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EF57C0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Telehealth Ages 0—12 years—Total Rate</w:t>
            </w:r>
          </w:p>
        </w:tc>
        <w:tc>
          <w:tcPr>
            <w:tcW w:w="312" w:type="pct"/>
            <w:shd w:val="clear" w:color="auto" w:fill="auto"/>
            <w:vAlign w:val="center"/>
          </w:tcPr>
          <w:p w14:paraId="3AA4400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4A38654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316</w:t>
            </w:r>
          </w:p>
        </w:tc>
        <w:tc>
          <w:tcPr>
            <w:tcW w:w="311" w:type="pct"/>
            <w:shd w:val="clear" w:color="000000" w:fill="FFFFFF"/>
            <w:vAlign w:val="center"/>
          </w:tcPr>
          <w:p w14:paraId="7092BC8B"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4.52%</w:t>
            </w:r>
          </w:p>
        </w:tc>
        <w:tc>
          <w:tcPr>
            <w:tcW w:w="343" w:type="pct"/>
            <w:shd w:val="clear" w:color="000000" w:fill="FFFFFF"/>
            <w:vAlign w:val="center"/>
          </w:tcPr>
          <w:p w14:paraId="4858199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4.4%</w:t>
            </w:r>
          </w:p>
        </w:tc>
        <w:tc>
          <w:tcPr>
            <w:tcW w:w="375" w:type="pct"/>
            <w:shd w:val="clear" w:color="000000" w:fill="FFFFFF"/>
            <w:vAlign w:val="center"/>
          </w:tcPr>
          <w:p w14:paraId="76DA30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4.7%</w:t>
            </w:r>
          </w:p>
        </w:tc>
        <w:tc>
          <w:tcPr>
            <w:tcW w:w="405" w:type="pct"/>
            <w:shd w:val="clear" w:color="000000" w:fill="FFFFFF"/>
            <w:vAlign w:val="center"/>
          </w:tcPr>
          <w:p w14:paraId="2B9614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37A8F3F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7A4D9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A39AE6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1E3FB7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CFE3895" w14:textId="77777777" w:rsidTr="00FF262E">
        <w:trPr>
          <w:cantSplit/>
          <w:trHeight w:val="144"/>
        </w:trPr>
        <w:tc>
          <w:tcPr>
            <w:tcW w:w="286" w:type="pct"/>
            <w:shd w:val="clear" w:color="auto" w:fill="FFFFFF" w:themeFill="background1"/>
            <w:vAlign w:val="center"/>
          </w:tcPr>
          <w:p w14:paraId="5A9C9C04" w14:textId="77777777" w:rsidR="005C3D48" w:rsidRPr="00411D9E" w:rsidRDefault="005C3D48" w:rsidP="000B69F5">
            <w:pPr>
              <w:keepNext/>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60" w:type="pct"/>
            <w:shd w:val="clear" w:color="auto" w:fill="FFFFFF" w:themeFill="background1"/>
            <w:vAlign w:val="center"/>
          </w:tcPr>
          <w:p w14:paraId="451A3339" w14:textId="77777777" w:rsidR="005C3D48" w:rsidRPr="00411D9E" w:rsidRDefault="005C3D48" w:rsidP="000B69F5">
            <w:pPr>
              <w:keepNext/>
              <w:ind w:left="76"/>
              <w:jc w:val="left"/>
              <w:rPr>
                <w:rFonts w:eastAsia="Times New Roman" w:cstheme="minorHAnsi"/>
                <w:sz w:val="20"/>
                <w:szCs w:val="20"/>
                <w:lang w:bidi="ar-SA"/>
              </w:rPr>
            </w:pPr>
            <w:r w:rsidRPr="00411D9E">
              <w:rPr>
                <w:rFonts w:eastAsia="Times New Roman" w:cstheme="minorHAnsi"/>
                <w:sz w:val="20"/>
                <w:szCs w:val="20"/>
                <w:lang w:bidi="ar-SA"/>
              </w:rPr>
              <w:t>MPT: Telehealth Ages 13—17 years—Male</w:t>
            </w:r>
          </w:p>
        </w:tc>
        <w:tc>
          <w:tcPr>
            <w:tcW w:w="312" w:type="pct"/>
            <w:shd w:val="clear" w:color="auto" w:fill="auto"/>
            <w:vAlign w:val="center"/>
          </w:tcPr>
          <w:p w14:paraId="192BEF85"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459084AD"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93</w:t>
            </w:r>
          </w:p>
        </w:tc>
        <w:tc>
          <w:tcPr>
            <w:tcW w:w="311" w:type="pct"/>
            <w:shd w:val="clear" w:color="000000" w:fill="FFFFFF"/>
            <w:vAlign w:val="center"/>
          </w:tcPr>
          <w:p w14:paraId="543EC600" w14:textId="77777777" w:rsidR="005C3D48" w:rsidRPr="00411D9E" w:rsidRDefault="005C3D48" w:rsidP="000B69F5">
            <w:pPr>
              <w:keepNext/>
              <w:jc w:val="center"/>
              <w:rPr>
                <w:rFonts w:eastAsia="Times New Roman" w:cstheme="minorHAnsi"/>
                <w:b/>
                <w:bCs/>
                <w:sz w:val="20"/>
                <w:szCs w:val="20"/>
                <w:lang w:bidi="ar-SA"/>
              </w:rPr>
            </w:pPr>
            <w:r w:rsidRPr="00411D9E">
              <w:rPr>
                <w:rFonts w:cstheme="minorHAnsi"/>
                <w:b/>
                <w:bCs/>
                <w:sz w:val="20"/>
                <w:szCs w:val="20"/>
              </w:rPr>
              <w:t>5.23%</w:t>
            </w:r>
          </w:p>
        </w:tc>
        <w:tc>
          <w:tcPr>
            <w:tcW w:w="343" w:type="pct"/>
            <w:shd w:val="clear" w:color="000000" w:fill="FFFFFF"/>
            <w:vAlign w:val="center"/>
          </w:tcPr>
          <w:p w14:paraId="073ED016"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4.9%</w:t>
            </w:r>
          </w:p>
        </w:tc>
        <w:tc>
          <w:tcPr>
            <w:tcW w:w="375" w:type="pct"/>
            <w:shd w:val="clear" w:color="000000" w:fill="FFFFFF"/>
            <w:vAlign w:val="center"/>
          </w:tcPr>
          <w:p w14:paraId="0FC1868E"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5.5%</w:t>
            </w:r>
          </w:p>
        </w:tc>
        <w:tc>
          <w:tcPr>
            <w:tcW w:w="405" w:type="pct"/>
            <w:shd w:val="clear" w:color="000000" w:fill="FFFFFF"/>
            <w:vAlign w:val="center"/>
          </w:tcPr>
          <w:p w14:paraId="0E53AFA9"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0.12%</w:t>
            </w:r>
          </w:p>
        </w:tc>
        <w:tc>
          <w:tcPr>
            <w:tcW w:w="406" w:type="pct"/>
            <w:shd w:val="clear" w:color="000000" w:fill="FFFFFF"/>
            <w:vAlign w:val="center"/>
          </w:tcPr>
          <w:p w14:paraId="3B86911B"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47980D1"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44F9AC2"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CF0CD3B" w14:textId="77777777" w:rsidR="005C3D48" w:rsidRPr="00411D9E" w:rsidRDefault="005C3D48" w:rsidP="000B69F5">
            <w:pPr>
              <w:keepNext/>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53DCDF2" w14:textId="77777777" w:rsidTr="00FF262E">
        <w:trPr>
          <w:cantSplit/>
          <w:trHeight w:val="144"/>
        </w:trPr>
        <w:tc>
          <w:tcPr>
            <w:tcW w:w="286" w:type="pct"/>
            <w:shd w:val="clear" w:color="auto" w:fill="FFFFFF" w:themeFill="background1"/>
            <w:vAlign w:val="center"/>
          </w:tcPr>
          <w:p w14:paraId="6FCD988C"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D622CC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Telehealth Ages 13—17 years—Female</w:t>
            </w:r>
          </w:p>
        </w:tc>
        <w:tc>
          <w:tcPr>
            <w:tcW w:w="312" w:type="pct"/>
            <w:shd w:val="clear" w:color="auto" w:fill="auto"/>
            <w:vAlign w:val="center"/>
          </w:tcPr>
          <w:p w14:paraId="7A5C49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4179957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224</w:t>
            </w:r>
          </w:p>
        </w:tc>
        <w:tc>
          <w:tcPr>
            <w:tcW w:w="311" w:type="pct"/>
            <w:shd w:val="clear" w:color="000000" w:fill="FFFFFF"/>
            <w:vAlign w:val="center"/>
          </w:tcPr>
          <w:p w14:paraId="7068D3EB"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12.91%</w:t>
            </w:r>
          </w:p>
        </w:tc>
        <w:tc>
          <w:tcPr>
            <w:tcW w:w="343" w:type="pct"/>
            <w:shd w:val="clear" w:color="000000" w:fill="FFFFFF"/>
            <w:vAlign w:val="center"/>
          </w:tcPr>
          <w:p w14:paraId="0096D3B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12.5%</w:t>
            </w:r>
          </w:p>
        </w:tc>
        <w:tc>
          <w:tcPr>
            <w:tcW w:w="375" w:type="pct"/>
            <w:shd w:val="clear" w:color="000000" w:fill="FFFFFF"/>
            <w:vAlign w:val="center"/>
          </w:tcPr>
          <w:p w14:paraId="3544B1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13.4%</w:t>
            </w:r>
          </w:p>
        </w:tc>
        <w:tc>
          <w:tcPr>
            <w:tcW w:w="405" w:type="pct"/>
            <w:shd w:val="clear" w:color="000000" w:fill="FFFFFF"/>
            <w:vAlign w:val="center"/>
          </w:tcPr>
          <w:p w14:paraId="276C9AE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0.12%</w:t>
            </w:r>
          </w:p>
        </w:tc>
        <w:tc>
          <w:tcPr>
            <w:tcW w:w="406" w:type="pct"/>
            <w:shd w:val="clear" w:color="000000" w:fill="FFFFFF"/>
            <w:vAlign w:val="center"/>
          </w:tcPr>
          <w:p w14:paraId="0C7EDE5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A2509C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9F43E9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A12FB4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3280670" w14:textId="77777777" w:rsidTr="00FF262E">
        <w:trPr>
          <w:cantSplit/>
          <w:trHeight w:val="144"/>
        </w:trPr>
        <w:tc>
          <w:tcPr>
            <w:tcW w:w="286" w:type="pct"/>
            <w:shd w:val="clear" w:color="auto" w:fill="FFFFFF" w:themeFill="background1"/>
            <w:vAlign w:val="center"/>
          </w:tcPr>
          <w:p w14:paraId="1F1294E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6E65F0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MPT: Telehealth Ages 13—17 years—Total Rate</w:t>
            </w:r>
          </w:p>
        </w:tc>
        <w:tc>
          <w:tcPr>
            <w:tcW w:w="312" w:type="pct"/>
            <w:shd w:val="clear" w:color="auto" w:fill="auto"/>
            <w:vAlign w:val="center"/>
          </w:tcPr>
          <w:p w14:paraId="6ED810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71F020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317</w:t>
            </w:r>
          </w:p>
        </w:tc>
        <w:tc>
          <w:tcPr>
            <w:tcW w:w="311" w:type="pct"/>
            <w:shd w:val="clear" w:color="000000" w:fill="FFFFFF"/>
            <w:vAlign w:val="center"/>
          </w:tcPr>
          <w:p w14:paraId="2414011E" w14:textId="77777777" w:rsidR="005C3D48" w:rsidRPr="00411D9E" w:rsidRDefault="005C3D48" w:rsidP="00FF262E">
            <w:pPr>
              <w:jc w:val="center"/>
              <w:rPr>
                <w:rFonts w:eastAsia="Times New Roman" w:cstheme="minorHAnsi"/>
                <w:b/>
                <w:bCs/>
                <w:sz w:val="20"/>
                <w:szCs w:val="20"/>
                <w:lang w:bidi="ar-SA"/>
              </w:rPr>
            </w:pPr>
            <w:r w:rsidRPr="00411D9E">
              <w:rPr>
                <w:rFonts w:cstheme="minorHAnsi"/>
                <w:b/>
                <w:bCs/>
                <w:sz w:val="20"/>
                <w:szCs w:val="20"/>
              </w:rPr>
              <w:t>9.03%</w:t>
            </w:r>
          </w:p>
        </w:tc>
        <w:tc>
          <w:tcPr>
            <w:tcW w:w="343" w:type="pct"/>
            <w:shd w:val="clear" w:color="000000" w:fill="FFFFFF"/>
            <w:vAlign w:val="center"/>
          </w:tcPr>
          <w:p w14:paraId="2E7B98F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8.8%</w:t>
            </w:r>
          </w:p>
        </w:tc>
        <w:tc>
          <w:tcPr>
            <w:tcW w:w="375" w:type="pct"/>
            <w:shd w:val="clear" w:color="000000" w:fill="FFFFFF"/>
            <w:vAlign w:val="center"/>
          </w:tcPr>
          <w:p w14:paraId="56A816F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9.3%</w:t>
            </w:r>
          </w:p>
        </w:tc>
        <w:tc>
          <w:tcPr>
            <w:tcW w:w="405" w:type="pct"/>
            <w:shd w:val="clear" w:color="000000" w:fill="FFFFFF"/>
            <w:vAlign w:val="center"/>
          </w:tcPr>
          <w:p w14:paraId="0986F14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0.12%</w:t>
            </w:r>
          </w:p>
        </w:tc>
        <w:tc>
          <w:tcPr>
            <w:tcW w:w="406" w:type="pct"/>
            <w:shd w:val="clear" w:color="000000" w:fill="FFFFFF"/>
            <w:vAlign w:val="center"/>
          </w:tcPr>
          <w:p w14:paraId="18E2226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64FAB4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96BA4E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1A21C6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566BEE9" w14:textId="77777777" w:rsidTr="00FF262E">
        <w:trPr>
          <w:cantSplit/>
          <w:trHeight w:val="144"/>
        </w:trPr>
        <w:tc>
          <w:tcPr>
            <w:tcW w:w="286" w:type="pct"/>
            <w:shd w:val="clear" w:color="auto" w:fill="FFFFFF" w:themeFill="background1"/>
            <w:vAlign w:val="center"/>
          </w:tcPr>
          <w:p w14:paraId="118BD5E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C9A936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Any Services Ages 0—12 years—Male</w:t>
            </w:r>
          </w:p>
        </w:tc>
        <w:tc>
          <w:tcPr>
            <w:tcW w:w="312" w:type="pct"/>
            <w:shd w:val="clear" w:color="auto" w:fill="auto"/>
            <w:vAlign w:val="center"/>
          </w:tcPr>
          <w:p w14:paraId="1115BA0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098D54D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0DFC707C"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2873F74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03E1208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6EAA93F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20FA72C6" w14:textId="185F84E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4311D0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D87DF8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096D49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B6B6D2C" w14:textId="77777777" w:rsidTr="00FF262E">
        <w:trPr>
          <w:cantSplit/>
          <w:trHeight w:val="144"/>
        </w:trPr>
        <w:tc>
          <w:tcPr>
            <w:tcW w:w="286" w:type="pct"/>
            <w:shd w:val="clear" w:color="auto" w:fill="FFFFFF" w:themeFill="background1"/>
            <w:vAlign w:val="center"/>
          </w:tcPr>
          <w:p w14:paraId="41B6B581"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95DF86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Any Services Ages 0—12 years—Female</w:t>
            </w:r>
          </w:p>
        </w:tc>
        <w:tc>
          <w:tcPr>
            <w:tcW w:w="312" w:type="pct"/>
            <w:shd w:val="clear" w:color="auto" w:fill="auto"/>
            <w:vAlign w:val="center"/>
          </w:tcPr>
          <w:p w14:paraId="450F0F1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6DC1A0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3837E1A3"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52D8037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44095FC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36ACC2B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0.03%</w:t>
            </w:r>
          </w:p>
        </w:tc>
        <w:tc>
          <w:tcPr>
            <w:tcW w:w="406" w:type="pct"/>
            <w:shd w:val="clear" w:color="000000" w:fill="FFFFFF"/>
            <w:vAlign w:val="center"/>
          </w:tcPr>
          <w:p w14:paraId="1CB7BE4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500A852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EA3E6B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0D6CC6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7FD90FD" w14:textId="77777777" w:rsidTr="00FF262E">
        <w:trPr>
          <w:cantSplit/>
          <w:trHeight w:val="144"/>
        </w:trPr>
        <w:tc>
          <w:tcPr>
            <w:tcW w:w="286" w:type="pct"/>
            <w:shd w:val="clear" w:color="auto" w:fill="FFFFFF" w:themeFill="background1"/>
            <w:vAlign w:val="center"/>
          </w:tcPr>
          <w:p w14:paraId="2347F2D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A3C3BB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Any Services Ages 0—12 years—Total Rate</w:t>
            </w:r>
          </w:p>
        </w:tc>
        <w:tc>
          <w:tcPr>
            <w:tcW w:w="312" w:type="pct"/>
            <w:shd w:val="clear" w:color="auto" w:fill="auto"/>
            <w:vAlign w:val="center"/>
          </w:tcPr>
          <w:p w14:paraId="13CB768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7F8F08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2D52D3E2"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5D974C5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05935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495E703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0.01%</w:t>
            </w:r>
          </w:p>
        </w:tc>
        <w:tc>
          <w:tcPr>
            <w:tcW w:w="406" w:type="pct"/>
            <w:shd w:val="clear" w:color="000000" w:fill="FFFFFF"/>
            <w:vAlign w:val="center"/>
          </w:tcPr>
          <w:p w14:paraId="4703AC0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2EB24F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1F5055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FD9F79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37CD9AB" w14:textId="77777777" w:rsidTr="00FF262E">
        <w:trPr>
          <w:cantSplit/>
          <w:trHeight w:val="144"/>
        </w:trPr>
        <w:tc>
          <w:tcPr>
            <w:tcW w:w="286" w:type="pct"/>
            <w:shd w:val="clear" w:color="auto" w:fill="FFFFFF" w:themeFill="background1"/>
            <w:vAlign w:val="center"/>
          </w:tcPr>
          <w:p w14:paraId="75B0080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D32129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Any Services Ages 13—17 years—Male</w:t>
            </w:r>
          </w:p>
        </w:tc>
        <w:tc>
          <w:tcPr>
            <w:tcW w:w="312" w:type="pct"/>
            <w:shd w:val="clear" w:color="auto" w:fill="auto"/>
            <w:vAlign w:val="center"/>
          </w:tcPr>
          <w:p w14:paraId="050047D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76D07E8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w:t>
            </w:r>
          </w:p>
        </w:tc>
        <w:tc>
          <w:tcPr>
            <w:tcW w:w="311" w:type="pct"/>
            <w:shd w:val="clear" w:color="000000" w:fill="FFFFFF"/>
            <w:vAlign w:val="center"/>
          </w:tcPr>
          <w:p w14:paraId="3793248A"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0.84%</w:t>
            </w:r>
          </w:p>
        </w:tc>
        <w:tc>
          <w:tcPr>
            <w:tcW w:w="343" w:type="pct"/>
            <w:shd w:val="clear" w:color="000000" w:fill="FFFFFF"/>
            <w:vAlign w:val="center"/>
          </w:tcPr>
          <w:p w14:paraId="22ED82C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0.7%</w:t>
            </w:r>
          </w:p>
        </w:tc>
        <w:tc>
          <w:tcPr>
            <w:tcW w:w="375" w:type="pct"/>
            <w:shd w:val="clear" w:color="000000" w:fill="FFFFFF"/>
            <w:vAlign w:val="center"/>
          </w:tcPr>
          <w:p w14:paraId="0CBF9C9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w:t>
            </w:r>
          </w:p>
        </w:tc>
        <w:tc>
          <w:tcPr>
            <w:tcW w:w="405" w:type="pct"/>
            <w:shd w:val="clear" w:color="000000" w:fill="FFFFFF"/>
            <w:vAlign w:val="center"/>
          </w:tcPr>
          <w:p w14:paraId="2DE6DD1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0.67%</w:t>
            </w:r>
          </w:p>
        </w:tc>
        <w:tc>
          <w:tcPr>
            <w:tcW w:w="406" w:type="pct"/>
            <w:shd w:val="clear" w:color="000000" w:fill="FFFFFF"/>
            <w:vAlign w:val="center"/>
          </w:tcPr>
          <w:p w14:paraId="0CBD8B5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5E97280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7E665F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CE25F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295E9D7" w14:textId="77777777" w:rsidTr="00FF262E">
        <w:trPr>
          <w:cantSplit/>
          <w:trHeight w:val="144"/>
        </w:trPr>
        <w:tc>
          <w:tcPr>
            <w:tcW w:w="286" w:type="pct"/>
            <w:shd w:val="clear" w:color="auto" w:fill="FFFFFF" w:themeFill="background1"/>
            <w:vAlign w:val="center"/>
          </w:tcPr>
          <w:p w14:paraId="47B757F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FB5F58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Any Services Ages 13—17 years—Female</w:t>
            </w:r>
          </w:p>
        </w:tc>
        <w:tc>
          <w:tcPr>
            <w:tcW w:w="312" w:type="pct"/>
            <w:shd w:val="clear" w:color="auto" w:fill="auto"/>
            <w:vAlign w:val="center"/>
          </w:tcPr>
          <w:p w14:paraId="6298CC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1AF98EB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23</w:t>
            </w:r>
          </w:p>
        </w:tc>
        <w:tc>
          <w:tcPr>
            <w:tcW w:w="311" w:type="pct"/>
            <w:shd w:val="clear" w:color="000000" w:fill="FFFFFF"/>
            <w:vAlign w:val="center"/>
          </w:tcPr>
          <w:p w14:paraId="72E5B3CF"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1.33%</w:t>
            </w:r>
          </w:p>
        </w:tc>
        <w:tc>
          <w:tcPr>
            <w:tcW w:w="343" w:type="pct"/>
            <w:shd w:val="clear" w:color="000000" w:fill="FFFFFF"/>
            <w:vAlign w:val="center"/>
          </w:tcPr>
          <w:p w14:paraId="713013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375" w:type="pct"/>
            <w:shd w:val="clear" w:color="000000" w:fill="FFFFFF"/>
            <w:vAlign w:val="center"/>
          </w:tcPr>
          <w:p w14:paraId="5C69B0F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1.5%</w:t>
            </w:r>
          </w:p>
        </w:tc>
        <w:tc>
          <w:tcPr>
            <w:tcW w:w="405" w:type="pct"/>
            <w:shd w:val="clear" w:color="000000" w:fill="FFFFFF"/>
            <w:vAlign w:val="center"/>
          </w:tcPr>
          <w:p w14:paraId="5DB6602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1.04%</w:t>
            </w:r>
          </w:p>
        </w:tc>
        <w:tc>
          <w:tcPr>
            <w:tcW w:w="406" w:type="pct"/>
            <w:shd w:val="clear" w:color="000000" w:fill="FFFFFF"/>
            <w:vAlign w:val="center"/>
          </w:tcPr>
          <w:p w14:paraId="3894688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07AD6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375E76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D3B9A2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5E7BA4A1" w14:textId="77777777" w:rsidTr="00FF262E">
        <w:trPr>
          <w:cantSplit/>
          <w:trHeight w:val="144"/>
        </w:trPr>
        <w:tc>
          <w:tcPr>
            <w:tcW w:w="286" w:type="pct"/>
            <w:shd w:val="clear" w:color="auto" w:fill="FFFFFF" w:themeFill="background1"/>
            <w:vAlign w:val="center"/>
          </w:tcPr>
          <w:p w14:paraId="0C38B9D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73F4E8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Any Services Ages 13—17 years—Total Rate</w:t>
            </w:r>
          </w:p>
        </w:tc>
        <w:tc>
          <w:tcPr>
            <w:tcW w:w="312" w:type="pct"/>
            <w:shd w:val="clear" w:color="auto" w:fill="auto"/>
            <w:vAlign w:val="center"/>
          </w:tcPr>
          <w:p w14:paraId="52B4FC9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044C163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38</w:t>
            </w:r>
          </w:p>
        </w:tc>
        <w:tc>
          <w:tcPr>
            <w:tcW w:w="311" w:type="pct"/>
            <w:shd w:val="clear" w:color="000000" w:fill="FFFFFF"/>
            <w:vAlign w:val="center"/>
          </w:tcPr>
          <w:p w14:paraId="75FDD7A8"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1.08%</w:t>
            </w:r>
          </w:p>
        </w:tc>
        <w:tc>
          <w:tcPr>
            <w:tcW w:w="343" w:type="pct"/>
            <w:shd w:val="clear" w:color="000000" w:fill="FFFFFF"/>
            <w:vAlign w:val="center"/>
          </w:tcPr>
          <w:p w14:paraId="26473C6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1.0%</w:t>
            </w:r>
          </w:p>
        </w:tc>
        <w:tc>
          <w:tcPr>
            <w:tcW w:w="375" w:type="pct"/>
            <w:shd w:val="clear" w:color="000000" w:fill="FFFFFF"/>
            <w:vAlign w:val="center"/>
          </w:tcPr>
          <w:p w14:paraId="15E4CB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405" w:type="pct"/>
            <w:shd w:val="clear" w:color="000000" w:fill="FFFFFF"/>
            <w:vAlign w:val="center"/>
          </w:tcPr>
          <w:p w14:paraId="0572152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0.86%</w:t>
            </w:r>
          </w:p>
        </w:tc>
        <w:tc>
          <w:tcPr>
            <w:tcW w:w="406" w:type="pct"/>
            <w:shd w:val="clear" w:color="000000" w:fill="FFFFFF"/>
            <w:vAlign w:val="center"/>
          </w:tcPr>
          <w:p w14:paraId="04A16EA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01DCF9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2B170B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C3D809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20B96EA" w14:textId="77777777" w:rsidTr="00FF262E">
        <w:trPr>
          <w:cantSplit/>
          <w:trHeight w:val="144"/>
        </w:trPr>
        <w:tc>
          <w:tcPr>
            <w:tcW w:w="286" w:type="pct"/>
            <w:shd w:val="clear" w:color="auto" w:fill="FFFFFF" w:themeFill="background1"/>
            <w:vAlign w:val="center"/>
          </w:tcPr>
          <w:p w14:paraId="4867AB1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C1BCC87"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Inpatient Ages 0—12 years—Male</w:t>
            </w:r>
          </w:p>
        </w:tc>
        <w:tc>
          <w:tcPr>
            <w:tcW w:w="312" w:type="pct"/>
            <w:shd w:val="clear" w:color="auto" w:fill="auto"/>
            <w:vAlign w:val="center"/>
          </w:tcPr>
          <w:p w14:paraId="618226D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5918F1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2CE65AF9"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1C3CC4D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625869C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74DE28C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09CED99F" w14:textId="12271BC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5F7F6A5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61EC9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625C53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C81EF13" w14:textId="77777777" w:rsidTr="00FF262E">
        <w:trPr>
          <w:cantSplit/>
          <w:trHeight w:val="144"/>
        </w:trPr>
        <w:tc>
          <w:tcPr>
            <w:tcW w:w="286" w:type="pct"/>
            <w:shd w:val="clear" w:color="auto" w:fill="FFFFFF" w:themeFill="background1"/>
            <w:vAlign w:val="center"/>
          </w:tcPr>
          <w:p w14:paraId="11A950D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79047E4"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Inpatient Ages 0—12 years—Female</w:t>
            </w:r>
          </w:p>
        </w:tc>
        <w:tc>
          <w:tcPr>
            <w:tcW w:w="312" w:type="pct"/>
            <w:shd w:val="clear" w:color="auto" w:fill="auto"/>
            <w:vAlign w:val="center"/>
          </w:tcPr>
          <w:p w14:paraId="6522CE3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034F074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09D5FD37"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715FEE1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083DC14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442CEF7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0AEAF821" w14:textId="1FC70E6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33DCC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4D376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F6E10A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35BB18B" w14:textId="77777777" w:rsidTr="00FF262E">
        <w:trPr>
          <w:cantSplit/>
          <w:trHeight w:val="144"/>
        </w:trPr>
        <w:tc>
          <w:tcPr>
            <w:tcW w:w="286" w:type="pct"/>
            <w:shd w:val="clear" w:color="auto" w:fill="FFFFFF" w:themeFill="background1"/>
            <w:vAlign w:val="center"/>
          </w:tcPr>
          <w:p w14:paraId="3FBD70E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1A17FA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Inpatient Ages 0—12 years—Total Rate</w:t>
            </w:r>
          </w:p>
        </w:tc>
        <w:tc>
          <w:tcPr>
            <w:tcW w:w="312" w:type="pct"/>
            <w:shd w:val="clear" w:color="auto" w:fill="auto"/>
            <w:vAlign w:val="center"/>
          </w:tcPr>
          <w:p w14:paraId="0BAAD77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34182FF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1EF4103D"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141FA5E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D2CCCD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5ABBFF5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7940A51E" w14:textId="69DD182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400B66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05FD81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7F0939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BC712EA" w14:textId="77777777" w:rsidTr="00FF262E">
        <w:trPr>
          <w:cantSplit/>
          <w:trHeight w:val="144"/>
        </w:trPr>
        <w:tc>
          <w:tcPr>
            <w:tcW w:w="286" w:type="pct"/>
            <w:shd w:val="clear" w:color="auto" w:fill="FFFFFF" w:themeFill="background1"/>
            <w:vAlign w:val="center"/>
          </w:tcPr>
          <w:p w14:paraId="1FB7149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D9D985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Inpatient Ages 13—17 years—Male</w:t>
            </w:r>
          </w:p>
        </w:tc>
        <w:tc>
          <w:tcPr>
            <w:tcW w:w="312" w:type="pct"/>
            <w:shd w:val="clear" w:color="auto" w:fill="auto"/>
            <w:vAlign w:val="center"/>
          </w:tcPr>
          <w:p w14:paraId="31E9C68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7072E89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w:t>
            </w:r>
          </w:p>
        </w:tc>
        <w:tc>
          <w:tcPr>
            <w:tcW w:w="311" w:type="pct"/>
            <w:shd w:val="clear" w:color="000000" w:fill="FFFFFF"/>
            <w:vAlign w:val="center"/>
          </w:tcPr>
          <w:p w14:paraId="03529D44"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0.28%</w:t>
            </w:r>
          </w:p>
        </w:tc>
        <w:tc>
          <w:tcPr>
            <w:tcW w:w="343" w:type="pct"/>
            <w:shd w:val="clear" w:color="000000" w:fill="FFFFFF"/>
            <w:vAlign w:val="center"/>
          </w:tcPr>
          <w:p w14:paraId="1367DF1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375" w:type="pct"/>
            <w:shd w:val="clear" w:color="000000" w:fill="FFFFFF"/>
            <w:vAlign w:val="center"/>
          </w:tcPr>
          <w:p w14:paraId="12E667B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405" w:type="pct"/>
            <w:shd w:val="clear" w:color="000000" w:fill="FFFFFF"/>
            <w:vAlign w:val="center"/>
          </w:tcPr>
          <w:p w14:paraId="2C250F8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0.30%</w:t>
            </w:r>
          </w:p>
        </w:tc>
        <w:tc>
          <w:tcPr>
            <w:tcW w:w="406" w:type="pct"/>
            <w:shd w:val="clear" w:color="000000" w:fill="FFFFFF"/>
            <w:vAlign w:val="center"/>
          </w:tcPr>
          <w:p w14:paraId="24D25FA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5AD465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36F5C6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239BA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D712F82" w14:textId="77777777" w:rsidTr="00FF262E">
        <w:trPr>
          <w:cantSplit/>
          <w:trHeight w:val="144"/>
        </w:trPr>
        <w:tc>
          <w:tcPr>
            <w:tcW w:w="286" w:type="pct"/>
            <w:shd w:val="clear" w:color="auto" w:fill="FFFFFF" w:themeFill="background1"/>
            <w:vAlign w:val="center"/>
          </w:tcPr>
          <w:p w14:paraId="0F2D6BDC"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C8F8A0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Inpatient Ages 13—17 years—Female</w:t>
            </w:r>
          </w:p>
        </w:tc>
        <w:tc>
          <w:tcPr>
            <w:tcW w:w="312" w:type="pct"/>
            <w:shd w:val="clear" w:color="auto" w:fill="auto"/>
            <w:vAlign w:val="center"/>
          </w:tcPr>
          <w:p w14:paraId="09AEDD6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146F738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1" w:type="pct"/>
            <w:shd w:val="clear" w:color="000000" w:fill="FFFFFF"/>
            <w:vAlign w:val="center"/>
          </w:tcPr>
          <w:p w14:paraId="12AF0E95"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0.40%</w:t>
            </w:r>
          </w:p>
        </w:tc>
        <w:tc>
          <w:tcPr>
            <w:tcW w:w="343" w:type="pct"/>
            <w:shd w:val="clear" w:color="000000" w:fill="FFFFFF"/>
            <w:vAlign w:val="center"/>
          </w:tcPr>
          <w:p w14:paraId="60CF212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375" w:type="pct"/>
            <w:shd w:val="clear" w:color="000000" w:fill="FFFFFF"/>
            <w:vAlign w:val="center"/>
          </w:tcPr>
          <w:p w14:paraId="0536AEE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0.5%</w:t>
            </w:r>
          </w:p>
        </w:tc>
        <w:tc>
          <w:tcPr>
            <w:tcW w:w="405" w:type="pct"/>
            <w:shd w:val="clear" w:color="000000" w:fill="FFFFFF"/>
            <w:vAlign w:val="center"/>
          </w:tcPr>
          <w:p w14:paraId="1DE0AB7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0.43%</w:t>
            </w:r>
          </w:p>
        </w:tc>
        <w:tc>
          <w:tcPr>
            <w:tcW w:w="406" w:type="pct"/>
            <w:shd w:val="clear" w:color="000000" w:fill="FFFFFF"/>
            <w:vAlign w:val="center"/>
          </w:tcPr>
          <w:p w14:paraId="4F1DA12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EBC619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BF87A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67123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8AC37A3" w14:textId="77777777" w:rsidTr="00FF262E">
        <w:trPr>
          <w:cantSplit/>
          <w:trHeight w:val="144"/>
        </w:trPr>
        <w:tc>
          <w:tcPr>
            <w:tcW w:w="286" w:type="pct"/>
            <w:shd w:val="clear" w:color="auto" w:fill="FFFFFF" w:themeFill="background1"/>
            <w:vAlign w:val="center"/>
          </w:tcPr>
          <w:p w14:paraId="1A385B68"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7F175BB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Inpatient Ages 13—17 years—Total Rate</w:t>
            </w:r>
          </w:p>
        </w:tc>
        <w:tc>
          <w:tcPr>
            <w:tcW w:w="312" w:type="pct"/>
            <w:shd w:val="clear" w:color="auto" w:fill="auto"/>
            <w:vAlign w:val="center"/>
          </w:tcPr>
          <w:p w14:paraId="3E25E7B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4F3699A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311" w:type="pct"/>
            <w:shd w:val="clear" w:color="000000" w:fill="FFFFFF"/>
            <w:vAlign w:val="center"/>
          </w:tcPr>
          <w:p w14:paraId="7CB1EE37"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0.34%</w:t>
            </w:r>
          </w:p>
        </w:tc>
        <w:tc>
          <w:tcPr>
            <w:tcW w:w="343" w:type="pct"/>
            <w:shd w:val="clear" w:color="000000" w:fill="FFFFFF"/>
            <w:vAlign w:val="center"/>
          </w:tcPr>
          <w:p w14:paraId="510C9D8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375" w:type="pct"/>
            <w:shd w:val="clear" w:color="000000" w:fill="FFFFFF"/>
            <w:vAlign w:val="center"/>
          </w:tcPr>
          <w:p w14:paraId="6C0527E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405" w:type="pct"/>
            <w:shd w:val="clear" w:color="000000" w:fill="FFFFFF"/>
            <w:vAlign w:val="center"/>
          </w:tcPr>
          <w:p w14:paraId="1CD7AD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0.37%</w:t>
            </w:r>
          </w:p>
        </w:tc>
        <w:tc>
          <w:tcPr>
            <w:tcW w:w="406" w:type="pct"/>
            <w:shd w:val="clear" w:color="000000" w:fill="FFFFFF"/>
            <w:vAlign w:val="center"/>
          </w:tcPr>
          <w:p w14:paraId="192E452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F2090D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F61322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ECD651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E389B83" w14:textId="77777777" w:rsidTr="00FF262E">
        <w:trPr>
          <w:cantSplit/>
          <w:trHeight w:val="144"/>
        </w:trPr>
        <w:tc>
          <w:tcPr>
            <w:tcW w:w="286" w:type="pct"/>
            <w:shd w:val="clear" w:color="auto" w:fill="FFFFFF" w:themeFill="background1"/>
            <w:vAlign w:val="center"/>
          </w:tcPr>
          <w:p w14:paraId="01DF53F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FA4E5F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Intensive Outpatient/Partial Hospitalization Ages 0—12 years—Male</w:t>
            </w:r>
          </w:p>
        </w:tc>
        <w:tc>
          <w:tcPr>
            <w:tcW w:w="312" w:type="pct"/>
            <w:shd w:val="clear" w:color="auto" w:fill="auto"/>
            <w:vAlign w:val="center"/>
          </w:tcPr>
          <w:p w14:paraId="24185B7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557A413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4E23E7E4"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5283EFA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2A8E44C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2EF1F92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13EF81F1" w14:textId="59949570"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6658C64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6BC6A4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5475FF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5CA4411E" w14:textId="77777777" w:rsidTr="00FF262E">
        <w:trPr>
          <w:cantSplit/>
          <w:trHeight w:val="144"/>
        </w:trPr>
        <w:tc>
          <w:tcPr>
            <w:tcW w:w="286" w:type="pct"/>
            <w:shd w:val="clear" w:color="auto" w:fill="FFFFFF" w:themeFill="background1"/>
            <w:vAlign w:val="center"/>
          </w:tcPr>
          <w:p w14:paraId="2CB2A6D7"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CB74D10"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Intensive Outpatient/Partial Hospitalization Ages 0—12 years—Female</w:t>
            </w:r>
          </w:p>
        </w:tc>
        <w:tc>
          <w:tcPr>
            <w:tcW w:w="312" w:type="pct"/>
            <w:shd w:val="clear" w:color="auto" w:fill="auto"/>
            <w:vAlign w:val="center"/>
          </w:tcPr>
          <w:p w14:paraId="7F14392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45E24F6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160E384F"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3A92E02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2FAE0D8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4349302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69C95901" w14:textId="11273ADA"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6C68597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A3D563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E206A8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65FE843" w14:textId="77777777" w:rsidTr="00FF262E">
        <w:trPr>
          <w:cantSplit/>
          <w:trHeight w:val="144"/>
        </w:trPr>
        <w:tc>
          <w:tcPr>
            <w:tcW w:w="286" w:type="pct"/>
            <w:shd w:val="clear" w:color="auto" w:fill="FFFFFF" w:themeFill="background1"/>
            <w:vAlign w:val="center"/>
          </w:tcPr>
          <w:p w14:paraId="246307F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60" w:type="pct"/>
            <w:shd w:val="clear" w:color="auto" w:fill="FFFFFF" w:themeFill="background1"/>
            <w:vAlign w:val="center"/>
          </w:tcPr>
          <w:p w14:paraId="0634A5E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Intensive Outpatient/Partial Hospitalization Ages 0—12 years—Total Rate</w:t>
            </w:r>
          </w:p>
        </w:tc>
        <w:tc>
          <w:tcPr>
            <w:tcW w:w="312" w:type="pct"/>
            <w:shd w:val="clear" w:color="auto" w:fill="auto"/>
            <w:vAlign w:val="center"/>
          </w:tcPr>
          <w:p w14:paraId="2CCD8AB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644ED19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3ECA67AA"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75F7C33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3D09FD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4344CD3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4181E929" w14:textId="6A73854F"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2FDAA17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171F8D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C647EC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BC9257F" w14:textId="77777777" w:rsidTr="00FF262E">
        <w:trPr>
          <w:cantSplit/>
          <w:trHeight w:val="144"/>
        </w:trPr>
        <w:tc>
          <w:tcPr>
            <w:tcW w:w="286" w:type="pct"/>
            <w:shd w:val="clear" w:color="auto" w:fill="FFFFFF" w:themeFill="background1"/>
            <w:vAlign w:val="center"/>
          </w:tcPr>
          <w:p w14:paraId="585E41F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33162CE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Intensive Outpatient/Partial Hospitalization Ages 13—17 years—Male</w:t>
            </w:r>
          </w:p>
        </w:tc>
        <w:tc>
          <w:tcPr>
            <w:tcW w:w="312" w:type="pct"/>
            <w:shd w:val="clear" w:color="auto" w:fill="auto"/>
            <w:vAlign w:val="center"/>
          </w:tcPr>
          <w:p w14:paraId="74C550E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50BE07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1" w:type="pct"/>
            <w:shd w:val="clear" w:color="000000" w:fill="FFFFFF"/>
            <w:vAlign w:val="center"/>
          </w:tcPr>
          <w:p w14:paraId="252A531D"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0.06%</w:t>
            </w:r>
          </w:p>
        </w:tc>
        <w:tc>
          <w:tcPr>
            <w:tcW w:w="343" w:type="pct"/>
            <w:shd w:val="clear" w:color="000000" w:fill="FFFFFF"/>
            <w:vAlign w:val="center"/>
          </w:tcPr>
          <w:p w14:paraId="63C33FF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547A156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6A9360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0.12%</w:t>
            </w:r>
          </w:p>
        </w:tc>
        <w:tc>
          <w:tcPr>
            <w:tcW w:w="406" w:type="pct"/>
            <w:shd w:val="clear" w:color="000000" w:fill="FFFFFF"/>
            <w:vAlign w:val="center"/>
          </w:tcPr>
          <w:p w14:paraId="32E2C5B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0C8B3F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6EAD999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14EA4E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4E53E55" w14:textId="77777777" w:rsidTr="00FF262E">
        <w:trPr>
          <w:cantSplit/>
          <w:trHeight w:val="144"/>
        </w:trPr>
        <w:tc>
          <w:tcPr>
            <w:tcW w:w="286" w:type="pct"/>
            <w:shd w:val="clear" w:color="auto" w:fill="FFFFFF" w:themeFill="background1"/>
            <w:vAlign w:val="center"/>
          </w:tcPr>
          <w:p w14:paraId="6EB06C13"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012F0752"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Intensive Outpatient/Partial Hospitalization Ages 13—17 years—Female</w:t>
            </w:r>
          </w:p>
        </w:tc>
        <w:tc>
          <w:tcPr>
            <w:tcW w:w="312" w:type="pct"/>
            <w:shd w:val="clear" w:color="auto" w:fill="auto"/>
            <w:vAlign w:val="center"/>
          </w:tcPr>
          <w:p w14:paraId="0438965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09ECD21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5D438D34"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038CF93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5241593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30079F1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2F6E2917" w14:textId="39B5B36C"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302B2FF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03DD1EE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4F778E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8B4005A" w14:textId="77777777" w:rsidTr="00FF262E">
        <w:trPr>
          <w:cantSplit/>
          <w:trHeight w:val="144"/>
        </w:trPr>
        <w:tc>
          <w:tcPr>
            <w:tcW w:w="286" w:type="pct"/>
            <w:shd w:val="clear" w:color="auto" w:fill="FFFFFF" w:themeFill="background1"/>
            <w:vAlign w:val="center"/>
          </w:tcPr>
          <w:p w14:paraId="5995209D"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91109C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Intensive Outpatient/Partial Hospitalization Ages 13—17 years—Total Rate</w:t>
            </w:r>
          </w:p>
        </w:tc>
        <w:tc>
          <w:tcPr>
            <w:tcW w:w="312" w:type="pct"/>
            <w:shd w:val="clear" w:color="auto" w:fill="auto"/>
            <w:vAlign w:val="center"/>
          </w:tcPr>
          <w:p w14:paraId="2DB173A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0BAED5B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w:t>
            </w:r>
          </w:p>
        </w:tc>
        <w:tc>
          <w:tcPr>
            <w:tcW w:w="311" w:type="pct"/>
            <w:shd w:val="clear" w:color="000000" w:fill="FFFFFF"/>
            <w:vAlign w:val="center"/>
          </w:tcPr>
          <w:p w14:paraId="4D4A881B"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0.03%</w:t>
            </w:r>
          </w:p>
        </w:tc>
        <w:tc>
          <w:tcPr>
            <w:tcW w:w="343" w:type="pct"/>
            <w:shd w:val="clear" w:color="000000" w:fill="FFFFFF"/>
            <w:vAlign w:val="center"/>
          </w:tcPr>
          <w:p w14:paraId="3F54427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E875E4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4A37708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0.06%</w:t>
            </w:r>
          </w:p>
        </w:tc>
        <w:tc>
          <w:tcPr>
            <w:tcW w:w="406" w:type="pct"/>
            <w:shd w:val="clear" w:color="000000" w:fill="FFFFFF"/>
            <w:vAlign w:val="center"/>
          </w:tcPr>
          <w:p w14:paraId="4BE3C1A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B88233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0BCCEA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64FA6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AF030CF" w14:textId="77777777" w:rsidTr="00FF262E">
        <w:trPr>
          <w:cantSplit/>
          <w:trHeight w:val="144"/>
        </w:trPr>
        <w:tc>
          <w:tcPr>
            <w:tcW w:w="286" w:type="pct"/>
            <w:shd w:val="clear" w:color="auto" w:fill="FFFFFF" w:themeFill="background1"/>
            <w:vAlign w:val="center"/>
          </w:tcPr>
          <w:p w14:paraId="3C7E53D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5631C1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Outpatient Ages 0—12 years—Male</w:t>
            </w:r>
          </w:p>
        </w:tc>
        <w:tc>
          <w:tcPr>
            <w:tcW w:w="312" w:type="pct"/>
            <w:shd w:val="clear" w:color="auto" w:fill="auto"/>
            <w:vAlign w:val="center"/>
          </w:tcPr>
          <w:p w14:paraId="5639BF6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006FAC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574BCA43"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119B453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0CBAD18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7605089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3A28C122" w14:textId="4389542E"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48861B7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BD907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FF87D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0506B9C" w14:textId="77777777" w:rsidTr="00FF262E">
        <w:trPr>
          <w:cantSplit/>
          <w:trHeight w:val="144"/>
        </w:trPr>
        <w:tc>
          <w:tcPr>
            <w:tcW w:w="286" w:type="pct"/>
            <w:shd w:val="clear" w:color="auto" w:fill="FFFFFF" w:themeFill="background1"/>
            <w:vAlign w:val="center"/>
          </w:tcPr>
          <w:p w14:paraId="1B8D6538"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A70DE1A"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Outpatient Ages 0—12 years—Female</w:t>
            </w:r>
          </w:p>
        </w:tc>
        <w:tc>
          <w:tcPr>
            <w:tcW w:w="312" w:type="pct"/>
            <w:shd w:val="clear" w:color="auto" w:fill="auto"/>
            <w:vAlign w:val="center"/>
          </w:tcPr>
          <w:p w14:paraId="77054D3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2170BC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7D04315C"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24E68CD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3BB4BAB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1F6CC0D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0.03%</w:t>
            </w:r>
          </w:p>
        </w:tc>
        <w:tc>
          <w:tcPr>
            <w:tcW w:w="406" w:type="pct"/>
            <w:shd w:val="clear" w:color="000000" w:fill="FFFFFF"/>
            <w:vAlign w:val="center"/>
          </w:tcPr>
          <w:p w14:paraId="2A2E222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6E171F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1DEAA6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63B69A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7256853" w14:textId="77777777" w:rsidTr="00FF262E">
        <w:trPr>
          <w:cantSplit/>
          <w:trHeight w:val="144"/>
        </w:trPr>
        <w:tc>
          <w:tcPr>
            <w:tcW w:w="286" w:type="pct"/>
            <w:shd w:val="clear" w:color="auto" w:fill="FFFFFF" w:themeFill="background1"/>
            <w:vAlign w:val="center"/>
          </w:tcPr>
          <w:p w14:paraId="783CE788"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38B3E8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Outpatient Ages 0—12 years—Total Rate</w:t>
            </w:r>
          </w:p>
        </w:tc>
        <w:tc>
          <w:tcPr>
            <w:tcW w:w="312" w:type="pct"/>
            <w:shd w:val="clear" w:color="auto" w:fill="auto"/>
            <w:vAlign w:val="center"/>
          </w:tcPr>
          <w:p w14:paraId="1FEA66B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7E73FB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428F1E6B"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078EC4F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0B27064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7327D33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0.01%</w:t>
            </w:r>
          </w:p>
        </w:tc>
        <w:tc>
          <w:tcPr>
            <w:tcW w:w="406" w:type="pct"/>
            <w:shd w:val="clear" w:color="000000" w:fill="FFFFFF"/>
            <w:vAlign w:val="center"/>
          </w:tcPr>
          <w:p w14:paraId="59DFAD0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4FD54F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5B21BE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CE5CE3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A913E26" w14:textId="77777777" w:rsidTr="00FF262E">
        <w:trPr>
          <w:cantSplit/>
          <w:trHeight w:val="144"/>
        </w:trPr>
        <w:tc>
          <w:tcPr>
            <w:tcW w:w="286" w:type="pct"/>
            <w:shd w:val="clear" w:color="auto" w:fill="FFFFFF" w:themeFill="background1"/>
            <w:vAlign w:val="center"/>
          </w:tcPr>
          <w:p w14:paraId="21202F8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ACB9BFD"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Outpatient Ages 13—17 years—Male</w:t>
            </w:r>
          </w:p>
        </w:tc>
        <w:tc>
          <w:tcPr>
            <w:tcW w:w="312" w:type="pct"/>
            <w:shd w:val="clear" w:color="auto" w:fill="auto"/>
            <w:vAlign w:val="center"/>
          </w:tcPr>
          <w:p w14:paraId="202C2C3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59A9758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1" w:type="pct"/>
            <w:shd w:val="clear" w:color="000000" w:fill="FFFFFF"/>
            <w:vAlign w:val="center"/>
          </w:tcPr>
          <w:p w14:paraId="550E8852"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0.39%</w:t>
            </w:r>
          </w:p>
        </w:tc>
        <w:tc>
          <w:tcPr>
            <w:tcW w:w="343" w:type="pct"/>
            <w:shd w:val="clear" w:color="000000" w:fill="FFFFFF"/>
            <w:vAlign w:val="center"/>
          </w:tcPr>
          <w:p w14:paraId="2990882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375" w:type="pct"/>
            <w:shd w:val="clear" w:color="000000" w:fill="FFFFFF"/>
            <w:vAlign w:val="center"/>
          </w:tcPr>
          <w:p w14:paraId="28C5371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0.5%</w:t>
            </w:r>
          </w:p>
        </w:tc>
        <w:tc>
          <w:tcPr>
            <w:tcW w:w="405" w:type="pct"/>
            <w:shd w:val="clear" w:color="000000" w:fill="FFFFFF"/>
            <w:vAlign w:val="center"/>
          </w:tcPr>
          <w:p w14:paraId="30E0045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0.43%</w:t>
            </w:r>
          </w:p>
        </w:tc>
        <w:tc>
          <w:tcPr>
            <w:tcW w:w="406" w:type="pct"/>
            <w:shd w:val="clear" w:color="000000" w:fill="FFFFFF"/>
            <w:vAlign w:val="center"/>
          </w:tcPr>
          <w:p w14:paraId="1D1254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33D612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4C56F5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54DF3D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236B66F" w14:textId="77777777" w:rsidTr="00FF262E">
        <w:trPr>
          <w:cantSplit/>
          <w:trHeight w:val="144"/>
        </w:trPr>
        <w:tc>
          <w:tcPr>
            <w:tcW w:w="286" w:type="pct"/>
            <w:shd w:val="clear" w:color="auto" w:fill="FFFFFF" w:themeFill="background1"/>
            <w:vAlign w:val="center"/>
          </w:tcPr>
          <w:p w14:paraId="310A21F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CC65C7E"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Outpatient Ages 13—17 years—Female</w:t>
            </w:r>
          </w:p>
        </w:tc>
        <w:tc>
          <w:tcPr>
            <w:tcW w:w="312" w:type="pct"/>
            <w:shd w:val="clear" w:color="auto" w:fill="auto"/>
            <w:vAlign w:val="center"/>
          </w:tcPr>
          <w:p w14:paraId="10D7447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2D6A31E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11</w:t>
            </w:r>
          </w:p>
        </w:tc>
        <w:tc>
          <w:tcPr>
            <w:tcW w:w="311" w:type="pct"/>
            <w:shd w:val="clear" w:color="000000" w:fill="FFFFFF"/>
            <w:vAlign w:val="center"/>
          </w:tcPr>
          <w:p w14:paraId="5E09D00C"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0.63%</w:t>
            </w:r>
          </w:p>
        </w:tc>
        <w:tc>
          <w:tcPr>
            <w:tcW w:w="343" w:type="pct"/>
            <w:shd w:val="clear" w:color="000000" w:fill="FFFFFF"/>
            <w:vAlign w:val="center"/>
          </w:tcPr>
          <w:p w14:paraId="397F47B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0.5%</w:t>
            </w:r>
          </w:p>
        </w:tc>
        <w:tc>
          <w:tcPr>
            <w:tcW w:w="375" w:type="pct"/>
            <w:shd w:val="clear" w:color="000000" w:fill="FFFFFF"/>
            <w:vAlign w:val="center"/>
          </w:tcPr>
          <w:p w14:paraId="62EFB5E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0.7%</w:t>
            </w:r>
          </w:p>
        </w:tc>
        <w:tc>
          <w:tcPr>
            <w:tcW w:w="405" w:type="pct"/>
            <w:shd w:val="clear" w:color="000000" w:fill="FFFFFF"/>
            <w:vAlign w:val="center"/>
          </w:tcPr>
          <w:p w14:paraId="21238C5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0.43%</w:t>
            </w:r>
          </w:p>
        </w:tc>
        <w:tc>
          <w:tcPr>
            <w:tcW w:w="406" w:type="pct"/>
            <w:shd w:val="clear" w:color="000000" w:fill="FFFFFF"/>
            <w:vAlign w:val="center"/>
          </w:tcPr>
          <w:p w14:paraId="6BCB720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76E2EFA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B11BE6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2C247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27AE943B" w14:textId="77777777" w:rsidTr="00FF262E">
        <w:trPr>
          <w:cantSplit/>
          <w:trHeight w:val="144"/>
        </w:trPr>
        <w:tc>
          <w:tcPr>
            <w:tcW w:w="286" w:type="pct"/>
            <w:shd w:val="clear" w:color="auto" w:fill="FFFFFF" w:themeFill="background1"/>
            <w:vAlign w:val="center"/>
          </w:tcPr>
          <w:p w14:paraId="2801893B"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DFA6C28"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Outpatient Ages 13—17 years—Total Rate</w:t>
            </w:r>
          </w:p>
        </w:tc>
        <w:tc>
          <w:tcPr>
            <w:tcW w:w="312" w:type="pct"/>
            <w:shd w:val="clear" w:color="auto" w:fill="auto"/>
            <w:vAlign w:val="center"/>
          </w:tcPr>
          <w:p w14:paraId="6B141E8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7DE5409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18</w:t>
            </w:r>
          </w:p>
        </w:tc>
        <w:tc>
          <w:tcPr>
            <w:tcW w:w="311" w:type="pct"/>
            <w:shd w:val="clear" w:color="000000" w:fill="FFFFFF"/>
            <w:vAlign w:val="center"/>
          </w:tcPr>
          <w:p w14:paraId="5EEBEFBE"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0.06%</w:t>
            </w:r>
          </w:p>
        </w:tc>
        <w:tc>
          <w:tcPr>
            <w:tcW w:w="343" w:type="pct"/>
            <w:shd w:val="clear" w:color="000000" w:fill="FFFFFF"/>
            <w:vAlign w:val="center"/>
          </w:tcPr>
          <w:p w14:paraId="1C5934D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254D471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w:t>
            </w:r>
          </w:p>
        </w:tc>
        <w:tc>
          <w:tcPr>
            <w:tcW w:w="405" w:type="pct"/>
            <w:shd w:val="clear" w:color="000000" w:fill="FFFFFF"/>
            <w:vAlign w:val="center"/>
          </w:tcPr>
          <w:p w14:paraId="20AD2A8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0.43%</w:t>
            </w:r>
          </w:p>
        </w:tc>
        <w:tc>
          <w:tcPr>
            <w:tcW w:w="406" w:type="pct"/>
            <w:shd w:val="clear" w:color="000000" w:fill="FFFFFF"/>
            <w:vAlign w:val="center"/>
          </w:tcPr>
          <w:p w14:paraId="2E45497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32064E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CCC93E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F5269B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23324A9" w14:textId="77777777" w:rsidTr="00FF262E">
        <w:trPr>
          <w:cantSplit/>
          <w:trHeight w:val="144"/>
        </w:trPr>
        <w:tc>
          <w:tcPr>
            <w:tcW w:w="286" w:type="pct"/>
            <w:shd w:val="clear" w:color="auto" w:fill="FFFFFF" w:themeFill="background1"/>
            <w:vAlign w:val="center"/>
          </w:tcPr>
          <w:p w14:paraId="6F7973D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15E3290"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ED Ages 0—12 years—Male</w:t>
            </w:r>
          </w:p>
        </w:tc>
        <w:tc>
          <w:tcPr>
            <w:tcW w:w="312" w:type="pct"/>
            <w:shd w:val="clear" w:color="auto" w:fill="auto"/>
            <w:vAlign w:val="center"/>
          </w:tcPr>
          <w:p w14:paraId="35C672F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193621F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4CC2A4BA"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623647C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576CF08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0953D3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6FE64771" w14:textId="76D45BD2"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04FA7B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3AE3213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67E9BF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C3A0911" w14:textId="77777777" w:rsidTr="00FF262E">
        <w:trPr>
          <w:cantSplit/>
          <w:trHeight w:val="144"/>
        </w:trPr>
        <w:tc>
          <w:tcPr>
            <w:tcW w:w="286" w:type="pct"/>
            <w:shd w:val="clear" w:color="auto" w:fill="FFFFFF" w:themeFill="background1"/>
            <w:vAlign w:val="center"/>
          </w:tcPr>
          <w:p w14:paraId="6F122283"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5C2E17F"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ED Ages 0—12 years—Female</w:t>
            </w:r>
          </w:p>
        </w:tc>
        <w:tc>
          <w:tcPr>
            <w:tcW w:w="312" w:type="pct"/>
            <w:shd w:val="clear" w:color="auto" w:fill="auto"/>
            <w:vAlign w:val="center"/>
          </w:tcPr>
          <w:p w14:paraId="405179D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10BAEEA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6E61C764"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382B41E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6E8C67C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1B7618D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1CA46234" w14:textId="0BE80B33"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695813C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2FC47B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5357D95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909F9F9" w14:textId="77777777" w:rsidTr="00FF262E">
        <w:trPr>
          <w:cantSplit/>
          <w:trHeight w:val="144"/>
        </w:trPr>
        <w:tc>
          <w:tcPr>
            <w:tcW w:w="286" w:type="pct"/>
            <w:shd w:val="clear" w:color="auto" w:fill="FFFFFF" w:themeFill="background1"/>
            <w:vAlign w:val="center"/>
          </w:tcPr>
          <w:p w14:paraId="097AB3EF"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3559AE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ED Ages 0—12 years—Total Rate</w:t>
            </w:r>
          </w:p>
        </w:tc>
        <w:tc>
          <w:tcPr>
            <w:tcW w:w="312" w:type="pct"/>
            <w:shd w:val="clear" w:color="auto" w:fill="auto"/>
            <w:vAlign w:val="center"/>
          </w:tcPr>
          <w:p w14:paraId="4623BFB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647FCE9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16254648"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2F06005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1446D3D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7C3952E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3E2DDDBA" w14:textId="53130714"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00A00DC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73E342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863D5B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B400AF4" w14:textId="77777777" w:rsidTr="00FF262E">
        <w:trPr>
          <w:cantSplit/>
          <w:trHeight w:val="144"/>
        </w:trPr>
        <w:tc>
          <w:tcPr>
            <w:tcW w:w="286" w:type="pct"/>
            <w:shd w:val="clear" w:color="auto" w:fill="FFFFFF" w:themeFill="background1"/>
            <w:vAlign w:val="center"/>
          </w:tcPr>
          <w:p w14:paraId="4EC7A19E"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5B90144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ED Ages 13—17 years—Male</w:t>
            </w:r>
          </w:p>
        </w:tc>
        <w:tc>
          <w:tcPr>
            <w:tcW w:w="312" w:type="pct"/>
            <w:shd w:val="clear" w:color="auto" w:fill="auto"/>
            <w:vAlign w:val="center"/>
          </w:tcPr>
          <w:p w14:paraId="41668E2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16686E6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5</w:t>
            </w:r>
          </w:p>
        </w:tc>
        <w:tc>
          <w:tcPr>
            <w:tcW w:w="311" w:type="pct"/>
            <w:shd w:val="clear" w:color="000000" w:fill="FFFFFF"/>
            <w:vAlign w:val="center"/>
          </w:tcPr>
          <w:p w14:paraId="3F5F042F"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0.28%</w:t>
            </w:r>
          </w:p>
        </w:tc>
        <w:tc>
          <w:tcPr>
            <w:tcW w:w="343" w:type="pct"/>
            <w:shd w:val="clear" w:color="000000" w:fill="FFFFFF"/>
            <w:vAlign w:val="center"/>
          </w:tcPr>
          <w:p w14:paraId="3B30587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375" w:type="pct"/>
            <w:shd w:val="clear" w:color="000000" w:fill="FFFFFF"/>
            <w:vAlign w:val="center"/>
          </w:tcPr>
          <w:p w14:paraId="48BE9B7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405" w:type="pct"/>
            <w:shd w:val="clear" w:color="000000" w:fill="FFFFFF"/>
            <w:vAlign w:val="center"/>
          </w:tcPr>
          <w:p w14:paraId="535EA34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0.18%</w:t>
            </w:r>
          </w:p>
        </w:tc>
        <w:tc>
          <w:tcPr>
            <w:tcW w:w="406" w:type="pct"/>
            <w:shd w:val="clear" w:color="000000" w:fill="FFFFFF"/>
            <w:vAlign w:val="center"/>
          </w:tcPr>
          <w:p w14:paraId="70A9E6F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410DFF8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1108C4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02E2360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C8B4B63" w14:textId="77777777" w:rsidTr="00FF262E">
        <w:trPr>
          <w:cantSplit/>
          <w:trHeight w:val="144"/>
        </w:trPr>
        <w:tc>
          <w:tcPr>
            <w:tcW w:w="286" w:type="pct"/>
            <w:shd w:val="clear" w:color="auto" w:fill="FFFFFF" w:themeFill="background1"/>
            <w:vAlign w:val="center"/>
          </w:tcPr>
          <w:p w14:paraId="22F10D0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48CD275"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ED Ages 13—17 years—Female</w:t>
            </w:r>
          </w:p>
        </w:tc>
        <w:tc>
          <w:tcPr>
            <w:tcW w:w="312" w:type="pct"/>
            <w:shd w:val="clear" w:color="auto" w:fill="auto"/>
            <w:vAlign w:val="center"/>
          </w:tcPr>
          <w:p w14:paraId="797285F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398ABFD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7</w:t>
            </w:r>
          </w:p>
        </w:tc>
        <w:tc>
          <w:tcPr>
            <w:tcW w:w="311" w:type="pct"/>
            <w:shd w:val="clear" w:color="000000" w:fill="FFFFFF"/>
            <w:vAlign w:val="center"/>
          </w:tcPr>
          <w:p w14:paraId="1AEF0E1A"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0.40%</w:t>
            </w:r>
          </w:p>
        </w:tc>
        <w:tc>
          <w:tcPr>
            <w:tcW w:w="343" w:type="pct"/>
            <w:shd w:val="clear" w:color="000000" w:fill="FFFFFF"/>
            <w:vAlign w:val="center"/>
          </w:tcPr>
          <w:p w14:paraId="5FFCB13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375" w:type="pct"/>
            <w:shd w:val="clear" w:color="000000" w:fill="FFFFFF"/>
            <w:vAlign w:val="center"/>
          </w:tcPr>
          <w:p w14:paraId="7C28816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0.5%</w:t>
            </w:r>
          </w:p>
        </w:tc>
        <w:tc>
          <w:tcPr>
            <w:tcW w:w="405" w:type="pct"/>
            <w:shd w:val="clear" w:color="000000" w:fill="FFFFFF"/>
            <w:vAlign w:val="center"/>
          </w:tcPr>
          <w:p w14:paraId="38F8F2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0.31%</w:t>
            </w:r>
          </w:p>
        </w:tc>
        <w:tc>
          <w:tcPr>
            <w:tcW w:w="406" w:type="pct"/>
            <w:shd w:val="clear" w:color="000000" w:fill="FFFFFF"/>
            <w:vAlign w:val="center"/>
          </w:tcPr>
          <w:p w14:paraId="4186BC7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8FA25C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5F894F9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1BF221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01C4F3BC" w14:textId="77777777" w:rsidTr="00FF262E">
        <w:trPr>
          <w:cantSplit/>
          <w:trHeight w:val="144"/>
        </w:trPr>
        <w:tc>
          <w:tcPr>
            <w:tcW w:w="286" w:type="pct"/>
            <w:shd w:val="clear" w:color="auto" w:fill="FFFFFF" w:themeFill="background1"/>
            <w:vAlign w:val="center"/>
          </w:tcPr>
          <w:p w14:paraId="56D7BA94"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D1DA0A6"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ED Ages 13—17 years—Total Rate</w:t>
            </w:r>
          </w:p>
        </w:tc>
        <w:tc>
          <w:tcPr>
            <w:tcW w:w="312" w:type="pct"/>
            <w:shd w:val="clear" w:color="auto" w:fill="auto"/>
            <w:vAlign w:val="center"/>
          </w:tcPr>
          <w:p w14:paraId="64A8D4D2"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3BF9784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311" w:type="pct"/>
            <w:shd w:val="clear" w:color="000000" w:fill="FFFFFF"/>
            <w:vAlign w:val="center"/>
          </w:tcPr>
          <w:p w14:paraId="6C88C6AF"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0.34%</w:t>
            </w:r>
          </w:p>
        </w:tc>
        <w:tc>
          <w:tcPr>
            <w:tcW w:w="343" w:type="pct"/>
            <w:shd w:val="clear" w:color="000000" w:fill="FFFFFF"/>
            <w:vAlign w:val="center"/>
          </w:tcPr>
          <w:p w14:paraId="563B27E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375" w:type="pct"/>
            <w:shd w:val="clear" w:color="000000" w:fill="FFFFFF"/>
            <w:vAlign w:val="center"/>
          </w:tcPr>
          <w:p w14:paraId="36778E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405" w:type="pct"/>
            <w:shd w:val="clear" w:color="000000" w:fill="FFFFFF"/>
            <w:vAlign w:val="center"/>
          </w:tcPr>
          <w:p w14:paraId="23AD66C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0.24%</w:t>
            </w:r>
          </w:p>
        </w:tc>
        <w:tc>
          <w:tcPr>
            <w:tcW w:w="406" w:type="pct"/>
            <w:shd w:val="clear" w:color="000000" w:fill="FFFFFF"/>
            <w:vAlign w:val="center"/>
          </w:tcPr>
          <w:p w14:paraId="4E4C84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688ED81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B05496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24DE5DE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47570BCC" w14:textId="77777777" w:rsidTr="00FF262E">
        <w:trPr>
          <w:cantSplit/>
          <w:trHeight w:val="144"/>
        </w:trPr>
        <w:tc>
          <w:tcPr>
            <w:tcW w:w="286" w:type="pct"/>
            <w:shd w:val="clear" w:color="auto" w:fill="FFFFFF" w:themeFill="background1"/>
            <w:vAlign w:val="center"/>
          </w:tcPr>
          <w:p w14:paraId="7BC72918"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280679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Telehealth Ages 0—12 years—Male</w:t>
            </w:r>
          </w:p>
        </w:tc>
        <w:tc>
          <w:tcPr>
            <w:tcW w:w="312" w:type="pct"/>
            <w:shd w:val="clear" w:color="auto" w:fill="auto"/>
            <w:vAlign w:val="center"/>
          </w:tcPr>
          <w:p w14:paraId="331315F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41,998</w:t>
            </w:r>
          </w:p>
        </w:tc>
        <w:tc>
          <w:tcPr>
            <w:tcW w:w="281" w:type="pct"/>
            <w:shd w:val="clear" w:color="000000" w:fill="FFFFFF"/>
            <w:vAlign w:val="center"/>
          </w:tcPr>
          <w:p w14:paraId="7E3DDC0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262FB138"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0EAE8AB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590D1C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670C0C6E"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5445CA4D" w14:textId="4CD02731"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146ECCD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79B5C21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CE34EE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14F1A5CA" w14:textId="77777777" w:rsidTr="00FF262E">
        <w:trPr>
          <w:cantSplit/>
          <w:trHeight w:val="144"/>
        </w:trPr>
        <w:tc>
          <w:tcPr>
            <w:tcW w:w="286" w:type="pct"/>
            <w:shd w:val="clear" w:color="auto" w:fill="FFFFFF" w:themeFill="background1"/>
            <w:vAlign w:val="center"/>
          </w:tcPr>
          <w:p w14:paraId="716C7210"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6860D1A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Telehealth Ages 0—12 years—Female</w:t>
            </w:r>
          </w:p>
        </w:tc>
        <w:tc>
          <w:tcPr>
            <w:tcW w:w="312" w:type="pct"/>
            <w:shd w:val="clear" w:color="auto" w:fill="auto"/>
            <w:vAlign w:val="center"/>
          </w:tcPr>
          <w:p w14:paraId="6558385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41,958</w:t>
            </w:r>
          </w:p>
        </w:tc>
        <w:tc>
          <w:tcPr>
            <w:tcW w:w="281" w:type="pct"/>
            <w:shd w:val="clear" w:color="000000" w:fill="FFFFFF"/>
            <w:vAlign w:val="center"/>
          </w:tcPr>
          <w:p w14:paraId="0476CD7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5CB5BA07"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42AE904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3DE2100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248D5EF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5E801632" w14:textId="052EBA70"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2E0636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552BEE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7271DB2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13B18D8" w14:textId="77777777" w:rsidTr="00FF262E">
        <w:trPr>
          <w:cantSplit/>
          <w:trHeight w:val="144"/>
        </w:trPr>
        <w:tc>
          <w:tcPr>
            <w:tcW w:w="286" w:type="pct"/>
            <w:shd w:val="clear" w:color="auto" w:fill="FFFFFF" w:themeFill="background1"/>
            <w:vAlign w:val="center"/>
          </w:tcPr>
          <w:p w14:paraId="1571ED75"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4EAF6863"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Telehealth Ages 0—12 years—Total Rate</w:t>
            </w:r>
          </w:p>
        </w:tc>
        <w:tc>
          <w:tcPr>
            <w:tcW w:w="312" w:type="pct"/>
            <w:shd w:val="clear" w:color="auto" w:fill="auto"/>
            <w:vAlign w:val="center"/>
          </w:tcPr>
          <w:p w14:paraId="3A44715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83,956</w:t>
            </w:r>
          </w:p>
        </w:tc>
        <w:tc>
          <w:tcPr>
            <w:tcW w:w="281" w:type="pct"/>
            <w:shd w:val="clear" w:color="000000" w:fill="FFFFFF"/>
            <w:vAlign w:val="center"/>
          </w:tcPr>
          <w:p w14:paraId="6EBDB6A1"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w:t>
            </w:r>
          </w:p>
        </w:tc>
        <w:tc>
          <w:tcPr>
            <w:tcW w:w="311" w:type="pct"/>
            <w:shd w:val="clear" w:color="000000" w:fill="FFFFFF"/>
            <w:vAlign w:val="center"/>
          </w:tcPr>
          <w:p w14:paraId="7F142104"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0.00%</w:t>
            </w:r>
          </w:p>
        </w:tc>
        <w:tc>
          <w:tcPr>
            <w:tcW w:w="343" w:type="pct"/>
            <w:shd w:val="clear" w:color="000000" w:fill="FFFFFF"/>
            <w:vAlign w:val="center"/>
          </w:tcPr>
          <w:p w14:paraId="424391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375" w:type="pct"/>
            <w:shd w:val="clear" w:color="000000" w:fill="FFFFFF"/>
            <w:vAlign w:val="center"/>
          </w:tcPr>
          <w:p w14:paraId="3528861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w:t>
            </w:r>
          </w:p>
        </w:tc>
        <w:tc>
          <w:tcPr>
            <w:tcW w:w="405" w:type="pct"/>
            <w:shd w:val="clear" w:color="000000" w:fill="FFFFFF"/>
            <w:vAlign w:val="center"/>
          </w:tcPr>
          <w:p w14:paraId="6EACF68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7C7A482B" w14:textId="29FCEC69" w:rsidR="005C3D48" w:rsidRPr="00411D9E" w:rsidRDefault="00A460D7" w:rsidP="00FF262E">
            <w:pPr>
              <w:jc w:val="center"/>
              <w:rPr>
                <w:rFonts w:eastAsia="Times New Roman" w:cstheme="minorHAnsi"/>
                <w:sz w:val="20"/>
                <w:szCs w:val="20"/>
                <w:lang w:bidi="ar-SA"/>
              </w:rPr>
            </w:pPr>
            <w:r w:rsidRPr="00411D9E">
              <w:rPr>
                <w:rFonts w:cstheme="minorHAnsi"/>
                <w:sz w:val="20"/>
                <w:szCs w:val="20"/>
              </w:rPr>
              <w:t>N/A</w:t>
            </w:r>
          </w:p>
        </w:tc>
        <w:tc>
          <w:tcPr>
            <w:tcW w:w="343" w:type="pct"/>
            <w:shd w:val="clear" w:color="auto" w:fill="D9D9D9" w:themeFill="background1" w:themeFillShade="D9"/>
            <w:vAlign w:val="center"/>
          </w:tcPr>
          <w:p w14:paraId="7A2FA39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0A2B49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CF6C04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63583DF9" w14:textId="77777777" w:rsidTr="00FF262E">
        <w:trPr>
          <w:cantSplit/>
          <w:trHeight w:val="144"/>
        </w:trPr>
        <w:tc>
          <w:tcPr>
            <w:tcW w:w="286" w:type="pct"/>
            <w:shd w:val="clear" w:color="auto" w:fill="FFFFFF" w:themeFill="background1"/>
            <w:vAlign w:val="center"/>
          </w:tcPr>
          <w:p w14:paraId="4334E106"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lastRenderedPageBreak/>
              <w:t>HEDIS</w:t>
            </w:r>
          </w:p>
        </w:tc>
        <w:tc>
          <w:tcPr>
            <w:tcW w:w="1060" w:type="pct"/>
            <w:shd w:val="clear" w:color="auto" w:fill="FFFFFF" w:themeFill="background1"/>
            <w:vAlign w:val="center"/>
          </w:tcPr>
          <w:p w14:paraId="5EA972C1"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Telehealth Ages 13—17 years—Male</w:t>
            </w:r>
          </w:p>
        </w:tc>
        <w:tc>
          <w:tcPr>
            <w:tcW w:w="312" w:type="pct"/>
            <w:shd w:val="clear" w:color="auto" w:fill="auto"/>
            <w:vAlign w:val="center"/>
          </w:tcPr>
          <w:p w14:paraId="25A42C3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21,323</w:t>
            </w:r>
          </w:p>
        </w:tc>
        <w:tc>
          <w:tcPr>
            <w:tcW w:w="281" w:type="pct"/>
            <w:shd w:val="clear" w:color="000000" w:fill="FFFFFF"/>
            <w:vAlign w:val="center"/>
          </w:tcPr>
          <w:p w14:paraId="2640BBC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w:t>
            </w:r>
          </w:p>
        </w:tc>
        <w:tc>
          <w:tcPr>
            <w:tcW w:w="311" w:type="pct"/>
            <w:shd w:val="clear" w:color="000000" w:fill="FFFFFF"/>
            <w:vAlign w:val="center"/>
          </w:tcPr>
          <w:p w14:paraId="1C70A8EC"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0.23%</w:t>
            </w:r>
          </w:p>
        </w:tc>
        <w:tc>
          <w:tcPr>
            <w:tcW w:w="343" w:type="pct"/>
            <w:shd w:val="clear" w:color="000000" w:fill="FFFFFF"/>
            <w:vAlign w:val="center"/>
          </w:tcPr>
          <w:p w14:paraId="290D213B"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0.2%</w:t>
            </w:r>
          </w:p>
        </w:tc>
        <w:tc>
          <w:tcPr>
            <w:tcW w:w="375" w:type="pct"/>
            <w:shd w:val="clear" w:color="000000" w:fill="FFFFFF"/>
            <w:vAlign w:val="center"/>
          </w:tcPr>
          <w:p w14:paraId="77C0907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405" w:type="pct"/>
            <w:shd w:val="clear" w:color="000000" w:fill="FFFFFF"/>
            <w:vAlign w:val="center"/>
          </w:tcPr>
          <w:p w14:paraId="3172789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0F886F5B" w14:textId="77777777" w:rsidR="005C3D48" w:rsidRPr="00411D9E" w:rsidRDefault="005C3D48" w:rsidP="00FF262E">
            <w:pPr>
              <w:jc w:val="center"/>
              <w:rPr>
                <w:rFonts w:eastAsia="Times New Roman" w:cstheme="minorHAnsi"/>
                <w:sz w:val="20"/>
                <w:szCs w:val="20"/>
                <w:lang w:bidi="ar-SA"/>
              </w:rPr>
            </w:pPr>
            <w:proofErr w:type="spellStart"/>
            <w:r w:rsidRPr="00411D9E">
              <w:rPr>
                <w:rFonts w:cstheme="minorHAnsi"/>
                <w:sz w:val="20"/>
                <w:szCs w:val="20"/>
              </w:rPr>
              <w:t>n.s</w:t>
            </w:r>
            <w:proofErr w:type="spellEnd"/>
            <w:r w:rsidRPr="00411D9E">
              <w:rPr>
                <w:rFonts w:cstheme="minorHAnsi"/>
                <w:sz w:val="20"/>
                <w:szCs w:val="20"/>
              </w:rPr>
              <w:t>.</w:t>
            </w:r>
          </w:p>
        </w:tc>
        <w:tc>
          <w:tcPr>
            <w:tcW w:w="343" w:type="pct"/>
            <w:shd w:val="clear" w:color="auto" w:fill="D9D9D9" w:themeFill="background1" w:themeFillShade="D9"/>
            <w:vAlign w:val="center"/>
          </w:tcPr>
          <w:p w14:paraId="0024A24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1871EAF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6550AF0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7BF38E4D" w14:textId="77777777" w:rsidTr="00FF262E">
        <w:trPr>
          <w:cantSplit/>
          <w:trHeight w:val="144"/>
        </w:trPr>
        <w:tc>
          <w:tcPr>
            <w:tcW w:w="286" w:type="pct"/>
            <w:shd w:val="clear" w:color="auto" w:fill="FFFFFF" w:themeFill="background1"/>
            <w:vAlign w:val="center"/>
          </w:tcPr>
          <w:p w14:paraId="4B4E6AF9"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1A6AB36B"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Telehealth Ages 13—17 years—Female</w:t>
            </w:r>
          </w:p>
        </w:tc>
        <w:tc>
          <w:tcPr>
            <w:tcW w:w="312" w:type="pct"/>
            <w:shd w:val="clear" w:color="auto" w:fill="auto"/>
            <w:vAlign w:val="center"/>
          </w:tcPr>
          <w:p w14:paraId="0A71C50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20,816</w:t>
            </w:r>
          </w:p>
        </w:tc>
        <w:tc>
          <w:tcPr>
            <w:tcW w:w="281" w:type="pct"/>
            <w:shd w:val="clear" w:color="000000" w:fill="FFFFFF"/>
            <w:vAlign w:val="center"/>
          </w:tcPr>
          <w:p w14:paraId="499F3C2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8</w:t>
            </w:r>
          </w:p>
        </w:tc>
        <w:tc>
          <w:tcPr>
            <w:tcW w:w="311" w:type="pct"/>
            <w:shd w:val="clear" w:color="000000" w:fill="FFFFFF"/>
            <w:vAlign w:val="center"/>
          </w:tcPr>
          <w:p w14:paraId="7CD3BC58"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0.46%</w:t>
            </w:r>
          </w:p>
        </w:tc>
        <w:tc>
          <w:tcPr>
            <w:tcW w:w="343" w:type="pct"/>
            <w:shd w:val="clear" w:color="000000" w:fill="FFFFFF"/>
            <w:vAlign w:val="center"/>
          </w:tcPr>
          <w:p w14:paraId="61ED78C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375" w:type="pct"/>
            <w:shd w:val="clear" w:color="000000" w:fill="FFFFFF"/>
            <w:vAlign w:val="center"/>
          </w:tcPr>
          <w:p w14:paraId="6E401BA0"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0.6%</w:t>
            </w:r>
          </w:p>
        </w:tc>
        <w:tc>
          <w:tcPr>
            <w:tcW w:w="405" w:type="pct"/>
            <w:shd w:val="clear" w:color="000000" w:fill="FFFFFF"/>
            <w:vAlign w:val="center"/>
          </w:tcPr>
          <w:p w14:paraId="2C70AA1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7939C343"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3804E72A"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2F24F99F"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3889078D"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r w:rsidR="005C3D48" w:rsidRPr="00411D9E" w14:paraId="3995564A" w14:textId="77777777" w:rsidTr="00FF262E">
        <w:trPr>
          <w:cantSplit/>
          <w:trHeight w:val="144"/>
        </w:trPr>
        <w:tc>
          <w:tcPr>
            <w:tcW w:w="286" w:type="pct"/>
            <w:shd w:val="clear" w:color="auto" w:fill="FFFFFF" w:themeFill="background1"/>
            <w:vAlign w:val="center"/>
          </w:tcPr>
          <w:p w14:paraId="49A71742" w14:textId="77777777" w:rsidR="005C3D48" w:rsidRPr="00411D9E" w:rsidRDefault="005C3D48" w:rsidP="00FF262E">
            <w:pPr>
              <w:jc w:val="center"/>
              <w:rPr>
                <w:rFonts w:eastAsia="Times New Roman" w:cstheme="minorHAnsi"/>
                <w:sz w:val="20"/>
                <w:szCs w:val="20"/>
                <w:lang w:bidi="ar-SA"/>
              </w:rPr>
            </w:pPr>
            <w:r w:rsidRPr="00411D9E">
              <w:rPr>
                <w:rFonts w:eastAsia="Times New Roman" w:cstheme="minorHAnsi"/>
                <w:sz w:val="20"/>
                <w:szCs w:val="20"/>
                <w:lang w:bidi="ar-SA"/>
              </w:rPr>
              <w:t>HEDIS</w:t>
            </w:r>
          </w:p>
        </w:tc>
        <w:tc>
          <w:tcPr>
            <w:tcW w:w="1060" w:type="pct"/>
            <w:shd w:val="clear" w:color="auto" w:fill="FFFFFF" w:themeFill="background1"/>
            <w:vAlign w:val="center"/>
          </w:tcPr>
          <w:p w14:paraId="2A341F69" w14:textId="77777777" w:rsidR="005C3D48" w:rsidRPr="00411D9E" w:rsidRDefault="005C3D48" w:rsidP="00FF262E">
            <w:pPr>
              <w:ind w:left="76"/>
              <w:jc w:val="left"/>
              <w:rPr>
                <w:rFonts w:eastAsia="Times New Roman" w:cstheme="minorHAnsi"/>
                <w:sz w:val="20"/>
                <w:szCs w:val="20"/>
                <w:lang w:bidi="ar-SA"/>
              </w:rPr>
            </w:pPr>
            <w:r w:rsidRPr="00411D9E">
              <w:rPr>
                <w:rFonts w:eastAsia="Times New Roman" w:cstheme="minorHAnsi"/>
                <w:sz w:val="20"/>
                <w:szCs w:val="20"/>
                <w:lang w:bidi="ar-SA"/>
              </w:rPr>
              <w:t>IAD: Telehealth Ages 13—17 years—Total Rate</w:t>
            </w:r>
          </w:p>
        </w:tc>
        <w:tc>
          <w:tcPr>
            <w:tcW w:w="312" w:type="pct"/>
            <w:shd w:val="clear" w:color="auto" w:fill="auto"/>
            <w:vAlign w:val="center"/>
          </w:tcPr>
          <w:p w14:paraId="2CA5D03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42,139</w:t>
            </w:r>
          </w:p>
        </w:tc>
        <w:tc>
          <w:tcPr>
            <w:tcW w:w="281" w:type="pct"/>
            <w:shd w:val="clear" w:color="000000" w:fill="FFFFFF"/>
            <w:vAlign w:val="center"/>
          </w:tcPr>
          <w:p w14:paraId="7031BC59"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12</w:t>
            </w:r>
          </w:p>
        </w:tc>
        <w:tc>
          <w:tcPr>
            <w:tcW w:w="311" w:type="pct"/>
            <w:shd w:val="clear" w:color="000000" w:fill="FFFFFF"/>
            <w:vAlign w:val="center"/>
          </w:tcPr>
          <w:p w14:paraId="3F139187" w14:textId="77777777" w:rsidR="005C3D48" w:rsidRPr="00411D9E" w:rsidRDefault="005C3D48" w:rsidP="00FF262E">
            <w:pPr>
              <w:jc w:val="center"/>
              <w:rPr>
                <w:rFonts w:eastAsia="Times New Roman" w:cstheme="minorHAnsi"/>
                <w:sz w:val="20"/>
                <w:szCs w:val="20"/>
                <w:lang w:bidi="ar-SA"/>
              </w:rPr>
            </w:pPr>
            <w:r w:rsidRPr="00411D9E">
              <w:rPr>
                <w:rFonts w:cstheme="minorHAnsi"/>
                <w:b/>
                <w:bCs/>
                <w:sz w:val="20"/>
                <w:szCs w:val="20"/>
              </w:rPr>
              <w:t>0.34%</w:t>
            </w:r>
          </w:p>
        </w:tc>
        <w:tc>
          <w:tcPr>
            <w:tcW w:w="343" w:type="pct"/>
            <w:shd w:val="clear" w:color="000000" w:fill="FFFFFF"/>
            <w:vAlign w:val="center"/>
          </w:tcPr>
          <w:p w14:paraId="6CC2B0C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0.3%</w:t>
            </w:r>
          </w:p>
        </w:tc>
        <w:tc>
          <w:tcPr>
            <w:tcW w:w="375" w:type="pct"/>
            <w:shd w:val="clear" w:color="000000" w:fill="FFFFFF"/>
            <w:vAlign w:val="center"/>
          </w:tcPr>
          <w:p w14:paraId="04056A44"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0.4%</w:t>
            </w:r>
          </w:p>
        </w:tc>
        <w:tc>
          <w:tcPr>
            <w:tcW w:w="405" w:type="pct"/>
            <w:shd w:val="clear" w:color="000000" w:fill="FFFFFF"/>
            <w:vAlign w:val="center"/>
          </w:tcPr>
          <w:p w14:paraId="5ECA5265"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0.00%</w:t>
            </w:r>
          </w:p>
        </w:tc>
        <w:tc>
          <w:tcPr>
            <w:tcW w:w="406" w:type="pct"/>
            <w:shd w:val="clear" w:color="000000" w:fill="FFFFFF"/>
            <w:vAlign w:val="center"/>
          </w:tcPr>
          <w:p w14:paraId="12C7E687"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w:t>
            </w:r>
          </w:p>
        </w:tc>
        <w:tc>
          <w:tcPr>
            <w:tcW w:w="343" w:type="pct"/>
            <w:shd w:val="clear" w:color="auto" w:fill="D9D9D9" w:themeFill="background1" w:themeFillShade="D9"/>
            <w:vAlign w:val="center"/>
          </w:tcPr>
          <w:p w14:paraId="19E389DC"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343" w:type="pct"/>
            <w:shd w:val="clear" w:color="auto" w:fill="D9D9D9" w:themeFill="background1" w:themeFillShade="D9"/>
            <w:vAlign w:val="center"/>
          </w:tcPr>
          <w:p w14:paraId="492C74F8"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w:t>
            </w:r>
          </w:p>
        </w:tc>
        <w:tc>
          <w:tcPr>
            <w:tcW w:w="535" w:type="pct"/>
            <w:shd w:val="clear" w:color="000000" w:fill="FFFFFF"/>
            <w:vAlign w:val="center"/>
          </w:tcPr>
          <w:p w14:paraId="499022D6" w14:textId="77777777" w:rsidR="005C3D48" w:rsidRPr="00411D9E" w:rsidRDefault="005C3D48" w:rsidP="00FF262E">
            <w:pPr>
              <w:jc w:val="center"/>
              <w:rPr>
                <w:rFonts w:eastAsia="Times New Roman" w:cstheme="minorHAnsi"/>
                <w:sz w:val="20"/>
                <w:szCs w:val="20"/>
                <w:lang w:bidi="ar-SA"/>
              </w:rPr>
            </w:pPr>
            <w:r w:rsidRPr="00411D9E">
              <w:rPr>
                <w:rFonts w:cstheme="minorHAnsi"/>
                <w:sz w:val="20"/>
                <w:szCs w:val="20"/>
              </w:rPr>
              <w:t xml:space="preserve">NA </w:t>
            </w:r>
          </w:p>
        </w:tc>
      </w:tr>
    </w:tbl>
    <w:p w14:paraId="31BBF7E4" w14:textId="76F1EC9A" w:rsidR="0053637F" w:rsidRPr="00411D9E" w:rsidRDefault="0053637F" w:rsidP="0053637F">
      <w:pPr>
        <w:jc w:val="left"/>
        <w:rPr>
          <w:sz w:val="20"/>
          <w:szCs w:val="20"/>
        </w:rPr>
      </w:pPr>
      <w:r w:rsidRPr="00411D9E">
        <w:rPr>
          <w:sz w:val="20"/>
          <w:szCs w:val="20"/>
          <w:vertAlign w:val="superscript"/>
        </w:rPr>
        <w:t>1</w:t>
      </w:r>
      <w:r w:rsidRPr="00411D9E">
        <w:rPr>
          <w:sz w:val="20"/>
          <w:szCs w:val="20"/>
        </w:rPr>
        <w:t xml:space="preserve"> For comparison of MY 2020 rates to MY 2019 rates, statistically significant increases are indicated by “+,” statistically significant decreases by “</w:t>
      </w:r>
      <w:r w:rsidRPr="00411D9E">
        <w:rPr>
          <w:rFonts w:cstheme="minorHAnsi"/>
          <w:sz w:val="20"/>
          <w:szCs w:val="20"/>
        </w:rPr>
        <w:t>−</w:t>
      </w:r>
      <w:r w:rsidRPr="00411D9E">
        <w:rPr>
          <w:sz w:val="20"/>
          <w:szCs w:val="20"/>
        </w:rPr>
        <w:t>,” and no statistically significant change by “</w:t>
      </w:r>
      <w:proofErr w:type="spellStart"/>
      <w:r w:rsidRPr="00411D9E">
        <w:rPr>
          <w:sz w:val="20"/>
          <w:szCs w:val="20"/>
        </w:rPr>
        <w:t>n.s</w:t>
      </w:r>
      <w:proofErr w:type="spellEnd"/>
      <w:r w:rsidRPr="00411D9E">
        <w:rPr>
          <w:sz w:val="20"/>
          <w:szCs w:val="20"/>
        </w:rPr>
        <w:t xml:space="preserve">.” </w:t>
      </w:r>
      <w:r w:rsidRPr="00411D9E">
        <w:rPr>
          <w:bCs/>
          <w:sz w:val="20"/>
          <w:szCs w:val="20"/>
        </w:rPr>
        <w:t>For comparison of MY 2020 rates to CHIP MMC rates, the “+” denotes that the plan rate exceeds the CHIP MMC rate, the “</w:t>
      </w:r>
      <w:r w:rsidRPr="00411D9E">
        <w:rPr>
          <w:rFonts w:cstheme="minorHAnsi"/>
          <w:sz w:val="20"/>
          <w:szCs w:val="20"/>
        </w:rPr>
        <w:t>−</w:t>
      </w:r>
      <w:r w:rsidRPr="00411D9E">
        <w:rPr>
          <w:bCs/>
          <w:sz w:val="20"/>
          <w:szCs w:val="20"/>
        </w:rPr>
        <w:t>” denotes that the MMC rate exceeds the plan rate, and “</w:t>
      </w:r>
      <w:proofErr w:type="spellStart"/>
      <w:r w:rsidRPr="00411D9E">
        <w:rPr>
          <w:bCs/>
          <w:sz w:val="20"/>
          <w:szCs w:val="20"/>
        </w:rPr>
        <w:t>n.s</w:t>
      </w:r>
      <w:proofErr w:type="spellEnd"/>
      <w:r w:rsidRPr="00411D9E">
        <w:rPr>
          <w:bCs/>
          <w:sz w:val="20"/>
          <w:szCs w:val="20"/>
        </w:rPr>
        <w:t>.” denotes no statistically significant difference between the two rates. Gray shading indicates IPRO does</w:t>
      </w:r>
      <w:r w:rsidR="00E85A1A">
        <w:rPr>
          <w:bCs/>
          <w:sz w:val="20"/>
          <w:szCs w:val="20"/>
        </w:rPr>
        <w:t xml:space="preserve"> </w:t>
      </w:r>
      <w:r w:rsidRPr="00411D9E">
        <w:rPr>
          <w:bCs/>
          <w:sz w:val="20"/>
          <w:szCs w:val="20"/>
        </w:rPr>
        <w:t>n</w:t>
      </w:r>
      <w:r w:rsidR="00E85A1A">
        <w:rPr>
          <w:bCs/>
          <w:sz w:val="20"/>
          <w:szCs w:val="20"/>
        </w:rPr>
        <w:t>o</w:t>
      </w:r>
      <w:r w:rsidRPr="00411D9E">
        <w:rPr>
          <w:bCs/>
          <w:sz w:val="20"/>
          <w:szCs w:val="20"/>
        </w:rPr>
        <w:t>t provide or calculate these rates.</w:t>
      </w:r>
    </w:p>
    <w:p w14:paraId="49BCDCBA" w14:textId="0F4D259C" w:rsidR="005C3D48" w:rsidRPr="00411D9E" w:rsidRDefault="0053637F" w:rsidP="0053637F">
      <w:pPr>
        <w:jc w:val="left"/>
        <w:rPr>
          <w:sz w:val="20"/>
          <w:szCs w:val="20"/>
        </w:rPr>
      </w:pPr>
      <w:proofErr w:type="spellStart"/>
      <w:r w:rsidRPr="00411D9E">
        <w:rPr>
          <w:sz w:val="20"/>
          <w:szCs w:val="20"/>
        </w:rPr>
        <w:t>Denom</w:t>
      </w:r>
      <w:proofErr w:type="spellEnd"/>
      <w:r w:rsidRPr="00411D9E">
        <w:rPr>
          <w:sz w:val="20"/>
          <w:szCs w:val="20"/>
        </w:rPr>
        <w:t>: denominator; Num: numerator; MY: measurement year; MMC: Medicaid Managed Care; HEDIS: Healthcare Effectiveness Data and Information Set; NA: not available, as no HEDIS percentile is available to compare; N/A: not applicable.</w:t>
      </w:r>
    </w:p>
    <w:p w14:paraId="0AC687FA" w14:textId="77777777" w:rsidR="0053637F" w:rsidRPr="00411D9E" w:rsidRDefault="0053637F" w:rsidP="005C3D48">
      <w:pPr>
        <w:rPr>
          <w:highlight w:val="yellow"/>
        </w:rPr>
      </w:pPr>
    </w:p>
    <w:p w14:paraId="7D5B46E7" w14:textId="77777777" w:rsidR="0053637F" w:rsidRPr="00411D9E" w:rsidRDefault="0053637F" w:rsidP="005C3D48">
      <w:pPr>
        <w:rPr>
          <w:highlight w:val="yellow"/>
        </w:rPr>
        <w:sectPr w:rsidR="0053637F" w:rsidRPr="00411D9E" w:rsidSect="00FF262E">
          <w:footerReference w:type="default" r:id="rId11"/>
          <w:pgSz w:w="15840" w:h="12240" w:orient="landscape"/>
          <w:pgMar w:top="720" w:right="720" w:bottom="720" w:left="720" w:header="720" w:footer="720" w:gutter="0"/>
          <w:cols w:space="720"/>
          <w:docGrid w:linePitch="360"/>
        </w:sectPr>
      </w:pPr>
    </w:p>
    <w:p w14:paraId="6D6CABA0" w14:textId="77777777" w:rsidR="005C3D48" w:rsidRPr="00411D9E" w:rsidRDefault="005C3D48" w:rsidP="005C3D48">
      <w:pPr>
        <w:pStyle w:val="Heading2"/>
      </w:pPr>
      <w:bookmarkStart w:id="153" w:name="_Toc70508385"/>
      <w:bookmarkStart w:id="154" w:name="_Toc99026958"/>
      <w:r w:rsidRPr="00411D9E">
        <w:lastRenderedPageBreak/>
        <w:t>Consumer Assessment of Healthcare Providers and Systems (CAHPS) Survey</w:t>
      </w:r>
      <w:bookmarkEnd w:id="153"/>
      <w:bookmarkEnd w:id="154"/>
    </w:p>
    <w:p w14:paraId="7D011414" w14:textId="77777777" w:rsidR="005C3D48" w:rsidRPr="00411D9E" w:rsidRDefault="005C3D48" w:rsidP="005C3D48">
      <w:pPr>
        <w:pStyle w:val="Heading3"/>
      </w:pPr>
      <w:bookmarkStart w:id="155" w:name="_Toc70508386"/>
      <w:bookmarkStart w:id="156" w:name="_Toc99026959"/>
      <w:r w:rsidRPr="00411D9E">
        <w:t>Satisfaction with the Experience of Care</w:t>
      </w:r>
      <w:bookmarkEnd w:id="155"/>
      <w:bookmarkEnd w:id="156"/>
    </w:p>
    <w:p w14:paraId="2D6C4651" w14:textId="196C7724" w:rsidR="005C3D48" w:rsidRPr="00411D9E" w:rsidRDefault="00C268C9" w:rsidP="005C3D48">
      <w:r w:rsidRPr="00411D9E">
        <w:rPr>
          <w:b/>
        </w:rPr>
        <w:t>Table 2.9</w:t>
      </w:r>
      <w:r w:rsidR="005C3D48" w:rsidRPr="00411D9E">
        <w:t xml:space="preserve"> provides the survey results of four composite questions by two specific categories for the MCO across the last 3 measurement years, as available. The composite questions target the MCO’s performance strengths as well as opportunities for improvement. </w:t>
      </w:r>
    </w:p>
    <w:p w14:paraId="2DD25F6D" w14:textId="77777777" w:rsidR="005C3D48" w:rsidRPr="00411D9E" w:rsidRDefault="005C3D48" w:rsidP="005C3D48"/>
    <w:p w14:paraId="7AA3B5CE" w14:textId="77777777" w:rsidR="005C3D48" w:rsidRPr="00411D9E" w:rsidRDefault="005C3D48" w:rsidP="005C3D48">
      <w:r w:rsidRPr="00411D9E">
        <w:t>Indicators from the survey chosen for reporting here include those that measure satisfaction as well as those that highlight the supplemental questions in the survey that cover mental health.</w:t>
      </w:r>
    </w:p>
    <w:p w14:paraId="75829E89" w14:textId="77777777" w:rsidR="005C3D48" w:rsidRPr="00411D9E" w:rsidRDefault="005C3D48" w:rsidP="005C3D48"/>
    <w:p w14:paraId="2F08F3F8" w14:textId="773A32DD" w:rsidR="005C3D48" w:rsidRPr="00411D9E" w:rsidRDefault="005C3D48" w:rsidP="005C3D48">
      <w:r w:rsidRPr="00411D9E">
        <w:t xml:space="preserve">Due to differences in the CAHPS submissions from year to year, direct comparisons of results are not always available. Questions that are not included in the most recent survey version are not presented in </w:t>
      </w:r>
      <w:r w:rsidR="00C268C9" w:rsidRPr="00411D9E">
        <w:rPr>
          <w:b/>
        </w:rPr>
        <w:t>Table 2.9</w:t>
      </w:r>
      <w:r w:rsidRPr="00411D9E">
        <w:t xml:space="preserve">. </w:t>
      </w:r>
    </w:p>
    <w:p w14:paraId="058430DD" w14:textId="77777777" w:rsidR="005C3D48" w:rsidRPr="00411D9E" w:rsidRDefault="005C3D48" w:rsidP="005C3D48">
      <w:pPr>
        <w:pStyle w:val="Heading3"/>
      </w:pPr>
      <w:bookmarkStart w:id="157" w:name="_Toc70508387"/>
      <w:bookmarkStart w:id="158" w:name="_Toc99026960"/>
      <w:r w:rsidRPr="00411D9E">
        <w:t>MY 2020 Child CAHPS 5.1H Survey Results</w:t>
      </w:r>
      <w:bookmarkEnd w:id="157"/>
      <w:bookmarkEnd w:id="158"/>
    </w:p>
    <w:p w14:paraId="3B533181" w14:textId="77777777" w:rsidR="005C3D48" w:rsidRPr="00411D9E" w:rsidRDefault="005C3D48" w:rsidP="005C3D48">
      <w:pPr>
        <w:pStyle w:val="tableheading"/>
      </w:pPr>
      <w:bookmarkStart w:id="159" w:name="_Toc477449756"/>
      <w:bookmarkStart w:id="160" w:name="_Toc512521062"/>
      <w:bookmarkStart w:id="161" w:name="_Toc70508417"/>
      <w:bookmarkStart w:id="162" w:name="_Toc99026994"/>
      <w:r w:rsidRPr="00411D9E">
        <w:t>Table 2.9: CAHPS MY 2020 Child Survey Results</w:t>
      </w:r>
      <w:bookmarkEnd w:id="159"/>
      <w:bookmarkEnd w:id="160"/>
      <w:bookmarkEnd w:id="161"/>
      <w:bookmarkEnd w:id="16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3571"/>
        <w:gridCol w:w="913"/>
        <w:gridCol w:w="1357"/>
        <w:gridCol w:w="1047"/>
        <w:gridCol w:w="1409"/>
        <w:gridCol w:w="1146"/>
        <w:gridCol w:w="1347"/>
      </w:tblGrid>
      <w:tr w:rsidR="005C3D48" w:rsidRPr="00411D9E" w14:paraId="053FE26A" w14:textId="77777777" w:rsidTr="00C268C9">
        <w:trPr>
          <w:trHeight w:val="785"/>
        </w:trPr>
        <w:tc>
          <w:tcPr>
            <w:tcW w:w="1655" w:type="pct"/>
            <w:shd w:val="clear" w:color="000000" w:fill="5F497A"/>
            <w:vAlign w:val="center"/>
          </w:tcPr>
          <w:p w14:paraId="019EE394" w14:textId="77777777" w:rsidR="005C3D48" w:rsidRPr="00411D9E" w:rsidRDefault="005C3D48" w:rsidP="00FF262E">
            <w:pPr>
              <w:jc w:val="left"/>
              <w:rPr>
                <w:rFonts w:ascii="Calibri" w:eastAsia="Times New Roman" w:hAnsi="Calibri" w:cs="Times New Roman"/>
                <w:b/>
                <w:bCs/>
                <w:color w:val="FFFFFF"/>
                <w:sz w:val="21"/>
                <w:szCs w:val="21"/>
                <w:lang w:bidi="ar-SA"/>
              </w:rPr>
            </w:pPr>
            <w:r w:rsidRPr="00411D9E">
              <w:rPr>
                <w:rFonts w:ascii="Calibri" w:eastAsia="Times New Roman" w:hAnsi="Calibri" w:cs="Times New Roman"/>
                <w:b/>
                <w:bCs/>
                <w:color w:val="FFFFFF"/>
                <w:sz w:val="20"/>
                <w:szCs w:val="20"/>
                <w:lang w:bidi="ar-SA"/>
              </w:rPr>
              <w:t>Survey Section/Measure</w:t>
            </w:r>
          </w:p>
        </w:tc>
        <w:tc>
          <w:tcPr>
            <w:tcW w:w="423" w:type="pct"/>
            <w:shd w:val="clear" w:color="000000" w:fill="5F497A"/>
            <w:vAlign w:val="center"/>
            <w:hideMark/>
          </w:tcPr>
          <w:p w14:paraId="478D63B5"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2021</w:t>
            </w:r>
          </w:p>
          <w:p w14:paraId="1636E06A"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(MY 2020)</w:t>
            </w:r>
          </w:p>
        </w:tc>
        <w:tc>
          <w:tcPr>
            <w:tcW w:w="629" w:type="pct"/>
            <w:shd w:val="clear" w:color="000000" w:fill="5F497A"/>
            <w:vAlign w:val="bottom"/>
            <w:hideMark/>
          </w:tcPr>
          <w:p w14:paraId="524BF04A"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2021 Rate Compared to 2020</w:t>
            </w:r>
          </w:p>
        </w:tc>
        <w:tc>
          <w:tcPr>
            <w:tcW w:w="485" w:type="pct"/>
            <w:shd w:val="clear" w:color="000000" w:fill="5F497A"/>
            <w:vAlign w:val="center"/>
            <w:hideMark/>
          </w:tcPr>
          <w:p w14:paraId="464E200C"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2020 (MY 2019)</w:t>
            </w:r>
          </w:p>
        </w:tc>
        <w:tc>
          <w:tcPr>
            <w:tcW w:w="653" w:type="pct"/>
            <w:shd w:val="clear" w:color="000000" w:fill="5F497A"/>
            <w:vAlign w:val="bottom"/>
            <w:hideMark/>
          </w:tcPr>
          <w:p w14:paraId="3E304C0B"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2020 Rate Compared to 2019</w:t>
            </w:r>
          </w:p>
        </w:tc>
        <w:tc>
          <w:tcPr>
            <w:tcW w:w="531" w:type="pct"/>
            <w:shd w:val="clear" w:color="000000" w:fill="5F497A"/>
            <w:vAlign w:val="center"/>
            <w:hideMark/>
          </w:tcPr>
          <w:p w14:paraId="5DE21A1C"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2019 (MY 2018)</w:t>
            </w:r>
          </w:p>
        </w:tc>
        <w:tc>
          <w:tcPr>
            <w:tcW w:w="624" w:type="pct"/>
            <w:shd w:val="clear" w:color="000000" w:fill="5F497A"/>
            <w:vAlign w:val="bottom"/>
            <w:hideMark/>
          </w:tcPr>
          <w:p w14:paraId="46109563" w14:textId="77777777" w:rsidR="005C3D48" w:rsidRPr="00411D9E" w:rsidRDefault="005C3D48" w:rsidP="00FF262E">
            <w:pPr>
              <w:jc w:val="center"/>
              <w:rPr>
                <w:rFonts w:ascii="Calibri" w:eastAsia="Times New Roman" w:hAnsi="Calibri" w:cs="Times New Roman"/>
                <w:b/>
                <w:bCs/>
                <w:color w:val="FFFFFF"/>
                <w:sz w:val="20"/>
                <w:szCs w:val="20"/>
                <w:lang w:bidi="ar-SA"/>
              </w:rPr>
            </w:pPr>
            <w:r w:rsidRPr="00411D9E">
              <w:rPr>
                <w:rFonts w:ascii="Calibri" w:eastAsia="Times New Roman" w:hAnsi="Calibri" w:cs="Times New Roman"/>
                <w:b/>
                <w:bCs/>
                <w:color w:val="FFFFFF"/>
                <w:sz w:val="20"/>
                <w:szCs w:val="20"/>
                <w:lang w:bidi="ar-SA"/>
              </w:rPr>
              <w:t>2021 MMC Weighted Average</w:t>
            </w:r>
          </w:p>
        </w:tc>
      </w:tr>
      <w:tr w:rsidR="005C3D48" w:rsidRPr="00411D9E" w14:paraId="1C6CC8ED" w14:textId="77777777" w:rsidTr="00C268C9">
        <w:trPr>
          <w:trHeight w:val="144"/>
        </w:trPr>
        <w:tc>
          <w:tcPr>
            <w:tcW w:w="5000" w:type="pct"/>
            <w:gridSpan w:val="7"/>
            <w:shd w:val="clear" w:color="auto" w:fill="CCC0D9" w:themeFill="accent4" w:themeFillTint="66"/>
            <w:vAlign w:val="bottom"/>
          </w:tcPr>
          <w:p w14:paraId="7EDDC21D" w14:textId="77777777" w:rsidR="005C3D48" w:rsidRPr="00411D9E" w:rsidRDefault="005C3D48" w:rsidP="00FF262E">
            <w:pPr>
              <w:ind w:left="90"/>
              <w:jc w:val="left"/>
              <w:rPr>
                <w:rFonts w:ascii="Calibri" w:hAnsi="Calibri" w:cs="Calibri"/>
                <w:color w:val="000000" w:themeColor="text1"/>
                <w:sz w:val="20"/>
                <w:szCs w:val="20"/>
              </w:rPr>
            </w:pPr>
            <w:r w:rsidRPr="00411D9E">
              <w:rPr>
                <w:rFonts w:ascii="Calibri" w:hAnsi="Calibri" w:cs="Calibri"/>
                <w:color w:val="000000" w:themeColor="text1"/>
                <w:sz w:val="20"/>
                <w:szCs w:val="20"/>
              </w:rPr>
              <w:t>Satisfaction with Child’s Care</w:t>
            </w:r>
          </w:p>
        </w:tc>
      </w:tr>
      <w:tr w:rsidR="005C3D48" w:rsidRPr="00411D9E" w14:paraId="56170524" w14:textId="77777777" w:rsidTr="00C268C9">
        <w:trPr>
          <w:trHeight w:val="144"/>
        </w:trPr>
        <w:tc>
          <w:tcPr>
            <w:tcW w:w="1655" w:type="pct"/>
            <w:shd w:val="clear" w:color="auto" w:fill="auto"/>
            <w:vAlign w:val="center"/>
            <w:hideMark/>
          </w:tcPr>
          <w:p w14:paraId="1464DF47"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Satisfaction with your child's current personal doctor (Rating of 8–10)</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7CD65C97"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95.15%</w:t>
            </w:r>
          </w:p>
        </w:tc>
        <w:tc>
          <w:tcPr>
            <w:tcW w:w="629" w:type="pct"/>
            <w:tcBorders>
              <w:top w:val="nil"/>
              <w:left w:val="nil"/>
              <w:bottom w:val="single" w:sz="8" w:space="0" w:color="auto"/>
              <w:right w:val="single" w:sz="8" w:space="0" w:color="auto"/>
            </w:tcBorders>
            <w:shd w:val="clear" w:color="auto" w:fill="auto"/>
            <w:vAlign w:val="center"/>
          </w:tcPr>
          <w:p w14:paraId="46AAF6BB"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27C830BD"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91.67%</w:t>
            </w:r>
          </w:p>
        </w:tc>
        <w:tc>
          <w:tcPr>
            <w:tcW w:w="653" w:type="pct"/>
            <w:tcBorders>
              <w:top w:val="nil"/>
              <w:left w:val="nil"/>
              <w:bottom w:val="single" w:sz="8" w:space="0" w:color="auto"/>
              <w:right w:val="single" w:sz="8" w:space="0" w:color="auto"/>
            </w:tcBorders>
            <w:shd w:val="clear" w:color="auto" w:fill="auto"/>
            <w:vAlign w:val="center"/>
          </w:tcPr>
          <w:p w14:paraId="46027D1B"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6886425B"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90.98%</w:t>
            </w:r>
          </w:p>
        </w:tc>
        <w:tc>
          <w:tcPr>
            <w:tcW w:w="624" w:type="pct"/>
            <w:tcBorders>
              <w:top w:val="nil"/>
              <w:left w:val="nil"/>
              <w:bottom w:val="single" w:sz="8" w:space="0" w:color="auto"/>
              <w:right w:val="single" w:sz="8" w:space="0" w:color="auto"/>
            </w:tcBorders>
            <w:shd w:val="clear" w:color="auto" w:fill="auto"/>
            <w:vAlign w:val="center"/>
          </w:tcPr>
          <w:p w14:paraId="01AC9D31"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91.09%</w:t>
            </w:r>
          </w:p>
        </w:tc>
      </w:tr>
      <w:tr w:rsidR="005C3D48" w:rsidRPr="00411D9E" w14:paraId="3F965A75" w14:textId="77777777" w:rsidTr="00C268C9">
        <w:trPr>
          <w:trHeight w:val="144"/>
        </w:trPr>
        <w:tc>
          <w:tcPr>
            <w:tcW w:w="1655" w:type="pct"/>
            <w:shd w:val="clear" w:color="auto" w:fill="auto"/>
            <w:vAlign w:val="center"/>
            <w:hideMark/>
          </w:tcPr>
          <w:p w14:paraId="4C2D1397"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Satisfaction with specialist (Rating of 8–10)</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78556CB5"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88.24%</w:t>
            </w:r>
          </w:p>
        </w:tc>
        <w:tc>
          <w:tcPr>
            <w:tcW w:w="629" w:type="pct"/>
            <w:tcBorders>
              <w:top w:val="nil"/>
              <w:left w:val="nil"/>
              <w:bottom w:val="single" w:sz="8" w:space="0" w:color="auto"/>
              <w:right w:val="single" w:sz="8" w:space="0" w:color="auto"/>
            </w:tcBorders>
            <w:shd w:val="clear" w:color="auto" w:fill="auto"/>
            <w:vAlign w:val="center"/>
          </w:tcPr>
          <w:p w14:paraId="00384854"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0A3B79A3"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87.10%</w:t>
            </w:r>
          </w:p>
        </w:tc>
        <w:tc>
          <w:tcPr>
            <w:tcW w:w="653" w:type="pct"/>
            <w:tcBorders>
              <w:top w:val="nil"/>
              <w:left w:val="nil"/>
              <w:bottom w:val="single" w:sz="8" w:space="0" w:color="auto"/>
              <w:right w:val="single" w:sz="8" w:space="0" w:color="auto"/>
            </w:tcBorders>
            <w:shd w:val="clear" w:color="auto" w:fill="auto"/>
            <w:vAlign w:val="center"/>
          </w:tcPr>
          <w:p w14:paraId="26B621C2"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3439D287"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79.35%</w:t>
            </w:r>
          </w:p>
        </w:tc>
        <w:tc>
          <w:tcPr>
            <w:tcW w:w="624" w:type="pct"/>
            <w:tcBorders>
              <w:top w:val="nil"/>
              <w:left w:val="nil"/>
              <w:bottom w:val="single" w:sz="8" w:space="0" w:color="auto"/>
              <w:right w:val="single" w:sz="8" w:space="0" w:color="auto"/>
            </w:tcBorders>
            <w:shd w:val="clear" w:color="auto" w:fill="auto"/>
            <w:vAlign w:val="center"/>
          </w:tcPr>
          <w:p w14:paraId="294E6571"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88.22%</w:t>
            </w:r>
          </w:p>
        </w:tc>
      </w:tr>
      <w:tr w:rsidR="005C3D48" w:rsidRPr="00411D9E" w14:paraId="1E6006BF" w14:textId="77777777" w:rsidTr="00C268C9">
        <w:trPr>
          <w:trHeight w:val="144"/>
        </w:trPr>
        <w:tc>
          <w:tcPr>
            <w:tcW w:w="1655" w:type="pct"/>
            <w:shd w:val="clear" w:color="auto" w:fill="auto"/>
            <w:vAlign w:val="center"/>
            <w:hideMark/>
          </w:tcPr>
          <w:p w14:paraId="061917C2"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Satisfaction with health plan (Rating of 8–10) (Satisfaction with child's plan)</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0BB10FCC"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89.80%</w:t>
            </w:r>
          </w:p>
        </w:tc>
        <w:tc>
          <w:tcPr>
            <w:tcW w:w="629" w:type="pct"/>
            <w:tcBorders>
              <w:top w:val="nil"/>
              <w:left w:val="nil"/>
              <w:bottom w:val="single" w:sz="8" w:space="0" w:color="auto"/>
              <w:right w:val="single" w:sz="8" w:space="0" w:color="auto"/>
            </w:tcBorders>
            <w:shd w:val="clear" w:color="auto" w:fill="auto"/>
            <w:vAlign w:val="center"/>
          </w:tcPr>
          <w:p w14:paraId="22B7BFEE"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7E4AD77D"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93.19%</w:t>
            </w:r>
          </w:p>
        </w:tc>
        <w:tc>
          <w:tcPr>
            <w:tcW w:w="653" w:type="pct"/>
            <w:tcBorders>
              <w:top w:val="nil"/>
              <w:left w:val="nil"/>
              <w:bottom w:val="single" w:sz="8" w:space="0" w:color="auto"/>
              <w:right w:val="single" w:sz="8" w:space="0" w:color="auto"/>
            </w:tcBorders>
            <w:shd w:val="clear" w:color="auto" w:fill="auto"/>
            <w:vAlign w:val="center"/>
          </w:tcPr>
          <w:p w14:paraId="1839C1EF"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7AD1BA79"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87.53%</w:t>
            </w:r>
          </w:p>
        </w:tc>
        <w:tc>
          <w:tcPr>
            <w:tcW w:w="624" w:type="pct"/>
            <w:tcBorders>
              <w:top w:val="nil"/>
              <w:left w:val="nil"/>
              <w:bottom w:val="single" w:sz="8" w:space="0" w:color="auto"/>
              <w:right w:val="single" w:sz="8" w:space="0" w:color="auto"/>
            </w:tcBorders>
            <w:shd w:val="clear" w:color="auto" w:fill="auto"/>
            <w:vAlign w:val="center"/>
          </w:tcPr>
          <w:p w14:paraId="5AEBAD31"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87.29%</w:t>
            </w:r>
          </w:p>
        </w:tc>
      </w:tr>
      <w:tr w:rsidR="005C3D48" w:rsidRPr="00411D9E" w14:paraId="2D912814" w14:textId="77777777" w:rsidTr="00C268C9">
        <w:trPr>
          <w:trHeight w:val="144"/>
        </w:trPr>
        <w:tc>
          <w:tcPr>
            <w:tcW w:w="1655" w:type="pct"/>
            <w:shd w:val="clear" w:color="auto" w:fill="auto"/>
            <w:vAlign w:val="center"/>
            <w:hideMark/>
          </w:tcPr>
          <w:p w14:paraId="64EF8DF9"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Satisfaction with child's health care (Rating of 8–10)</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55267953"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94.81%</w:t>
            </w:r>
          </w:p>
        </w:tc>
        <w:tc>
          <w:tcPr>
            <w:tcW w:w="629" w:type="pct"/>
            <w:tcBorders>
              <w:top w:val="nil"/>
              <w:left w:val="nil"/>
              <w:bottom w:val="single" w:sz="8" w:space="0" w:color="auto"/>
              <w:right w:val="single" w:sz="8" w:space="0" w:color="auto"/>
            </w:tcBorders>
            <w:shd w:val="clear" w:color="auto" w:fill="auto"/>
            <w:vAlign w:val="center"/>
          </w:tcPr>
          <w:p w14:paraId="40094642"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3ED93B67"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92.44%</w:t>
            </w:r>
          </w:p>
        </w:tc>
        <w:tc>
          <w:tcPr>
            <w:tcW w:w="653" w:type="pct"/>
            <w:tcBorders>
              <w:top w:val="nil"/>
              <w:left w:val="nil"/>
              <w:bottom w:val="single" w:sz="8" w:space="0" w:color="auto"/>
              <w:right w:val="single" w:sz="8" w:space="0" w:color="auto"/>
            </w:tcBorders>
            <w:shd w:val="clear" w:color="auto" w:fill="auto"/>
            <w:vAlign w:val="center"/>
          </w:tcPr>
          <w:p w14:paraId="2EC8A7B3"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62D64A3A"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88.15%</w:t>
            </w:r>
          </w:p>
        </w:tc>
        <w:tc>
          <w:tcPr>
            <w:tcW w:w="624" w:type="pct"/>
            <w:tcBorders>
              <w:top w:val="nil"/>
              <w:left w:val="nil"/>
              <w:bottom w:val="single" w:sz="8" w:space="0" w:color="auto"/>
              <w:right w:val="single" w:sz="8" w:space="0" w:color="auto"/>
            </w:tcBorders>
            <w:shd w:val="clear" w:color="auto" w:fill="auto"/>
            <w:vAlign w:val="center"/>
          </w:tcPr>
          <w:p w14:paraId="51EA88DB"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90.78%</w:t>
            </w:r>
          </w:p>
        </w:tc>
      </w:tr>
      <w:tr w:rsidR="005C3D48" w:rsidRPr="00411D9E" w14:paraId="13133FC9" w14:textId="77777777" w:rsidTr="00C268C9">
        <w:trPr>
          <w:trHeight w:val="144"/>
        </w:trPr>
        <w:tc>
          <w:tcPr>
            <w:tcW w:w="5000" w:type="pct"/>
            <w:gridSpan w:val="7"/>
            <w:shd w:val="clear" w:color="auto" w:fill="CCC0D9" w:themeFill="accent4" w:themeFillTint="66"/>
            <w:vAlign w:val="bottom"/>
            <w:hideMark/>
          </w:tcPr>
          <w:p w14:paraId="34BB5E09" w14:textId="77777777" w:rsidR="005C3D48" w:rsidRPr="00411D9E" w:rsidRDefault="005C3D48" w:rsidP="00FF262E">
            <w:pPr>
              <w:ind w:left="90"/>
              <w:jc w:val="left"/>
              <w:rPr>
                <w:rFonts w:ascii="Calibri" w:eastAsia="Times New Roman" w:hAnsi="Calibri" w:cs="Times New Roman"/>
                <w:color w:val="000000" w:themeColor="text1"/>
                <w:sz w:val="20"/>
                <w:szCs w:val="20"/>
                <w:lang w:bidi="ar-SA"/>
              </w:rPr>
            </w:pPr>
            <w:r w:rsidRPr="00411D9E">
              <w:rPr>
                <w:rFonts w:ascii="Calibri" w:eastAsia="Times New Roman" w:hAnsi="Calibri" w:cs="Times New Roman"/>
                <w:bCs/>
                <w:color w:val="000000" w:themeColor="text1"/>
                <w:sz w:val="20"/>
                <w:szCs w:val="20"/>
                <w:lang w:bidi="ar-SA"/>
              </w:rPr>
              <w:t>Quality of Mental Health Care</w:t>
            </w:r>
          </w:p>
        </w:tc>
      </w:tr>
      <w:tr w:rsidR="005C3D48" w:rsidRPr="00411D9E" w14:paraId="747A075D" w14:textId="77777777" w:rsidTr="00C268C9">
        <w:trPr>
          <w:trHeight w:val="144"/>
        </w:trPr>
        <w:tc>
          <w:tcPr>
            <w:tcW w:w="1655" w:type="pct"/>
            <w:shd w:val="clear" w:color="auto" w:fill="auto"/>
            <w:vAlign w:val="center"/>
            <w:hideMark/>
          </w:tcPr>
          <w:p w14:paraId="6482C48E"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Received care for child's mental health from any provider? (Usually or Always)</w:t>
            </w:r>
          </w:p>
        </w:tc>
        <w:tc>
          <w:tcPr>
            <w:tcW w:w="423" w:type="pct"/>
            <w:tcBorders>
              <w:top w:val="nil"/>
              <w:left w:val="nil"/>
              <w:bottom w:val="single" w:sz="8" w:space="0" w:color="auto"/>
              <w:right w:val="single" w:sz="8" w:space="0" w:color="auto"/>
            </w:tcBorders>
            <w:shd w:val="clear" w:color="auto" w:fill="auto"/>
            <w:vAlign w:val="center"/>
          </w:tcPr>
          <w:p w14:paraId="07BB60D1"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8.97%</w:t>
            </w:r>
          </w:p>
        </w:tc>
        <w:tc>
          <w:tcPr>
            <w:tcW w:w="629" w:type="pct"/>
            <w:tcBorders>
              <w:top w:val="nil"/>
              <w:left w:val="nil"/>
              <w:bottom w:val="single" w:sz="8" w:space="0" w:color="auto"/>
              <w:right w:val="single" w:sz="8" w:space="0" w:color="auto"/>
            </w:tcBorders>
            <w:shd w:val="clear" w:color="auto" w:fill="auto"/>
            <w:vAlign w:val="center"/>
          </w:tcPr>
          <w:p w14:paraId="3A7DF49D"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0D1DF7D7"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16.67%</w:t>
            </w:r>
          </w:p>
        </w:tc>
        <w:tc>
          <w:tcPr>
            <w:tcW w:w="653" w:type="pct"/>
            <w:tcBorders>
              <w:top w:val="nil"/>
              <w:left w:val="nil"/>
              <w:bottom w:val="single" w:sz="8" w:space="0" w:color="auto"/>
              <w:right w:val="single" w:sz="8" w:space="0" w:color="auto"/>
            </w:tcBorders>
            <w:shd w:val="clear" w:color="auto" w:fill="auto"/>
            <w:vAlign w:val="center"/>
          </w:tcPr>
          <w:p w14:paraId="51B9AD8C"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5B43C7C6"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7.25%</w:t>
            </w:r>
          </w:p>
        </w:tc>
        <w:tc>
          <w:tcPr>
            <w:tcW w:w="624" w:type="pct"/>
            <w:tcBorders>
              <w:top w:val="nil"/>
              <w:left w:val="nil"/>
              <w:bottom w:val="single" w:sz="8" w:space="0" w:color="auto"/>
              <w:right w:val="single" w:sz="8" w:space="0" w:color="auto"/>
            </w:tcBorders>
            <w:shd w:val="clear" w:color="auto" w:fill="auto"/>
            <w:vAlign w:val="center"/>
          </w:tcPr>
          <w:p w14:paraId="5253D0B1"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11.23%</w:t>
            </w:r>
          </w:p>
        </w:tc>
      </w:tr>
      <w:tr w:rsidR="005C3D48" w:rsidRPr="00411D9E" w14:paraId="6DA7C098" w14:textId="77777777" w:rsidTr="00C268C9">
        <w:trPr>
          <w:trHeight w:val="144"/>
        </w:trPr>
        <w:tc>
          <w:tcPr>
            <w:tcW w:w="1655" w:type="pct"/>
            <w:shd w:val="clear" w:color="auto" w:fill="auto"/>
            <w:vAlign w:val="center"/>
            <w:hideMark/>
          </w:tcPr>
          <w:p w14:paraId="08797EAA"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Easy to get needed mental health care? (Usually or Always)</w:t>
            </w:r>
          </w:p>
        </w:tc>
        <w:tc>
          <w:tcPr>
            <w:tcW w:w="423" w:type="pct"/>
            <w:tcBorders>
              <w:top w:val="nil"/>
              <w:left w:val="nil"/>
              <w:bottom w:val="single" w:sz="8" w:space="0" w:color="auto"/>
              <w:right w:val="single" w:sz="8" w:space="0" w:color="auto"/>
            </w:tcBorders>
            <w:shd w:val="clear" w:color="auto" w:fill="auto"/>
            <w:vAlign w:val="center"/>
          </w:tcPr>
          <w:p w14:paraId="37FCE73F"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8.86%</w:t>
            </w:r>
          </w:p>
        </w:tc>
        <w:tc>
          <w:tcPr>
            <w:tcW w:w="629" w:type="pct"/>
            <w:tcBorders>
              <w:top w:val="nil"/>
              <w:left w:val="nil"/>
              <w:bottom w:val="single" w:sz="8" w:space="0" w:color="auto"/>
              <w:right w:val="single" w:sz="8" w:space="0" w:color="auto"/>
            </w:tcBorders>
            <w:shd w:val="clear" w:color="auto" w:fill="auto"/>
            <w:vAlign w:val="center"/>
          </w:tcPr>
          <w:p w14:paraId="7C402B28"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44C4A47A"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14.33%</w:t>
            </w:r>
          </w:p>
        </w:tc>
        <w:tc>
          <w:tcPr>
            <w:tcW w:w="653" w:type="pct"/>
            <w:tcBorders>
              <w:top w:val="nil"/>
              <w:left w:val="nil"/>
              <w:bottom w:val="single" w:sz="8" w:space="0" w:color="auto"/>
              <w:right w:val="single" w:sz="8" w:space="0" w:color="auto"/>
            </w:tcBorders>
            <w:shd w:val="clear" w:color="auto" w:fill="auto"/>
            <w:vAlign w:val="center"/>
          </w:tcPr>
          <w:p w14:paraId="46E6BB67"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1CB04B84"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45.83%</w:t>
            </w:r>
          </w:p>
        </w:tc>
        <w:tc>
          <w:tcPr>
            <w:tcW w:w="624" w:type="pct"/>
            <w:tcBorders>
              <w:top w:val="nil"/>
              <w:left w:val="nil"/>
              <w:bottom w:val="single" w:sz="8" w:space="0" w:color="auto"/>
              <w:right w:val="single" w:sz="8" w:space="0" w:color="auto"/>
            </w:tcBorders>
            <w:shd w:val="clear" w:color="auto" w:fill="auto"/>
            <w:vAlign w:val="center"/>
          </w:tcPr>
          <w:p w14:paraId="324DCC6A"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9.15%</w:t>
            </w:r>
          </w:p>
        </w:tc>
      </w:tr>
      <w:tr w:rsidR="005C3D48" w:rsidRPr="00411D9E" w14:paraId="2DAEF26C" w14:textId="77777777" w:rsidTr="00C268C9">
        <w:trPr>
          <w:trHeight w:val="144"/>
        </w:trPr>
        <w:tc>
          <w:tcPr>
            <w:tcW w:w="1655" w:type="pct"/>
            <w:shd w:val="clear" w:color="auto" w:fill="auto"/>
            <w:vAlign w:val="center"/>
            <w:hideMark/>
          </w:tcPr>
          <w:p w14:paraId="57946900"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Provider you would contact for mental health services? (PCP)</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738D007C"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65.93%</w:t>
            </w:r>
          </w:p>
        </w:tc>
        <w:tc>
          <w:tcPr>
            <w:tcW w:w="629" w:type="pct"/>
            <w:tcBorders>
              <w:top w:val="nil"/>
              <w:left w:val="nil"/>
              <w:bottom w:val="single" w:sz="8" w:space="0" w:color="auto"/>
              <w:right w:val="single" w:sz="8" w:space="0" w:color="auto"/>
            </w:tcBorders>
            <w:shd w:val="clear" w:color="auto" w:fill="auto"/>
            <w:vAlign w:val="center"/>
          </w:tcPr>
          <w:p w14:paraId="03588CF0"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77237846"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66.78%</w:t>
            </w:r>
          </w:p>
        </w:tc>
        <w:tc>
          <w:tcPr>
            <w:tcW w:w="653" w:type="pct"/>
            <w:tcBorders>
              <w:top w:val="nil"/>
              <w:left w:val="nil"/>
              <w:bottom w:val="single" w:sz="8" w:space="0" w:color="auto"/>
              <w:right w:val="single" w:sz="8" w:space="0" w:color="auto"/>
            </w:tcBorders>
            <w:shd w:val="clear" w:color="auto" w:fill="auto"/>
            <w:vAlign w:val="center"/>
          </w:tcPr>
          <w:p w14:paraId="26CA1243"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312B5F7F"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65.35%</w:t>
            </w:r>
          </w:p>
        </w:tc>
        <w:tc>
          <w:tcPr>
            <w:tcW w:w="624" w:type="pct"/>
            <w:tcBorders>
              <w:top w:val="nil"/>
              <w:left w:val="nil"/>
              <w:bottom w:val="single" w:sz="8" w:space="0" w:color="auto"/>
              <w:right w:val="single" w:sz="8" w:space="0" w:color="auto"/>
            </w:tcBorders>
            <w:shd w:val="clear" w:color="auto" w:fill="auto"/>
            <w:vAlign w:val="center"/>
          </w:tcPr>
          <w:p w14:paraId="67FB45BB"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65.87%</w:t>
            </w:r>
          </w:p>
        </w:tc>
      </w:tr>
      <w:tr w:rsidR="005C3D48" w:rsidRPr="00411D9E" w14:paraId="0B090081" w14:textId="77777777" w:rsidTr="00C268C9">
        <w:trPr>
          <w:trHeight w:val="144"/>
        </w:trPr>
        <w:tc>
          <w:tcPr>
            <w:tcW w:w="1655" w:type="pct"/>
            <w:shd w:val="clear" w:color="auto" w:fill="auto"/>
            <w:vAlign w:val="center"/>
            <w:hideMark/>
          </w:tcPr>
          <w:p w14:paraId="2B96EAC2" w14:textId="77777777" w:rsidR="005C3D48" w:rsidRPr="00411D9E" w:rsidRDefault="005C3D48" w:rsidP="00FF262E">
            <w:pPr>
              <w:ind w:left="90"/>
              <w:jc w:val="left"/>
              <w:rPr>
                <w:rFonts w:ascii="Calibri" w:eastAsia="Times New Roman" w:hAnsi="Calibri" w:cs="Times New Roman"/>
                <w:color w:val="000000"/>
                <w:sz w:val="20"/>
                <w:szCs w:val="20"/>
                <w:lang w:bidi="ar-SA"/>
              </w:rPr>
            </w:pPr>
            <w:r w:rsidRPr="00411D9E">
              <w:rPr>
                <w:rFonts w:ascii="Calibri" w:eastAsia="Times New Roman" w:hAnsi="Calibri" w:cs="Times New Roman"/>
                <w:color w:val="000000"/>
                <w:sz w:val="20"/>
                <w:szCs w:val="20"/>
                <w:lang w:bidi="ar-SA"/>
              </w:rPr>
              <w:t>Child's overall mental or emotional health? (Very good or Excellent)</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57B8DFEE"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76.92%</w:t>
            </w:r>
          </w:p>
        </w:tc>
        <w:tc>
          <w:tcPr>
            <w:tcW w:w="629" w:type="pct"/>
            <w:tcBorders>
              <w:top w:val="nil"/>
              <w:left w:val="nil"/>
              <w:bottom w:val="single" w:sz="8" w:space="0" w:color="auto"/>
              <w:right w:val="single" w:sz="8" w:space="0" w:color="auto"/>
            </w:tcBorders>
            <w:shd w:val="clear" w:color="auto" w:fill="auto"/>
            <w:vAlign w:val="center"/>
          </w:tcPr>
          <w:p w14:paraId="6A7383ED"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485" w:type="pct"/>
            <w:tcBorders>
              <w:top w:val="nil"/>
              <w:left w:val="nil"/>
              <w:bottom w:val="single" w:sz="8" w:space="0" w:color="auto"/>
              <w:right w:val="single" w:sz="8" w:space="0" w:color="auto"/>
            </w:tcBorders>
            <w:shd w:val="clear" w:color="auto" w:fill="auto"/>
            <w:vAlign w:val="center"/>
          </w:tcPr>
          <w:p w14:paraId="6C990C76"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83.59%</w:t>
            </w:r>
          </w:p>
        </w:tc>
        <w:tc>
          <w:tcPr>
            <w:tcW w:w="653" w:type="pct"/>
            <w:tcBorders>
              <w:top w:val="nil"/>
              <w:left w:val="nil"/>
              <w:bottom w:val="single" w:sz="8" w:space="0" w:color="auto"/>
              <w:right w:val="single" w:sz="8" w:space="0" w:color="auto"/>
            </w:tcBorders>
            <w:shd w:val="clear" w:color="auto" w:fill="auto"/>
            <w:vAlign w:val="center"/>
          </w:tcPr>
          <w:p w14:paraId="46800440" w14:textId="77777777" w:rsidR="005C3D48" w:rsidRPr="00411D9E" w:rsidRDefault="005C3D48" w:rsidP="00FF262E">
            <w:pPr>
              <w:jc w:val="center"/>
              <w:rPr>
                <w:rFonts w:ascii="Calibri" w:hAnsi="Calibri" w:cs="Calibri"/>
                <w:color w:val="000000"/>
                <w:sz w:val="20"/>
                <w:szCs w:val="20"/>
              </w:rPr>
            </w:pPr>
            <w:r w:rsidRPr="00411D9E">
              <w:rPr>
                <w:rFonts w:ascii="Arial" w:hAnsi="Arial" w:cs="Arial"/>
                <w:color w:val="000000"/>
                <w:sz w:val="20"/>
                <w:szCs w:val="20"/>
              </w:rPr>
              <w:t>▲</w:t>
            </w:r>
          </w:p>
        </w:tc>
        <w:tc>
          <w:tcPr>
            <w:tcW w:w="531" w:type="pct"/>
            <w:tcBorders>
              <w:top w:val="nil"/>
              <w:left w:val="nil"/>
              <w:bottom w:val="single" w:sz="8" w:space="0" w:color="auto"/>
              <w:right w:val="single" w:sz="8" w:space="0" w:color="auto"/>
            </w:tcBorders>
            <w:shd w:val="clear" w:color="auto" w:fill="auto"/>
            <w:vAlign w:val="center"/>
          </w:tcPr>
          <w:p w14:paraId="382FEEFB"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80.42%</w:t>
            </w:r>
          </w:p>
        </w:tc>
        <w:tc>
          <w:tcPr>
            <w:tcW w:w="624" w:type="pct"/>
            <w:tcBorders>
              <w:top w:val="nil"/>
              <w:left w:val="nil"/>
              <w:bottom w:val="single" w:sz="8" w:space="0" w:color="auto"/>
              <w:right w:val="single" w:sz="8" w:space="0" w:color="auto"/>
            </w:tcBorders>
            <w:shd w:val="clear" w:color="auto" w:fill="auto"/>
            <w:vAlign w:val="center"/>
          </w:tcPr>
          <w:p w14:paraId="21EFE3F5" w14:textId="77777777" w:rsidR="005C3D48" w:rsidRPr="00411D9E" w:rsidRDefault="005C3D48" w:rsidP="00FF262E">
            <w:pPr>
              <w:jc w:val="center"/>
              <w:rPr>
                <w:rFonts w:ascii="Calibri" w:hAnsi="Calibri" w:cs="Calibri"/>
                <w:color w:val="000000"/>
                <w:sz w:val="20"/>
                <w:szCs w:val="20"/>
              </w:rPr>
            </w:pPr>
            <w:r w:rsidRPr="00411D9E">
              <w:rPr>
                <w:rFonts w:ascii="Calibri" w:hAnsi="Calibri" w:cs="Calibri"/>
                <w:color w:val="000000"/>
                <w:sz w:val="20"/>
                <w:szCs w:val="20"/>
              </w:rPr>
              <w:t>76.42%</w:t>
            </w:r>
          </w:p>
        </w:tc>
      </w:tr>
    </w:tbl>
    <w:p w14:paraId="48502EE6" w14:textId="77777777" w:rsidR="00C268C9" w:rsidRPr="00411D9E" w:rsidRDefault="00C268C9" w:rsidP="00C268C9">
      <w:pPr>
        <w:rPr>
          <w:rFonts w:cstheme="minorHAnsi"/>
          <w:sz w:val="20"/>
          <w:szCs w:val="20"/>
        </w:rPr>
      </w:pPr>
      <w:r w:rsidRPr="00411D9E">
        <w:rPr>
          <w:rFonts w:ascii="Arial" w:hAnsi="Arial" w:cs="Arial"/>
          <w:sz w:val="20"/>
          <w:szCs w:val="20"/>
        </w:rPr>
        <w:t>▲▼</w:t>
      </w:r>
      <w:r w:rsidRPr="00411D9E">
        <w:rPr>
          <w:rFonts w:cstheme="minorHAnsi"/>
          <w:sz w:val="20"/>
          <w:szCs w:val="20"/>
        </w:rPr>
        <w:t xml:space="preserve"> = Performance increased (</w:t>
      </w:r>
      <w:r w:rsidRPr="00411D9E">
        <w:rPr>
          <w:rFonts w:ascii="Arial" w:hAnsi="Arial" w:cs="Arial"/>
          <w:sz w:val="20"/>
          <w:szCs w:val="20"/>
        </w:rPr>
        <w:t xml:space="preserve">▲) or decreased (▼) </w:t>
      </w:r>
      <w:r w:rsidRPr="00411D9E">
        <w:rPr>
          <w:rFonts w:cstheme="minorHAnsi"/>
          <w:sz w:val="20"/>
          <w:szCs w:val="20"/>
        </w:rPr>
        <w:t xml:space="preserve">compared to prior year’s rate.   </w:t>
      </w:r>
    </w:p>
    <w:p w14:paraId="47240C57" w14:textId="77777777" w:rsidR="00C268C9" w:rsidRPr="00411D9E" w:rsidRDefault="00C268C9" w:rsidP="00C268C9">
      <w:pPr>
        <w:rPr>
          <w:rFonts w:cstheme="minorHAnsi"/>
          <w:sz w:val="20"/>
          <w:szCs w:val="20"/>
        </w:rPr>
      </w:pPr>
      <w:r w:rsidRPr="00411D9E">
        <w:rPr>
          <w:rFonts w:cstheme="minorHAnsi"/>
          <w:sz w:val="20"/>
          <w:szCs w:val="20"/>
        </w:rPr>
        <w:t xml:space="preserve">Gray shaded boxes reflect rates above the MY 2020 MMC Weighted Average. </w:t>
      </w:r>
    </w:p>
    <w:p w14:paraId="6DC192C1" w14:textId="2E763F1C" w:rsidR="005C3D48" w:rsidRPr="00411D9E" w:rsidRDefault="00C268C9" w:rsidP="00A60B24">
      <w:pPr>
        <w:rPr>
          <w:sz w:val="20"/>
          <w:szCs w:val="20"/>
        </w:rPr>
      </w:pPr>
      <w:r w:rsidRPr="00411D9E">
        <w:rPr>
          <w:sz w:val="20"/>
          <w:szCs w:val="20"/>
        </w:rPr>
        <w:t xml:space="preserve">CAHPS: Consumer Assessment of Healthcare Providers and Systems; MY: measurement year; MMC: Medicaid </w:t>
      </w:r>
      <w:r w:rsidR="00E85A1A">
        <w:rPr>
          <w:sz w:val="20"/>
          <w:szCs w:val="20"/>
        </w:rPr>
        <w:t>M</w:t>
      </w:r>
      <w:r w:rsidRPr="00411D9E">
        <w:rPr>
          <w:sz w:val="20"/>
          <w:szCs w:val="20"/>
        </w:rPr>
        <w:t xml:space="preserve">anaged </w:t>
      </w:r>
      <w:r w:rsidR="00E85A1A">
        <w:rPr>
          <w:sz w:val="20"/>
          <w:szCs w:val="20"/>
        </w:rPr>
        <w:t>C</w:t>
      </w:r>
      <w:r w:rsidRPr="00411D9E">
        <w:rPr>
          <w:sz w:val="20"/>
          <w:szCs w:val="20"/>
        </w:rPr>
        <w:t>are; PCP: primary care provider.</w:t>
      </w:r>
    </w:p>
    <w:p w14:paraId="004F8183" w14:textId="77777777" w:rsidR="00C268C9" w:rsidRPr="00411D9E" w:rsidRDefault="00C268C9">
      <w:pPr>
        <w:rPr>
          <w:rFonts w:asciiTheme="majorHAnsi" w:eastAsiaTheme="majorEastAsia" w:hAnsiTheme="majorHAnsi" w:cstheme="majorBidi"/>
          <w:b/>
          <w:bCs/>
          <w:color w:val="365F91" w:themeColor="accent1" w:themeShade="BF"/>
          <w:sz w:val="28"/>
          <w:szCs w:val="28"/>
        </w:rPr>
      </w:pPr>
      <w:bookmarkStart w:id="163" w:name="_Toc70508388"/>
      <w:r w:rsidRPr="00411D9E">
        <w:br w:type="page"/>
      </w:r>
    </w:p>
    <w:p w14:paraId="580ED08C" w14:textId="0D93F5F5" w:rsidR="005C3D48" w:rsidRPr="00411D9E" w:rsidRDefault="005C3D48" w:rsidP="00DE51E7">
      <w:pPr>
        <w:pStyle w:val="Heading1"/>
      </w:pPr>
      <w:bookmarkStart w:id="164" w:name="_Toc99026961"/>
      <w:r w:rsidRPr="00411D9E">
        <w:lastRenderedPageBreak/>
        <w:t xml:space="preserve">III: </w:t>
      </w:r>
      <w:bookmarkStart w:id="165" w:name="_Toc92376749"/>
      <w:bookmarkStart w:id="166" w:name="_Hlk97728773"/>
      <w:bookmarkEnd w:id="163"/>
      <w:r w:rsidRPr="00411D9E">
        <w:t>Review of Compliance with Medicaid and CHIP Managed Care Regulations</w:t>
      </w:r>
      <w:bookmarkEnd w:id="164"/>
      <w:bookmarkEnd w:id="165"/>
      <w:bookmarkEnd w:id="166"/>
      <w:r w:rsidRPr="00411D9E">
        <w:t xml:space="preserve"> </w:t>
      </w:r>
    </w:p>
    <w:p w14:paraId="6303C05C" w14:textId="77777777" w:rsidR="00BA39B8" w:rsidRPr="00411D9E" w:rsidRDefault="00BA39B8" w:rsidP="00BA39B8">
      <w:pPr>
        <w:pStyle w:val="Heading2"/>
      </w:pPr>
      <w:bookmarkStart w:id="167" w:name="_Toc99026962"/>
      <w:bookmarkStart w:id="168" w:name="_Toc512601891"/>
      <w:r w:rsidRPr="00411D9E">
        <w:t>Objectives</w:t>
      </w:r>
      <w:bookmarkEnd w:id="167"/>
    </w:p>
    <w:p w14:paraId="406589D4" w14:textId="77777777" w:rsidR="005C3D48" w:rsidRPr="00411D9E" w:rsidRDefault="005C3D48" w:rsidP="005C3D48">
      <w:r w:rsidRPr="00411D9E">
        <w:t>This section of the EQR report presents a review of the CHIP MCO’s compliance with its contract and with state and federal regulations. The review is based on information derived from reviews of the MCO that were conducted by PA CHIP within the past three years, most typically within the immediately preceding year. Compliance reviews are conducted by CHIP on a recurring basis.</w:t>
      </w:r>
    </w:p>
    <w:p w14:paraId="126555D9" w14:textId="77777777" w:rsidR="005C3D48" w:rsidRPr="00411D9E" w:rsidRDefault="005C3D48" w:rsidP="005C3D48"/>
    <w:p w14:paraId="549B126A" w14:textId="77777777" w:rsidR="005C3D48" w:rsidRPr="00411D9E" w:rsidRDefault="005C3D48" w:rsidP="005C3D48">
      <w:r w:rsidRPr="00411D9E">
        <w:t xml:space="preserve">The SMART items are a comprehensive set of monitoring items that have been developed by PA DHS from the managed care regulations.  PA CHIP staff reviews SMART items on an ongoing basis for each CHIP MCO as part of their compliance review. These items vary in review periodicity as determined by CHIP and reviews typically occur annually or as needed.  </w:t>
      </w:r>
    </w:p>
    <w:p w14:paraId="5C1E4945" w14:textId="77777777" w:rsidR="005C3D48" w:rsidRPr="00411D9E" w:rsidRDefault="005C3D48" w:rsidP="005C3D48"/>
    <w:p w14:paraId="10EDB0F7" w14:textId="5558316D" w:rsidR="005C3D48" w:rsidRPr="00411D9E" w:rsidRDefault="005C3D48" w:rsidP="005C3D48">
      <w:r w:rsidRPr="00411D9E">
        <w:t>Prior to the audit, CHIP MCOs provide documents to CHIP for review, which address various areas of compliance. This includes training materials, provider manuals, MCO organization charts, policy and procedure manuals, and geo access maps. These items are also used to assess the MCOs overall operational, fiscal, and programmatic activities to ensure compliance with contractual obligations. Federal and state law require that CHIP conduct monitoring and oversight of its MCOs. For the current review year, reviews were performed virtually due to the public health emergency</w:t>
      </w:r>
      <w:r w:rsidR="00E45F45">
        <w:t>.</w:t>
      </w:r>
    </w:p>
    <w:p w14:paraId="09AA9F7E" w14:textId="77777777" w:rsidR="005C3D48" w:rsidRPr="00411D9E" w:rsidRDefault="005C3D48" w:rsidP="005C3D48"/>
    <w:p w14:paraId="71B55B3E" w14:textId="77777777" w:rsidR="005C3D48" w:rsidRPr="00411D9E" w:rsidRDefault="005C3D48" w:rsidP="005C3D48">
      <w:r w:rsidRPr="00411D9E">
        <w:t>Throughout the audit, these areas of compliance are discussed with the MCO and clarifying information is provided, where possible. Discussions that occur are compiled along with the reviewed documentation to provide a final determination of compliance, partial compliance, or non-compliance for each section.</w:t>
      </w:r>
    </w:p>
    <w:p w14:paraId="557A5BBF" w14:textId="77777777" w:rsidR="005C3D48" w:rsidRPr="00411D9E" w:rsidRDefault="005C3D48" w:rsidP="00DE51E7">
      <w:pPr>
        <w:pStyle w:val="Heading2"/>
      </w:pPr>
      <w:bookmarkStart w:id="169" w:name="_Hlk97729154"/>
      <w:bookmarkStart w:id="170" w:name="_Toc447110534"/>
      <w:bookmarkStart w:id="171" w:name="_Toc448738378"/>
      <w:bookmarkStart w:id="172" w:name="_Toc512521013"/>
      <w:bookmarkStart w:id="173" w:name="_Toc66956535"/>
      <w:bookmarkStart w:id="174" w:name="_Toc68527439"/>
      <w:bookmarkStart w:id="175" w:name="_Toc70508389"/>
      <w:bookmarkStart w:id="176" w:name="_Toc99026963"/>
      <w:r w:rsidRPr="00411D9E">
        <w:t>Description of Data Obtained</w:t>
      </w:r>
      <w:bookmarkEnd w:id="169"/>
      <w:bookmarkEnd w:id="170"/>
      <w:bookmarkEnd w:id="171"/>
      <w:bookmarkEnd w:id="172"/>
      <w:bookmarkEnd w:id="173"/>
      <w:bookmarkEnd w:id="174"/>
      <w:bookmarkEnd w:id="175"/>
      <w:bookmarkEnd w:id="176"/>
    </w:p>
    <w:p w14:paraId="521EA2E6" w14:textId="77777777" w:rsidR="005C3D48" w:rsidRPr="00411D9E" w:rsidRDefault="005C3D48" w:rsidP="005C3D48">
      <w:r w:rsidRPr="00411D9E">
        <w:t>The documents used by IPRO for the current review include the SMART database findings completed by PA CHIP staff as of December 31, 2020</w:t>
      </w:r>
      <w:r w:rsidRPr="00411D9E">
        <w:rPr>
          <w:rFonts w:cs="Arial"/>
        </w:rPr>
        <w:t xml:space="preserve"> for Review Year (RY) 2020</w:t>
      </w:r>
      <w:r w:rsidRPr="00411D9E">
        <w:t xml:space="preserve">. </w:t>
      </w:r>
      <w:r w:rsidRPr="00411D9E">
        <w:rPr>
          <w:rFonts w:cs="Arial"/>
        </w:rPr>
        <w:t xml:space="preserve">Historically, regulatory requirements were grouped to corresponding BBA regulation subparts based on CHIP’s on-site review findings. Beginning in 2020, findings are reported by IPRO using the SMART database completed by PA CHIP staff. The SMART items provide the information necessary for this review. The SMART items and their associated review findings for this year are maintained in a database. The SMART database has been maintained internally at DHS CHIP since Review Year (RY) 2019 and will continue going forward for future review years. </w:t>
      </w:r>
      <w:r w:rsidRPr="00411D9E">
        <w:t xml:space="preserve">IPRO reviewed the elements in the SMART item list and created a crosswalk to pertinent BBA regulations. A total of 44 items were identified that were relevant to evaluation of MCO compliance with the BBA regulations. </w:t>
      </w:r>
    </w:p>
    <w:p w14:paraId="7C5C3CB3" w14:textId="77777777" w:rsidR="005C3D48" w:rsidRPr="00411D9E" w:rsidRDefault="005C3D48" w:rsidP="005C3D48"/>
    <w:p w14:paraId="7991957C" w14:textId="77777777" w:rsidR="005C3D48" w:rsidRPr="00411D9E" w:rsidRDefault="005C3D48" w:rsidP="005C3D48">
      <w:r w:rsidRPr="00411D9E">
        <w:t xml:space="preserve">The format for this section of the report was developed to be consistent with the subparts prescribed by BBA regulations. This document groups the regulatory requirements under subject headings that are consistent with the subparts set out in the BBA regulations that were updated in 2016 and finalized in late 2019.  These requirements are described in the CMS EQR Protocol: </w:t>
      </w:r>
      <w:r w:rsidRPr="00411D9E">
        <w:rPr>
          <w:i/>
        </w:rPr>
        <w:t>Review of Compliance with Medicaid and CHIP Managed Care Regulations</w:t>
      </w:r>
      <w:r w:rsidRPr="00411D9E">
        <w:t>. Under each subpart heading fall the individual regulatory categories appropriate to those headings. IPRO’s findings are presented in a manner consistent with the subparts in the BBA regulations explained in the Protocol, i.e., Subpart D – MCO, Prepaid Inpatient Health Plan (PIHP) and Prepaid Ambulatory Health Plan (PAHP) Standards and Subpart E – Quality Measurement and Improvement.</w:t>
      </w:r>
    </w:p>
    <w:p w14:paraId="6120BCFE" w14:textId="77777777" w:rsidR="005C3D48" w:rsidRPr="00411D9E" w:rsidRDefault="005C3D48" w:rsidP="005C3D48"/>
    <w:p w14:paraId="180D66FE" w14:textId="2961F764" w:rsidR="005C3D48" w:rsidRPr="00411D9E" w:rsidRDefault="005C3D48" w:rsidP="005C3D48">
      <w:r w:rsidRPr="00411D9E">
        <w:t xml:space="preserve">The crosswalk links SMART items to specific provisions of the regulations, where possible. </w:t>
      </w:r>
      <w:r w:rsidRPr="00411D9E">
        <w:rPr>
          <w:b/>
        </w:rPr>
        <w:t>Table 3.1</w:t>
      </w:r>
      <w:r w:rsidRPr="00411D9E">
        <w:t xml:space="preserve"> provides a count of items linked to each standard designated in the protocols as subject to compliance review.  The </w:t>
      </w:r>
      <w:r w:rsidRPr="00411D9E">
        <w:rPr>
          <w:b/>
        </w:rPr>
        <w:t>Appendix</w:t>
      </w:r>
      <w:r w:rsidRPr="00411D9E">
        <w:t xml:space="preserve"> lists all standards that can be included in compliance review, either directly through one of the 11 required standards below or indirectly through interaction with Subparts D and E.</w:t>
      </w:r>
    </w:p>
    <w:p w14:paraId="7DEE9C6C" w14:textId="77777777" w:rsidR="00BC31AE" w:rsidRPr="00411D9E" w:rsidRDefault="00BC31AE">
      <w:pPr>
        <w:rPr>
          <w:rFonts w:asciiTheme="majorHAnsi" w:eastAsiaTheme="majorEastAsia" w:hAnsiTheme="majorHAnsi" w:cstheme="majorBidi"/>
          <w:bCs/>
          <w:iCs/>
          <w:color w:val="244061" w:themeColor="accent1" w:themeShade="80"/>
        </w:rPr>
      </w:pPr>
      <w:bookmarkStart w:id="177" w:name="_Toc68527468"/>
      <w:bookmarkStart w:id="178" w:name="_Toc70508418"/>
      <w:r w:rsidRPr="00411D9E">
        <w:br w:type="page"/>
      </w:r>
    </w:p>
    <w:p w14:paraId="5534E05C" w14:textId="5365A819" w:rsidR="005C3D48" w:rsidRPr="00411D9E" w:rsidRDefault="005C3D48" w:rsidP="005243E4">
      <w:pPr>
        <w:pStyle w:val="tableheading"/>
      </w:pPr>
      <w:bookmarkStart w:id="179" w:name="_Toc99026995"/>
      <w:r w:rsidRPr="00411D9E">
        <w:lastRenderedPageBreak/>
        <w:t>Table 3.1: SMART Items Count per Regulation</w:t>
      </w:r>
      <w:bookmarkEnd w:id="177"/>
      <w:bookmarkEnd w:id="178"/>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3"/>
        <w:gridCol w:w="1472"/>
        <w:gridCol w:w="1275"/>
      </w:tblGrid>
      <w:tr w:rsidR="005C3D48" w:rsidRPr="00411D9E" w14:paraId="155BD97B" w14:textId="77777777" w:rsidTr="00BC31AE">
        <w:trPr>
          <w:trHeight w:val="188"/>
          <w:tblHeader/>
        </w:trPr>
        <w:tc>
          <w:tcPr>
            <w:tcW w:w="3727" w:type="pct"/>
            <w:shd w:val="clear" w:color="auto" w:fill="5F497A" w:themeFill="accent4" w:themeFillShade="BF"/>
            <w:vAlign w:val="center"/>
          </w:tcPr>
          <w:p w14:paraId="68900B33" w14:textId="77777777" w:rsidR="005C3D48" w:rsidRPr="00411D9E" w:rsidRDefault="005C3D48" w:rsidP="005C3D48">
            <w:pPr>
              <w:jc w:val="left"/>
              <w:rPr>
                <w:rFonts w:cstheme="minorHAnsi"/>
                <w:b/>
                <w:bCs/>
                <w:color w:val="FFFFFF" w:themeColor="background1"/>
              </w:rPr>
            </w:pPr>
            <w:bookmarkStart w:id="180" w:name="_Toc447110535"/>
            <w:bookmarkStart w:id="181" w:name="_Toc448738379"/>
            <w:bookmarkStart w:id="182" w:name="_Toc512521014"/>
            <w:smartTag w:uri="urn:schemas-microsoft-com:office:smarttags" w:element="stockticker">
              <w:r w:rsidRPr="00411D9E">
                <w:rPr>
                  <w:rFonts w:cstheme="minorHAnsi"/>
                  <w:b/>
                  <w:bCs/>
                  <w:color w:val="FFFFFF" w:themeColor="background1"/>
                </w:rPr>
                <w:t>BBA</w:t>
              </w:r>
            </w:smartTag>
            <w:r w:rsidRPr="00411D9E">
              <w:rPr>
                <w:rFonts w:cstheme="minorHAnsi"/>
                <w:b/>
                <w:bCs/>
                <w:color w:val="FFFFFF" w:themeColor="background1"/>
              </w:rPr>
              <w:t xml:space="preserve"> Regulation</w:t>
            </w:r>
          </w:p>
        </w:tc>
        <w:tc>
          <w:tcPr>
            <w:tcW w:w="682" w:type="pct"/>
            <w:shd w:val="clear" w:color="auto" w:fill="5F497A" w:themeFill="accent4" w:themeFillShade="BF"/>
            <w:vAlign w:val="center"/>
          </w:tcPr>
          <w:p w14:paraId="790AA54D" w14:textId="77777777" w:rsidR="005C3D48" w:rsidRPr="00411D9E" w:rsidRDefault="005C3D48" w:rsidP="005C3D48">
            <w:pPr>
              <w:jc w:val="center"/>
              <w:rPr>
                <w:rFonts w:cstheme="minorHAnsi"/>
                <w:b/>
                <w:bCs/>
                <w:color w:val="FFFFFF" w:themeColor="background1"/>
              </w:rPr>
            </w:pPr>
            <w:r w:rsidRPr="00411D9E">
              <w:rPr>
                <w:rFonts w:cstheme="minorHAnsi"/>
                <w:b/>
                <w:bCs/>
                <w:color w:val="FFFFFF" w:themeColor="background1"/>
              </w:rPr>
              <w:t>CHIP Citation</w:t>
            </w:r>
          </w:p>
        </w:tc>
        <w:tc>
          <w:tcPr>
            <w:tcW w:w="591" w:type="pct"/>
            <w:shd w:val="clear" w:color="auto" w:fill="5F497A" w:themeFill="accent4" w:themeFillShade="BF"/>
          </w:tcPr>
          <w:p w14:paraId="28746BE4" w14:textId="77777777" w:rsidR="005C3D48" w:rsidRPr="00411D9E" w:rsidRDefault="005C3D48" w:rsidP="005C3D48">
            <w:pPr>
              <w:jc w:val="center"/>
              <w:rPr>
                <w:rFonts w:cstheme="minorHAnsi"/>
                <w:b/>
                <w:bCs/>
                <w:color w:val="FFFFFF" w:themeColor="background1"/>
              </w:rPr>
            </w:pPr>
            <w:r w:rsidRPr="00411D9E">
              <w:rPr>
                <w:rFonts w:cstheme="minorHAnsi"/>
                <w:b/>
                <w:bCs/>
                <w:color w:val="FFFFFF" w:themeColor="background1"/>
              </w:rPr>
              <w:t>SMART Items</w:t>
            </w:r>
          </w:p>
        </w:tc>
      </w:tr>
      <w:tr w:rsidR="005C3D48" w:rsidRPr="00411D9E" w14:paraId="743CAA70" w14:textId="77777777" w:rsidTr="00BC31AE">
        <w:trPr>
          <w:trHeight w:val="98"/>
        </w:trPr>
        <w:tc>
          <w:tcPr>
            <w:tcW w:w="4409" w:type="pct"/>
            <w:gridSpan w:val="2"/>
            <w:shd w:val="clear" w:color="auto" w:fill="CCC0D9" w:themeFill="accent4" w:themeFillTint="66"/>
            <w:vAlign w:val="center"/>
          </w:tcPr>
          <w:p w14:paraId="7FB2FA61" w14:textId="77777777" w:rsidR="005C3D48" w:rsidRPr="00411D9E" w:rsidRDefault="005C3D48" w:rsidP="005C3D48">
            <w:pPr>
              <w:jc w:val="left"/>
              <w:rPr>
                <w:rFonts w:cstheme="minorHAnsi"/>
                <w:b/>
                <w:bCs/>
              </w:rPr>
            </w:pPr>
            <w:r w:rsidRPr="00411D9E">
              <w:rPr>
                <w:rFonts w:cstheme="minorHAnsi"/>
                <w:b/>
                <w:bCs/>
              </w:rPr>
              <w:t>Subpart D: MCO, PIHP and PAHP Standards</w:t>
            </w:r>
          </w:p>
        </w:tc>
        <w:tc>
          <w:tcPr>
            <w:tcW w:w="591" w:type="pct"/>
            <w:shd w:val="clear" w:color="auto" w:fill="CCC0D9" w:themeFill="accent4" w:themeFillTint="66"/>
          </w:tcPr>
          <w:p w14:paraId="103C4C02" w14:textId="77777777" w:rsidR="005C3D48" w:rsidRPr="00411D9E" w:rsidRDefault="005C3D48" w:rsidP="005C3D48">
            <w:pPr>
              <w:jc w:val="left"/>
              <w:rPr>
                <w:rFonts w:cstheme="minorHAnsi"/>
                <w:b/>
                <w:bCs/>
              </w:rPr>
            </w:pPr>
          </w:p>
        </w:tc>
      </w:tr>
      <w:tr w:rsidR="005C3D48" w:rsidRPr="00411D9E" w14:paraId="54889942" w14:textId="77777777" w:rsidTr="00BC31AE">
        <w:trPr>
          <w:trHeight w:val="332"/>
        </w:trPr>
        <w:tc>
          <w:tcPr>
            <w:tcW w:w="3727" w:type="pct"/>
            <w:vAlign w:val="center"/>
          </w:tcPr>
          <w:p w14:paraId="56636FFD" w14:textId="77777777" w:rsidR="005C3D48" w:rsidRPr="00411D9E" w:rsidRDefault="005C3D48" w:rsidP="005C3D48">
            <w:pPr>
              <w:jc w:val="left"/>
              <w:rPr>
                <w:rFonts w:cstheme="minorHAnsi"/>
              </w:rPr>
            </w:pPr>
            <w:r w:rsidRPr="00411D9E">
              <w:rPr>
                <w:rFonts w:cstheme="minorHAnsi"/>
              </w:rPr>
              <w:t>Availability of services</w:t>
            </w:r>
          </w:p>
        </w:tc>
        <w:tc>
          <w:tcPr>
            <w:tcW w:w="682" w:type="pct"/>
            <w:vAlign w:val="center"/>
          </w:tcPr>
          <w:p w14:paraId="3FCC2CEE" w14:textId="77777777" w:rsidR="005C3D48" w:rsidRPr="00411D9E" w:rsidRDefault="005C3D48" w:rsidP="005C3D48">
            <w:pPr>
              <w:jc w:val="center"/>
              <w:rPr>
                <w:rFonts w:cstheme="minorHAnsi"/>
              </w:rPr>
            </w:pPr>
            <w:r w:rsidRPr="00411D9E">
              <w:rPr>
                <w:rFonts w:cstheme="minorHAnsi"/>
              </w:rPr>
              <w:t>457.1230(a)</w:t>
            </w:r>
          </w:p>
        </w:tc>
        <w:tc>
          <w:tcPr>
            <w:tcW w:w="591" w:type="pct"/>
            <w:vAlign w:val="center"/>
          </w:tcPr>
          <w:p w14:paraId="16E46F25" w14:textId="77777777" w:rsidR="005C3D48" w:rsidRPr="00411D9E" w:rsidRDefault="005C3D48" w:rsidP="005C3D48">
            <w:pPr>
              <w:jc w:val="center"/>
              <w:rPr>
                <w:rFonts w:cstheme="minorHAnsi"/>
                <w:bCs/>
              </w:rPr>
            </w:pPr>
            <w:r w:rsidRPr="00411D9E">
              <w:rPr>
                <w:rFonts w:cstheme="minorHAnsi"/>
                <w:bCs/>
              </w:rPr>
              <w:t>3</w:t>
            </w:r>
          </w:p>
        </w:tc>
      </w:tr>
      <w:tr w:rsidR="005C3D48" w:rsidRPr="00411D9E" w14:paraId="5AFB6EB7" w14:textId="77777777" w:rsidTr="00BC31AE">
        <w:trPr>
          <w:trHeight w:val="278"/>
        </w:trPr>
        <w:tc>
          <w:tcPr>
            <w:tcW w:w="3727" w:type="pct"/>
            <w:vAlign w:val="center"/>
          </w:tcPr>
          <w:p w14:paraId="176C695F" w14:textId="77777777" w:rsidR="005C3D48" w:rsidRPr="00411D9E" w:rsidRDefault="005C3D48" w:rsidP="005C3D48">
            <w:pPr>
              <w:jc w:val="left"/>
              <w:rPr>
                <w:rFonts w:cstheme="minorHAnsi"/>
              </w:rPr>
            </w:pPr>
            <w:r w:rsidRPr="00411D9E">
              <w:rPr>
                <w:rFonts w:cstheme="minorHAnsi"/>
              </w:rPr>
              <w:t>Assurances of adequate capacity and services</w:t>
            </w:r>
          </w:p>
        </w:tc>
        <w:tc>
          <w:tcPr>
            <w:tcW w:w="682" w:type="pct"/>
            <w:vAlign w:val="center"/>
          </w:tcPr>
          <w:p w14:paraId="351326AC" w14:textId="77777777" w:rsidR="005C3D48" w:rsidRPr="00411D9E" w:rsidRDefault="005C3D48" w:rsidP="005C3D48">
            <w:pPr>
              <w:jc w:val="center"/>
              <w:rPr>
                <w:rFonts w:cstheme="minorHAnsi"/>
              </w:rPr>
            </w:pPr>
            <w:r w:rsidRPr="00411D9E">
              <w:rPr>
                <w:rFonts w:cstheme="minorHAnsi"/>
              </w:rPr>
              <w:t>457.1230(b)</w:t>
            </w:r>
          </w:p>
        </w:tc>
        <w:tc>
          <w:tcPr>
            <w:tcW w:w="591" w:type="pct"/>
            <w:vAlign w:val="center"/>
          </w:tcPr>
          <w:p w14:paraId="3ABF6110" w14:textId="77777777" w:rsidR="005C3D48" w:rsidRPr="00411D9E" w:rsidRDefault="005C3D48" w:rsidP="005C3D48">
            <w:pPr>
              <w:jc w:val="center"/>
              <w:rPr>
                <w:rFonts w:cstheme="minorHAnsi"/>
                <w:bCs/>
              </w:rPr>
            </w:pPr>
            <w:r w:rsidRPr="00411D9E">
              <w:rPr>
                <w:rFonts w:cstheme="minorHAnsi"/>
                <w:bCs/>
              </w:rPr>
              <w:t>1</w:t>
            </w:r>
          </w:p>
        </w:tc>
      </w:tr>
      <w:tr w:rsidR="005C3D48" w:rsidRPr="00411D9E" w14:paraId="5652A946" w14:textId="77777777" w:rsidTr="00BC31AE">
        <w:trPr>
          <w:trHeight w:val="332"/>
        </w:trPr>
        <w:tc>
          <w:tcPr>
            <w:tcW w:w="3727" w:type="pct"/>
            <w:vAlign w:val="center"/>
          </w:tcPr>
          <w:p w14:paraId="7AD33C64" w14:textId="77777777" w:rsidR="005C3D48" w:rsidRPr="00411D9E" w:rsidRDefault="005C3D48" w:rsidP="005C3D48">
            <w:pPr>
              <w:jc w:val="left"/>
              <w:rPr>
                <w:rFonts w:cstheme="minorHAnsi"/>
              </w:rPr>
            </w:pPr>
            <w:r w:rsidRPr="00411D9E">
              <w:rPr>
                <w:rFonts w:cstheme="minorHAnsi"/>
              </w:rPr>
              <w:t>Coordination and continuity of care</w:t>
            </w:r>
          </w:p>
        </w:tc>
        <w:tc>
          <w:tcPr>
            <w:tcW w:w="682" w:type="pct"/>
            <w:vAlign w:val="center"/>
          </w:tcPr>
          <w:p w14:paraId="14C0C756" w14:textId="77777777" w:rsidR="005C3D48" w:rsidRPr="00411D9E" w:rsidRDefault="005C3D48" w:rsidP="005C3D48">
            <w:pPr>
              <w:jc w:val="center"/>
              <w:rPr>
                <w:rFonts w:cstheme="minorHAnsi"/>
              </w:rPr>
            </w:pPr>
            <w:r w:rsidRPr="00411D9E">
              <w:rPr>
                <w:rFonts w:cstheme="minorHAnsi"/>
              </w:rPr>
              <w:t>457.1230(c)</w:t>
            </w:r>
          </w:p>
        </w:tc>
        <w:tc>
          <w:tcPr>
            <w:tcW w:w="591" w:type="pct"/>
            <w:vAlign w:val="center"/>
          </w:tcPr>
          <w:p w14:paraId="42ABDD39" w14:textId="77777777" w:rsidR="005C3D48" w:rsidRPr="00411D9E" w:rsidRDefault="005C3D48" w:rsidP="005C3D48">
            <w:pPr>
              <w:jc w:val="center"/>
              <w:rPr>
                <w:rFonts w:cstheme="minorHAnsi"/>
                <w:bCs/>
              </w:rPr>
            </w:pPr>
            <w:r w:rsidRPr="00411D9E">
              <w:rPr>
                <w:rFonts w:cstheme="minorHAnsi"/>
                <w:bCs/>
              </w:rPr>
              <w:t>2</w:t>
            </w:r>
          </w:p>
        </w:tc>
      </w:tr>
      <w:tr w:rsidR="005C3D48" w:rsidRPr="00411D9E" w14:paraId="7B575DF5" w14:textId="77777777" w:rsidTr="00BC31AE">
        <w:trPr>
          <w:trHeight w:val="170"/>
        </w:trPr>
        <w:tc>
          <w:tcPr>
            <w:tcW w:w="3727" w:type="pct"/>
            <w:vAlign w:val="center"/>
          </w:tcPr>
          <w:p w14:paraId="3C34CCE7" w14:textId="77777777" w:rsidR="005C3D48" w:rsidRPr="00411D9E" w:rsidRDefault="005C3D48" w:rsidP="005C3D48">
            <w:pPr>
              <w:jc w:val="left"/>
              <w:rPr>
                <w:rFonts w:cstheme="minorHAnsi"/>
              </w:rPr>
            </w:pPr>
            <w:r w:rsidRPr="00411D9E">
              <w:rPr>
                <w:rFonts w:cstheme="minorHAnsi"/>
              </w:rPr>
              <w:t>Coverage and authorization of services</w:t>
            </w:r>
          </w:p>
        </w:tc>
        <w:tc>
          <w:tcPr>
            <w:tcW w:w="682" w:type="pct"/>
            <w:vAlign w:val="center"/>
          </w:tcPr>
          <w:p w14:paraId="50A59807" w14:textId="77777777" w:rsidR="005C3D48" w:rsidRPr="00411D9E" w:rsidRDefault="005C3D48" w:rsidP="005C3D48">
            <w:pPr>
              <w:jc w:val="center"/>
              <w:rPr>
                <w:rFonts w:cstheme="minorHAnsi"/>
              </w:rPr>
            </w:pPr>
            <w:r w:rsidRPr="00411D9E">
              <w:rPr>
                <w:rFonts w:cstheme="minorHAnsi"/>
              </w:rPr>
              <w:t>457.1230(d)</w:t>
            </w:r>
          </w:p>
        </w:tc>
        <w:tc>
          <w:tcPr>
            <w:tcW w:w="591" w:type="pct"/>
            <w:vAlign w:val="center"/>
          </w:tcPr>
          <w:p w14:paraId="7BC623C6" w14:textId="77777777" w:rsidR="005C3D48" w:rsidRPr="00411D9E" w:rsidRDefault="005C3D48" w:rsidP="005C3D48">
            <w:pPr>
              <w:jc w:val="center"/>
              <w:rPr>
                <w:rFonts w:cstheme="minorHAnsi"/>
                <w:bCs/>
              </w:rPr>
            </w:pPr>
            <w:r w:rsidRPr="00411D9E">
              <w:rPr>
                <w:rFonts w:cstheme="minorHAnsi"/>
                <w:bCs/>
              </w:rPr>
              <w:t>2</w:t>
            </w:r>
          </w:p>
        </w:tc>
      </w:tr>
      <w:tr w:rsidR="005C3D48" w:rsidRPr="00411D9E" w14:paraId="4C53E94A" w14:textId="77777777" w:rsidTr="00BC31AE">
        <w:trPr>
          <w:trHeight w:val="70"/>
        </w:trPr>
        <w:tc>
          <w:tcPr>
            <w:tcW w:w="3727" w:type="pct"/>
            <w:vAlign w:val="center"/>
          </w:tcPr>
          <w:p w14:paraId="61BC8A18" w14:textId="77777777" w:rsidR="005C3D48" w:rsidRPr="00411D9E" w:rsidRDefault="005C3D48" w:rsidP="005C3D48">
            <w:pPr>
              <w:jc w:val="left"/>
              <w:rPr>
                <w:rFonts w:cstheme="minorHAnsi"/>
              </w:rPr>
            </w:pPr>
            <w:r w:rsidRPr="00411D9E">
              <w:rPr>
                <w:rFonts w:cstheme="minorHAnsi"/>
              </w:rPr>
              <w:t>Provider selection</w:t>
            </w:r>
          </w:p>
        </w:tc>
        <w:tc>
          <w:tcPr>
            <w:tcW w:w="682" w:type="pct"/>
            <w:vAlign w:val="center"/>
          </w:tcPr>
          <w:p w14:paraId="190AB1EF" w14:textId="77777777" w:rsidR="005C3D48" w:rsidRPr="00411D9E" w:rsidRDefault="005C3D48" w:rsidP="005C3D48">
            <w:pPr>
              <w:jc w:val="center"/>
              <w:rPr>
                <w:rFonts w:cstheme="minorHAnsi"/>
              </w:rPr>
            </w:pPr>
            <w:r w:rsidRPr="00411D9E">
              <w:rPr>
                <w:rFonts w:cstheme="minorHAnsi"/>
              </w:rPr>
              <w:t>457.1233(a)</w:t>
            </w:r>
          </w:p>
        </w:tc>
        <w:tc>
          <w:tcPr>
            <w:tcW w:w="591" w:type="pct"/>
            <w:vAlign w:val="center"/>
          </w:tcPr>
          <w:p w14:paraId="4A58D0ED" w14:textId="77777777" w:rsidR="005C3D48" w:rsidRPr="00411D9E" w:rsidRDefault="005C3D48" w:rsidP="005C3D48">
            <w:pPr>
              <w:jc w:val="center"/>
              <w:rPr>
                <w:rFonts w:cstheme="minorHAnsi"/>
                <w:bCs/>
              </w:rPr>
            </w:pPr>
            <w:r w:rsidRPr="00411D9E">
              <w:rPr>
                <w:rFonts w:cstheme="minorHAnsi"/>
                <w:bCs/>
              </w:rPr>
              <w:t>2</w:t>
            </w:r>
          </w:p>
        </w:tc>
      </w:tr>
      <w:tr w:rsidR="005C3D48" w:rsidRPr="00411D9E" w14:paraId="50A0F6C2" w14:textId="77777777" w:rsidTr="00BC31AE">
        <w:trPr>
          <w:trHeight w:val="152"/>
        </w:trPr>
        <w:tc>
          <w:tcPr>
            <w:tcW w:w="3727" w:type="pct"/>
            <w:vAlign w:val="center"/>
          </w:tcPr>
          <w:p w14:paraId="4A29A9E1" w14:textId="77777777" w:rsidR="005C3D48" w:rsidRPr="00411D9E" w:rsidRDefault="005C3D48" w:rsidP="005C3D48">
            <w:pPr>
              <w:jc w:val="left"/>
              <w:rPr>
                <w:rFonts w:cstheme="minorHAnsi"/>
              </w:rPr>
            </w:pPr>
            <w:r w:rsidRPr="00411D9E">
              <w:rPr>
                <w:rFonts w:cstheme="minorHAnsi"/>
              </w:rPr>
              <w:t>Confidentiality</w:t>
            </w:r>
          </w:p>
        </w:tc>
        <w:tc>
          <w:tcPr>
            <w:tcW w:w="682" w:type="pct"/>
            <w:vAlign w:val="center"/>
          </w:tcPr>
          <w:p w14:paraId="3B66E917" w14:textId="77777777" w:rsidR="005C3D48" w:rsidRPr="00411D9E" w:rsidRDefault="005C3D48" w:rsidP="005C3D48">
            <w:pPr>
              <w:jc w:val="center"/>
              <w:rPr>
                <w:rFonts w:cstheme="minorHAnsi"/>
              </w:rPr>
            </w:pPr>
            <w:r w:rsidRPr="00411D9E">
              <w:rPr>
                <w:rFonts w:cstheme="minorHAnsi"/>
              </w:rPr>
              <w:t>457.1230(c)</w:t>
            </w:r>
          </w:p>
        </w:tc>
        <w:tc>
          <w:tcPr>
            <w:tcW w:w="591" w:type="pct"/>
            <w:vAlign w:val="center"/>
          </w:tcPr>
          <w:p w14:paraId="7608F4B7" w14:textId="77777777" w:rsidR="005C3D48" w:rsidRPr="00411D9E" w:rsidRDefault="005C3D48" w:rsidP="005C3D48">
            <w:pPr>
              <w:jc w:val="center"/>
              <w:rPr>
                <w:rFonts w:cstheme="minorHAnsi"/>
                <w:bCs/>
              </w:rPr>
            </w:pPr>
            <w:r w:rsidRPr="00411D9E">
              <w:rPr>
                <w:rFonts w:cstheme="minorHAnsi"/>
                <w:bCs/>
              </w:rPr>
              <w:t>1</w:t>
            </w:r>
          </w:p>
        </w:tc>
      </w:tr>
      <w:tr w:rsidR="005C3D48" w:rsidRPr="00411D9E" w14:paraId="24D2911A" w14:textId="77777777" w:rsidTr="00BC31AE">
        <w:trPr>
          <w:trHeight w:val="70"/>
        </w:trPr>
        <w:tc>
          <w:tcPr>
            <w:tcW w:w="3727" w:type="pct"/>
            <w:vAlign w:val="center"/>
          </w:tcPr>
          <w:p w14:paraId="4A274811" w14:textId="5E5DF18B" w:rsidR="005C3D48" w:rsidRPr="00411D9E" w:rsidRDefault="005C3D48" w:rsidP="00BC31AE">
            <w:pPr>
              <w:jc w:val="left"/>
              <w:rPr>
                <w:rFonts w:cstheme="minorHAnsi"/>
              </w:rPr>
            </w:pPr>
            <w:r w:rsidRPr="00411D9E">
              <w:rPr>
                <w:rFonts w:cstheme="minorHAnsi"/>
              </w:rPr>
              <w:t>Grievance systems</w:t>
            </w:r>
            <w:r w:rsidR="00BC31AE" w:rsidRPr="00411D9E">
              <w:rPr>
                <w:rFonts w:ascii="Times New Roman" w:hAnsi="Times New Roman" w:cstheme="minorHAnsi"/>
                <w:vertAlign w:val="superscript"/>
              </w:rPr>
              <w:t>1</w:t>
            </w:r>
          </w:p>
        </w:tc>
        <w:tc>
          <w:tcPr>
            <w:tcW w:w="682" w:type="pct"/>
            <w:vAlign w:val="center"/>
          </w:tcPr>
          <w:p w14:paraId="60049AFA" w14:textId="77777777" w:rsidR="005C3D48" w:rsidRPr="00411D9E" w:rsidRDefault="005C3D48" w:rsidP="005C3D48">
            <w:pPr>
              <w:jc w:val="center"/>
              <w:rPr>
                <w:rFonts w:cstheme="minorHAnsi"/>
              </w:rPr>
            </w:pPr>
            <w:r w:rsidRPr="00411D9E">
              <w:rPr>
                <w:rFonts w:cstheme="minorHAnsi"/>
              </w:rPr>
              <w:t>457.1260</w:t>
            </w:r>
          </w:p>
        </w:tc>
        <w:tc>
          <w:tcPr>
            <w:tcW w:w="591" w:type="pct"/>
            <w:vAlign w:val="center"/>
          </w:tcPr>
          <w:p w14:paraId="2BBA4AC1" w14:textId="77777777" w:rsidR="005C3D48" w:rsidRPr="00411D9E" w:rsidRDefault="005C3D48" w:rsidP="005C3D48">
            <w:pPr>
              <w:jc w:val="center"/>
              <w:rPr>
                <w:rFonts w:cstheme="minorHAnsi"/>
                <w:bCs/>
              </w:rPr>
            </w:pPr>
            <w:r w:rsidRPr="00411D9E">
              <w:rPr>
                <w:rFonts w:cstheme="minorHAnsi"/>
                <w:bCs/>
              </w:rPr>
              <w:t>23</w:t>
            </w:r>
          </w:p>
        </w:tc>
      </w:tr>
      <w:tr w:rsidR="005C3D48" w:rsidRPr="00411D9E" w14:paraId="64C2016E" w14:textId="77777777" w:rsidTr="00BC31AE">
        <w:trPr>
          <w:trHeight w:val="70"/>
        </w:trPr>
        <w:tc>
          <w:tcPr>
            <w:tcW w:w="3727" w:type="pct"/>
            <w:vAlign w:val="center"/>
          </w:tcPr>
          <w:p w14:paraId="3D1554C2" w14:textId="77777777" w:rsidR="005C3D48" w:rsidRPr="00411D9E" w:rsidRDefault="005C3D48" w:rsidP="005C3D48">
            <w:pPr>
              <w:jc w:val="left"/>
              <w:rPr>
                <w:rFonts w:cstheme="minorHAnsi"/>
              </w:rPr>
            </w:pPr>
            <w:r w:rsidRPr="00411D9E">
              <w:rPr>
                <w:rFonts w:cstheme="minorHAnsi"/>
              </w:rPr>
              <w:t>Subcontractual relationships and delegation</w:t>
            </w:r>
          </w:p>
        </w:tc>
        <w:tc>
          <w:tcPr>
            <w:tcW w:w="682" w:type="pct"/>
            <w:vAlign w:val="center"/>
          </w:tcPr>
          <w:p w14:paraId="766166CC" w14:textId="77777777" w:rsidR="005C3D48" w:rsidRPr="00411D9E" w:rsidRDefault="005C3D48" w:rsidP="005C3D48">
            <w:pPr>
              <w:jc w:val="center"/>
              <w:rPr>
                <w:rFonts w:cstheme="minorHAnsi"/>
              </w:rPr>
            </w:pPr>
            <w:r w:rsidRPr="00411D9E">
              <w:rPr>
                <w:rFonts w:cstheme="minorHAnsi"/>
              </w:rPr>
              <w:t>457.1233(b)</w:t>
            </w:r>
          </w:p>
        </w:tc>
        <w:tc>
          <w:tcPr>
            <w:tcW w:w="591" w:type="pct"/>
            <w:vAlign w:val="center"/>
          </w:tcPr>
          <w:p w14:paraId="11B19586" w14:textId="77777777" w:rsidR="005C3D48" w:rsidRPr="00411D9E" w:rsidRDefault="005C3D48" w:rsidP="005C3D48">
            <w:pPr>
              <w:jc w:val="center"/>
              <w:rPr>
                <w:rFonts w:cstheme="minorHAnsi"/>
                <w:bCs/>
              </w:rPr>
            </w:pPr>
            <w:r w:rsidRPr="00411D9E">
              <w:rPr>
                <w:rFonts w:cstheme="minorHAnsi"/>
                <w:bCs/>
              </w:rPr>
              <w:t>2</w:t>
            </w:r>
          </w:p>
        </w:tc>
      </w:tr>
      <w:tr w:rsidR="005C3D48" w:rsidRPr="00411D9E" w14:paraId="44036AE9" w14:textId="77777777" w:rsidTr="00BC31AE">
        <w:trPr>
          <w:trHeight w:val="70"/>
        </w:trPr>
        <w:tc>
          <w:tcPr>
            <w:tcW w:w="3727" w:type="pct"/>
            <w:vAlign w:val="center"/>
          </w:tcPr>
          <w:p w14:paraId="01BDCB4E" w14:textId="77777777" w:rsidR="005C3D48" w:rsidRPr="00411D9E" w:rsidRDefault="005C3D48" w:rsidP="005C3D48">
            <w:pPr>
              <w:jc w:val="left"/>
              <w:rPr>
                <w:rFonts w:cstheme="minorHAnsi"/>
              </w:rPr>
            </w:pPr>
            <w:r w:rsidRPr="00411D9E">
              <w:rPr>
                <w:rFonts w:cstheme="minorHAnsi"/>
              </w:rPr>
              <w:t>Practice guidelines</w:t>
            </w:r>
          </w:p>
        </w:tc>
        <w:tc>
          <w:tcPr>
            <w:tcW w:w="682" w:type="pct"/>
            <w:vAlign w:val="center"/>
          </w:tcPr>
          <w:p w14:paraId="692D29DA" w14:textId="77777777" w:rsidR="005C3D48" w:rsidRPr="00411D9E" w:rsidRDefault="005C3D48" w:rsidP="005C3D48">
            <w:pPr>
              <w:jc w:val="center"/>
              <w:rPr>
                <w:rFonts w:cstheme="minorHAnsi"/>
              </w:rPr>
            </w:pPr>
            <w:r w:rsidRPr="00411D9E">
              <w:rPr>
                <w:rFonts w:cstheme="minorHAnsi"/>
              </w:rPr>
              <w:t>457.1233(c)</w:t>
            </w:r>
          </w:p>
        </w:tc>
        <w:tc>
          <w:tcPr>
            <w:tcW w:w="591" w:type="pct"/>
            <w:vAlign w:val="center"/>
          </w:tcPr>
          <w:p w14:paraId="04AB8B16" w14:textId="77777777" w:rsidR="005C3D48" w:rsidRPr="00411D9E" w:rsidRDefault="005C3D48" w:rsidP="005C3D48">
            <w:pPr>
              <w:jc w:val="center"/>
              <w:rPr>
                <w:rFonts w:cstheme="minorHAnsi"/>
                <w:bCs/>
              </w:rPr>
            </w:pPr>
            <w:r w:rsidRPr="00411D9E">
              <w:rPr>
                <w:rFonts w:cstheme="minorHAnsi"/>
                <w:bCs/>
              </w:rPr>
              <w:t>2</w:t>
            </w:r>
          </w:p>
        </w:tc>
      </w:tr>
      <w:tr w:rsidR="005C3D48" w:rsidRPr="00411D9E" w14:paraId="1815435D" w14:textId="77777777" w:rsidTr="00BC31AE">
        <w:trPr>
          <w:trHeight w:val="70"/>
        </w:trPr>
        <w:tc>
          <w:tcPr>
            <w:tcW w:w="3727" w:type="pct"/>
            <w:vAlign w:val="center"/>
          </w:tcPr>
          <w:p w14:paraId="52295505" w14:textId="77777777" w:rsidR="005C3D48" w:rsidRPr="00411D9E" w:rsidRDefault="005C3D48" w:rsidP="005C3D48">
            <w:pPr>
              <w:jc w:val="left"/>
              <w:rPr>
                <w:rFonts w:cstheme="minorHAnsi"/>
              </w:rPr>
            </w:pPr>
            <w:r w:rsidRPr="00411D9E">
              <w:rPr>
                <w:rFonts w:cstheme="minorHAnsi"/>
              </w:rPr>
              <w:t>Health information systems</w:t>
            </w:r>
          </w:p>
        </w:tc>
        <w:tc>
          <w:tcPr>
            <w:tcW w:w="682" w:type="pct"/>
            <w:vAlign w:val="center"/>
          </w:tcPr>
          <w:p w14:paraId="16AF7BA2" w14:textId="77777777" w:rsidR="005C3D48" w:rsidRPr="00411D9E" w:rsidRDefault="005C3D48" w:rsidP="005C3D48">
            <w:pPr>
              <w:jc w:val="center"/>
              <w:rPr>
                <w:rFonts w:cstheme="minorHAnsi"/>
              </w:rPr>
            </w:pPr>
            <w:r w:rsidRPr="00411D9E">
              <w:rPr>
                <w:rFonts w:cstheme="minorHAnsi"/>
              </w:rPr>
              <w:t>457.1233(d)</w:t>
            </w:r>
          </w:p>
        </w:tc>
        <w:tc>
          <w:tcPr>
            <w:tcW w:w="591" w:type="pct"/>
            <w:vAlign w:val="center"/>
          </w:tcPr>
          <w:p w14:paraId="6526AF05" w14:textId="77777777" w:rsidR="005C3D48" w:rsidRPr="00411D9E" w:rsidRDefault="005C3D48" w:rsidP="005C3D48">
            <w:pPr>
              <w:jc w:val="center"/>
              <w:rPr>
                <w:rFonts w:cstheme="minorHAnsi"/>
                <w:bCs/>
              </w:rPr>
            </w:pPr>
            <w:r w:rsidRPr="00411D9E">
              <w:rPr>
                <w:rFonts w:cstheme="minorHAnsi"/>
                <w:bCs/>
              </w:rPr>
              <w:t>1</w:t>
            </w:r>
          </w:p>
        </w:tc>
      </w:tr>
      <w:tr w:rsidR="005C3D48" w:rsidRPr="00411D9E" w14:paraId="6F454852" w14:textId="77777777" w:rsidTr="00BC31AE">
        <w:trPr>
          <w:trHeight w:val="107"/>
        </w:trPr>
        <w:tc>
          <w:tcPr>
            <w:tcW w:w="4409" w:type="pct"/>
            <w:gridSpan w:val="2"/>
            <w:shd w:val="clear" w:color="auto" w:fill="CCC0D9" w:themeFill="accent4" w:themeFillTint="66"/>
            <w:vAlign w:val="center"/>
          </w:tcPr>
          <w:p w14:paraId="02C5F385" w14:textId="77777777" w:rsidR="005C3D48" w:rsidRPr="00411D9E" w:rsidRDefault="005C3D48" w:rsidP="005C3D48">
            <w:pPr>
              <w:jc w:val="left"/>
              <w:rPr>
                <w:rFonts w:cstheme="minorHAnsi"/>
                <w:b/>
                <w:bCs/>
              </w:rPr>
            </w:pPr>
            <w:r w:rsidRPr="00411D9E">
              <w:rPr>
                <w:rFonts w:cstheme="minorHAnsi"/>
                <w:b/>
                <w:bCs/>
              </w:rPr>
              <w:t>Subpart E: Quality Measurement and Improvement</w:t>
            </w:r>
          </w:p>
        </w:tc>
        <w:tc>
          <w:tcPr>
            <w:tcW w:w="591" w:type="pct"/>
            <w:shd w:val="clear" w:color="auto" w:fill="CCC0D9" w:themeFill="accent4" w:themeFillTint="66"/>
          </w:tcPr>
          <w:p w14:paraId="7F1BF9A6" w14:textId="77777777" w:rsidR="005C3D48" w:rsidRPr="00411D9E" w:rsidRDefault="005C3D48" w:rsidP="005C3D48">
            <w:pPr>
              <w:jc w:val="left"/>
              <w:rPr>
                <w:rFonts w:cstheme="minorHAnsi"/>
                <w:b/>
                <w:bCs/>
              </w:rPr>
            </w:pPr>
          </w:p>
        </w:tc>
      </w:tr>
      <w:tr w:rsidR="005C3D48" w:rsidRPr="00411D9E" w14:paraId="52CCF307" w14:textId="77777777" w:rsidTr="00BC31AE">
        <w:trPr>
          <w:trHeight w:val="107"/>
        </w:trPr>
        <w:tc>
          <w:tcPr>
            <w:tcW w:w="3727" w:type="pct"/>
            <w:vAlign w:val="center"/>
          </w:tcPr>
          <w:p w14:paraId="4FF45BA9" w14:textId="77777777" w:rsidR="005C3D48" w:rsidRPr="00411D9E" w:rsidRDefault="005C3D48" w:rsidP="005C3D48">
            <w:pPr>
              <w:jc w:val="left"/>
              <w:rPr>
                <w:rFonts w:cstheme="minorHAnsi"/>
              </w:rPr>
            </w:pPr>
            <w:r w:rsidRPr="00411D9E">
              <w:rPr>
                <w:rFonts w:cstheme="minorHAnsi"/>
              </w:rPr>
              <w:t xml:space="preserve">Quality assessment and performance improvement program </w:t>
            </w:r>
          </w:p>
        </w:tc>
        <w:tc>
          <w:tcPr>
            <w:tcW w:w="682" w:type="pct"/>
            <w:vAlign w:val="center"/>
          </w:tcPr>
          <w:p w14:paraId="6C6D558F" w14:textId="77777777" w:rsidR="005C3D48" w:rsidRPr="00411D9E" w:rsidRDefault="005C3D48" w:rsidP="005C3D48">
            <w:pPr>
              <w:jc w:val="center"/>
              <w:rPr>
                <w:rFonts w:cstheme="minorHAnsi"/>
              </w:rPr>
            </w:pPr>
            <w:r w:rsidRPr="00411D9E">
              <w:rPr>
                <w:rFonts w:cstheme="minorHAnsi"/>
              </w:rPr>
              <w:t>457.1240(b)</w:t>
            </w:r>
          </w:p>
        </w:tc>
        <w:tc>
          <w:tcPr>
            <w:tcW w:w="591" w:type="pct"/>
            <w:vAlign w:val="center"/>
          </w:tcPr>
          <w:p w14:paraId="39782FC2" w14:textId="77777777" w:rsidR="005C3D48" w:rsidRPr="00411D9E" w:rsidRDefault="005C3D48" w:rsidP="005C3D48">
            <w:pPr>
              <w:jc w:val="center"/>
              <w:rPr>
                <w:rFonts w:cstheme="minorHAnsi"/>
                <w:bCs/>
              </w:rPr>
            </w:pPr>
            <w:r w:rsidRPr="00411D9E">
              <w:rPr>
                <w:rFonts w:cstheme="minorHAnsi"/>
                <w:bCs/>
              </w:rPr>
              <w:t>5</w:t>
            </w:r>
          </w:p>
        </w:tc>
      </w:tr>
    </w:tbl>
    <w:p w14:paraId="4172923B" w14:textId="77777777" w:rsidR="00BC31AE" w:rsidRPr="00411D9E" w:rsidRDefault="00BC31AE" w:rsidP="00BC31AE">
      <w:pPr>
        <w:jc w:val="left"/>
        <w:rPr>
          <w:rFonts w:cstheme="minorHAnsi"/>
          <w:sz w:val="20"/>
          <w:szCs w:val="20"/>
        </w:rPr>
      </w:pPr>
      <w:bookmarkStart w:id="183" w:name="_Toc68527440"/>
      <w:bookmarkStart w:id="184" w:name="_Toc70508390"/>
      <w:r w:rsidRPr="00411D9E">
        <w:rPr>
          <w:sz w:val="20"/>
          <w:szCs w:val="20"/>
          <w:vertAlign w:val="superscript"/>
        </w:rPr>
        <w:t>1</w:t>
      </w:r>
      <w:r w:rsidRPr="00411D9E">
        <w:rPr>
          <w:sz w:val="20"/>
          <w:szCs w:val="20"/>
        </w:rPr>
        <w:t xml:space="preserve"> </w:t>
      </w:r>
      <w:r w:rsidRPr="00411D9E">
        <w:rPr>
          <w:rFonts w:cstheme="minorHAnsi"/>
          <w:sz w:val="20"/>
          <w:szCs w:val="20"/>
        </w:rPr>
        <w:t>Per CMS guidelines and protocols, this regulation is typically referred to as “Grievance and appeals systems.” However, to better align with the CHIP reference for 457.1260, it is referred to in this report as “Grievance systems.”</w:t>
      </w:r>
    </w:p>
    <w:p w14:paraId="1B942D4F" w14:textId="12506ED8" w:rsidR="005C3D48" w:rsidRPr="00411D9E" w:rsidRDefault="00BC31AE" w:rsidP="00BC31AE">
      <w:pPr>
        <w:spacing w:after="480"/>
        <w:jc w:val="left"/>
        <w:rPr>
          <w:sz w:val="20"/>
          <w:szCs w:val="20"/>
        </w:rPr>
      </w:pPr>
      <w:r w:rsidRPr="00411D9E">
        <w:rPr>
          <w:sz w:val="20"/>
          <w:szCs w:val="20"/>
        </w:rPr>
        <w:t>SMART: Systematic Monitoring, Access and Retrieval Technology; BBA: Balanced Budget Act; CHIP: Children’s Health Insurance Program; MCO: managed care organization; PIHP: prepaid inpatient health plan; PAHP: prepaid ambulatory health plan.</w:t>
      </w:r>
    </w:p>
    <w:p w14:paraId="1E9AFA68" w14:textId="77777777" w:rsidR="005C3D48" w:rsidRPr="00411D9E" w:rsidRDefault="005C3D48" w:rsidP="00DE51E7">
      <w:pPr>
        <w:pStyle w:val="Heading2"/>
      </w:pPr>
      <w:bookmarkStart w:id="185" w:name="_Toc99026964"/>
      <w:r w:rsidRPr="00411D9E">
        <w:t>Determination of Compliance</w:t>
      </w:r>
      <w:bookmarkEnd w:id="180"/>
      <w:bookmarkEnd w:id="181"/>
      <w:bookmarkEnd w:id="182"/>
      <w:bookmarkEnd w:id="183"/>
      <w:bookmarkEnd w:id="184"/>
      <w:bookmarkEnd w:id="185"/>
    </w:p>
    <w:p w14:paraId="3A851EEE" w14:textId="77777777" w:rsidR="005C3D48" w:rsidRPr="00411D9E" w:rsidRDefault="005C3D48" w:rsidP="005C3D48">
      <w:r w:rsidRPr="00411D9E">
        <w:t xml:space="preserve">As mentioned above, historically the information necessary for the review was provided through an on-site review that was conducted by DHS CHIP. Beginning with CHIP’s adoption of the SMART database in 2020, this database is now used to determine an MCO’s compliance on individual provisions. This process was done by referring to CMS’s “Regulations for Compliance Review”, where specific CHIP citations are noted as required for review and corresponding sections are identified and described for each Subpart, particularly D and E. IPRO then grouped the monitoring standards by provision and evaluated the MCO’s compliance status with regard to the SMART Items. For example, all provisions relating to availability of services are summarized under Availability of Service 457.1230(a). </w:t>
      </w:r>
    </w:p>
    <w:p w14:paraId="20005E50" w14:textId="77777777" w:rsidR="005C3D48" w:rsidRPr="00411D9E" w:rsidRDefault="005C3D48" w:rsidP="005C3D48"/>
    <w:p w14:paraId="492EF256" w14:textId="77777777" w:rsidR="005C3D48" w:rsidRPr="00411D9E" w:rsidRDefault="005C3D48" w:rsidP="005C3D48">
      <w:r w:rsidRPr="00411D9E">
        <w:t>Each item was assigned a value of Compliant or non-Compliant in the Item Log submitted by DHS CHIP. If an item was not evaluated for a particular MCO, it was assigned a value of Not Determined. Compliance with the BBA requirements was then determined based on the aggregate results of the SMART Items linked to each provision within a requirement or category. If all items were Compliant, the MCO was evaluated as Compliant. If some were Compliant and some were non-Compliant, the MCO was evaluated as partially-Compliant. If all items were non-Compliant, the MCO was evaluated as non-Compliant. If no items were evaluated for a given category and no other source of information was available to determine compliance, a value of Not Determined was assigned for that category.</w:t>
      </w:r>
    </w:p>
    <w:p w14:paraId="2913ADD4" w14:textId="77777777" w:rsidR="005C3D48" w:rsidRPr="00411D9E" w:rsidRDefault="005C3D48" w:rsidP="005C3D48"/>
    <w:p w14:paraId="730056A9" w14:textId="77777777" w:rsidR="005C3D48" w:rsidRPr="00411D9E" w:rsidRDefault="005C3D48" w:rsidP="005C3D48">
      <w:r w:rsidRPr="00411D9E">
        <w:t xml:space="preserve">Categories determined to be partially- or non-Compliant are indicated where applicable in the tables below, and the SMART Items that were assigned a value of non-Compliant by DHS within those categories are noted.  </w:t>
      </w:r>
      <w:bookmarkStart w:id="186" w:name="_Hlk97727877"/>
      <w:r w:rsidRPr="00411D9E">
        <w:t xml:space="preserve">For Highmark PPO, there were no categories determined to be partially- or non-Compliant, signifying that no SMART Items were assigned a value of non-Compliant by DHS.  </w:t>
      </w:r>
      <w:r w:rsidRPr="00411D9E">
        <w:rPr>
          <w:b/>
          <w:bCs/>
        </w:rPr>
        <w:t>There are therefore no recommendations related to compliance with structure and operations standards for Highmark PPO for the current review year.</w:t>
      </w:r>
      <w:bookmarkEnd w:id="186"/>
    </w:p>
    <w:p w14:paraId="562793C5" w14:textId="77777777" w:rsidR="00BC31AE" w:rsidRPr="00411D9E" w:rsidRDefault="00BC31AE">
      <w:pPr>
        <w:rPr>
          <w:rFonts w:asciiTheme="majorHAnsi" w:eastAsiaTheme="majorEastAsia" w:hAnsiTheme="majorHAnsi" w:cstheme="majorBidi"/>
          <w:b/>
          <w:bCs/>
          <w:color w:val="4F81BD" w:themeColor="accent1"/>
          <w:sz w:val="26"/>
          <w:szCs w:val="26"/>
        </w:rPr>
      </w:pPr>
      <w:bookmarkStart w:id="187" w:name="_Toc447110537"/>
      <w:bookmarkStart w:id="188" w:name="_Toc448738381"/>
      <w:r w:rsidRPr="00411D9E">
        <w:br w:type="page"/>
      </w:r>
    </w:p>
    <w:p w14:paraId="6F097785" w14:textId="5789A263" w:rsidR="005C3D48" w:rsidRPr="00411D9E" w:rsidRDefault="005C3D48" w:rsidP="00DE51E7">
      <w:pPr>
        <w:pStyle w:val="Heading2"/>
      </w:pPr>
      <w:bookmarkStart w:id="189" w:name="_Toc99026965"/>
      <w:r w:rsidRPr="00411D9E">
        <w:lastRenderedPageBreak/>
        <w:t>Findings</w:t>
      </w:r>
      <w:bookmarkEnd w:id="187"/>
      <w:bookmarkEnd w:id="188"/>
      <w:bookmarkEnd w:id="189"/>
    </w:p>
    <w:p w14:paraId="593B1955" w14:textId="4E9BA549" w:rsidR="005C3D48" w:rsidRPr="00411D9E" w:rsidRDefault="00BC31AE" w:rsidP="005C3D48">
      <w:r w:rsidRPr="00411D9E">
        <w:t xml:space="preserve">A total of </w:t>
      </w:r>
      <w:r w:rsidR="005C3D48" w:rsidRPr="00411D9E">
        <w:t>44 items were directly associated with a regulation subject to compliance review and 42 were evaluated for the MCO in Review Year (RY) 2020.</w:t>
      </w:r>
    </w:p>
    <w:p w14:paraId="4B47C0FF" w14:textId="77777777" w:rsidR="005C3D48" w:rsidRPr="00411D9E" w:rsidRDefault="005C3D48" w:rsidP="00DE51E7">
      <w:pPr>
        <w:pStyle w:val="Heading3"/>
      </w:pPr>
      <w:bookmarkStart w:id="190" w:name="_Toc70508391"/>
      <w:bookmarkStart w:id="191" w:name="_Toc99026966"/>
      <w:r w:rsidRPr="00411D9E">
        <w:t xml:space="preserve">Subpart D: </w:t>
      </w:r>
      <w:bookmarkEnd w:id="168"/>
      <w:r w:rsidRPr="00411D9E">
        <w:t>MCO, PIHP and PAHP Standards</w:t>
      </w:r>
      <w:bookmarkEnd w:id="190"/>
      <w:bookmarkEnd w:id="191"/>
    </w:p>
    <w:p w14:paraId="1AC3DECA" w14:textId="4420D0DD" w:rsidR="005C3D48" w:rsidRPr="00411D9E" w:rsidRDefault="005C3D48" w:rsidP="005C3D48">
      <w:pPr>
        <w:rPr>
          <w:rFonts w:eastAsia="Times New Roman" w:cs="Arial"/>
          <w:lang w:bidi="ar-SA"/>
        </w:rPr>
      </w:pPr>
      <w:r w:rsidRPr="00411D9E">
        <w:rPr>
          <w:rFonts w:eastAsia="Times New Roman" w:cs="Arial"/>
          <w:lang w:bidi="ar-SA"/>
        </w:rPr>
        <w:t>The general purpose of the regulations included under this heading is to ensure that all services covered under the DHS’s CHIP program are available and accessible to MCO enrollees. [42 C.F.R. § 438.206 (a)]</w:t>
      </w:r>
      <w:r w:rsidR="00BC31AE" w:rsidRPr="00411D9E">
        <w:rPr>
          <w:rFonts w:eastAsia="Times New Roman" w:cs="Arial"/>
          <w:lang w:bidi="ar-SA"/>
        </w:rPr>
        <w:t>.</w:t>
      </w:r>
    </w:p>
    <w:p w14:paraId="6746B14A" w14:textId="77777777" w:rsidR="005C3D48" w:rsidRPr="00411D9E" w:rsidRDefault="005C3D48" w:rsidP="005243E4">
      <w:pPr>
        <w:pStyle w:val="tableheading"/>
      </w:pPr>
      <w:bookmarkStart w:id="192" w:name="_Toc448738494"/>
      <w:bookmarkStart w:id="193" w:name="_Toc500507243"/>
      <w:bookmarkStart w:id="194" w:name="_Toc70508419"/>
      <w:bookmarkStart w:id="195" w:name="_Toc99026996"/>
      <w:r w:rsidRPr="00411D9E">
        <w:t>Table 3.2: MCO Compliance with Enrollee Rights and Protections Regulations</w:t>
      </w:r>
      <w:bookmarkEnd w:id="192"/>
      <w:bookmarkEnd w:id="193"/>
      <w:bookmarkEnd w:id="194"/>
      <w:bookmarkEnd w:id="1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180"/>
        <w:gridCol w:w="5410"/>
      </w:tblGrid>
      <w:tr w:rsidR="005C3D48" w:rsidRPr="00411D9E" w14:paraId="595D74B6" w14:textId="77777777" w:rsidTr="00731066">
        <w:trPr>
          <w:cantSplit/>
          <w:trHeight w:val="288"/>
          <w:tblHeader/>
          <w:jc w:val="center"/>
        </w:trPr>
        <w:tc>
          <w:tcPr>
            <w:tcW w:w="5000" w:type="pct"/>
            <w:gridSpan w:val="3"/>
            <w:shd w:val="clear" w:color="auto" w:fill="8064A2" w:themeFill="accent4"/>
            <w:vAlign w:val="center"/>
          </w:tcPr>
          <w:p w14:paraId="1E0C4FC8" w14:textId="77777777" w:rsidR="005C3D48" w:rsidRPr="00411D9E" w:rsidRDefault="005C3D48" w:rsidP="005C3D48">
            <w:pPr>
              <w:jc w:val="center"/>
              <w:rPr>
                <w:rFonts w:cstheme="minorHAnsi"/>
                <w:b/>
              </w:rPr>
            </w:pPr>
            <w:r w:rsidRPr="00411D9E">
              <w:rPr>
                <w:rFonts w:cstheme="minorHAnsi"/>
                <w:b/>
                <w:color w:val="FFFFFF" w:themeColor="background1"/>
              </w:rPr>
              <w:t>MCO, PIHP AND PAHP STANDARDS</w:t>
            </w:r>
          </w:p>
        </w:tc>
      </w:tr>
      <w:tr w:rsidR="005C3D48" w:rsidRPr="00411D9E" w14:paraId="410AD199" w14:textId="77777777" w:rsidTr="00731066">
        <w:trPr>
          <w:cantSplit/>
          <w:trHeight w:val="288"/>
          <w:tblHeader/>
          <w:jc w:val="center"/>
        </w:trPr>
        <w:tc>
          <w:tcPr>
            <w:tcW w:w="1483" w:type="pct"/>
            <w:shd w:val="clear" w:color="auto" w:fill="CCC0D9" w:themeFill="accent4" w:themeFillTint="66"/>
            <w:vAlign w:val="center"/>
          </w:tcPr>
          <w:p w14:paraId="715347C6" w14:textId="77777777" w:rsidR="005C3D48" w:rsidRPr="00411D9E" w:rsidRDefault="005C3D48" w:rsidP="005C3D48">
            <w:pPr>
              <w:spacing w:before="100" w:beforeAutospacing="1" w:after="100" w:afterAutospacing="1"/>
              <w:jc w:val="left"/>
              <w:rPr>
                <w:rFonts w:cstheme="minorHAnsi"/>
                <w:b/>
                <w:bCs/>
              </w:rPr>
            </w:pPr>
            <w:r w:rsidRPr="00411D9E">
              <w:rPr>
                <w:rFonts w:cstheme="minorHAnsi"/>
                <w:b/>
                <w:bCs/>
              </w:rPr>
              <w:t>Subpart D: Categories</w:t>
            </w:r>
          </w:p>
        </w:tc>
        <w:tc>
          <w:tcPr>
            <w:tcW w:w="1010" w:type="pct"/>
            <w:shd w:val="clear" w:color="auto" w:fill="CCC0D9" w:themeFill="accent4" w:themeFillTint="66"/>
            <w:vAlign w:val="center"/>
          </w:tcPr>
          <w:p w14:paraId="22F57915" w14:textId="77777777" w:rsidR="005C3D48" w:rsidRPr="00411D9E" w:rsidRDefault="005C3D48" w:rsidP="005C3D48">
            <w:pPr>
              <w:spacing w:before="100" w:beforeAutospacing="1" w:after="100" w:afterAutospacing="1"/>
              <w:jc w:val="center"/>
              <w:rPr>
                <w:rFonts w:cstheme="minorHAnsi"/>
                <w:b/>
                <w:bCs/>
              </w:rPr>
            </w:pPr>
            <w:r w:rsidRPr="00411D9E">
              <w:rPr>
                <w:rFonts w:cstheme="minorHAnsi"/>
                <w:b/>
                <w:bCs/>
              </w:rPr>
              <w:t>Compliance</w:t>
            </w:r>
          </w:p>
        </w:tc>
        <w:tc>
          <w:tcPr>
            <w:tcW w:w="2507" w:type="pct"/>
            <w:shd w:val="clear" w:color="auto" w:fill="CCC0D9" w:themeFill="accent4" w:themeFillTint="66"/>
            <w:vAlign w:val="center"/>
          </w:tcPr>
          <w:p w14:paraId="3E32E1BC" w14:textId="77777777" w:rsidR="005C3D48" w:rsidRPr="00411D9E" w:rsidRDefault="005C3D48" w:rsidP="005C3D48">
            <w:pPr>
              <w:jc w:val="center"/>
              <w:rPr>
                <w:rFonts w:cstheme="minorHAnsi"/>
                <w:b/>
              </w:rPr>
            </w:pPr>
            <w:r w:rsidRPr="00411D9E">
              <w:rPr>
                <w:rFonts w:cstheme="minorHAnsi"/>
                <w:b/>
              </w:rPr>
              <w:t>Comments</w:t>
            </w:r>
          </w:p>
        </w:tc>
      </w:tr>
      <w:tr w:rsidR="005C3D48" w:rsidRPr="00411D9E" w14:paraId="1582C15A" w14:textId="77777777" w:rsidTr="00731066">
        <w:trPr>
          <w:cantSplit/>
          <w:trHeight w:val="288"/>
          <w:jc w:val="center"/>
        </w:trPr>
        <w:tc>
          <w:tcPr>
            <w:tcW w:w="1483" w:type="pct"/>
            <w:vAlign w:val="center"/>
          </w:tcPr>
          <w:p w14:paraId="5717AE6D" w14:textId="77777777" w:rsidR="005C3D48" w:rsidRPr="00411D9E" w:rsidRDefault="005C3D48" w:rsidP="005C3D48">
            <w:pPr>
              <w:jc w:val="left"/>
              <w:rPr>
                <w:rFonts w:cstheme="minorHAnsi"/>
              </w:rPr>
            </w:pPr>
            <w:r w:rsidRPr="00411D9E">
              <w:rPr>
                <w:rFonts w:cstheme="minorHAnsi"/>
              </w:rPr>
              <w:t>Availability of services</w:t>
            </w:r>
          </w:p>
        </w:tc>
        <w:tc>
          <w:tcPr>
            <w:tcW w:w="1010" w:type="pct"/>
            <w:vAlign w:val="center"/>
          </w:tcPr>
          <w:p w14:paraId="428B6F41"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7A37DA6A" w14:textId="77777777" w:rsidR="005C3D48" w:rsidRPr="00411D9E" w:rsidRDefault="005C3D48" w:rsidP="005C3D48">
            <w:pPr>
              <w:spacing w:before="100" w:beforeAutospacing="1" w:after="120"/>
              <w:jc w:val="left"/>
              <w:rPr>
                <w:rFonts w:cstheme="minorHAnsi"/>
              </w:rPr>
            </w:pPr>
            <w:r w:rsidRPr="00411D9E">
              <w:rPr>
                <w:rFonts w:cstheme="minorHAnsi"/>
              </w:rPr>
              <w:t xml:space="preserve">3 items were </w:t>
            </w:r>
            <w:proofErr w:type="spellStart"/>
            <w:r w:rsidRPr="00411D9E">
              <w:rPr>
                <w:rFonts w:cstheme="minorHAnsi"/>
              </w:rPr>
              <w:t>crosswalked</w:t>
            </w:r>
            <w:proofErr w:type="spellEnd"/>
            <w:r w:rsidRPr="00411D9E">
              <w:rPr>
                <w:rFonts w:cstheme="minorHAnsi"/>
              </w:rPr>
              <w:t xml:space="preserve"> to this category.</w:t>
            </w:r>
          </w:p>
          <w:p w14:paraId="4BC3117D"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3 items and was compliant on 3 items based on RY 2020.</w:t>
            </w:r>
          </w:p>
        </w:tc>
      </w:tr>
      <w:tr w:rsidR="005C3D48" w:rsidRPr="00411D9E" w14:paraId="30C5A761" w14:textId="77777777" w:rsidTr="00731066">
        <w:trPr>
          <w:cantSplit/>
          <w:trHeight w:val="288"/>
          <w:jc w:val="center"/>
        </w:trPr>
        <w:tc>
          <w:tcPr>
            <w:tcW w:w="1483" w:type="pct"/>
            <w:vAlign w:val="center"/>
          </w:tcPr>
          <w:p w14:paraId="54406479" w14:textId="77777777" w:rsidR="005C3D48" w:rsidRPr="00411D9E" w:rsidRDefault="005C3D48" w:rsidP="005C3D48">
            <w:pPr>
              <w:jc w:val="left"/>
              <w:rPr>
                <w:rFonts w:cstheme="minorHAnsi"/>
              </w:rPr>
            </w:pPr>
            <w:r w:rsidRPr="00411D9E">
              <w:rPr>
                <w:rFonts w:cstheme="minorHAnsi"/>
              </w:rPr>
              <w:t>Assurances of adequate capacity and services</w:t>
            </w:r>
          </w:p>
        </w:tc>
        <w:tc>
          <w:tcPr>
            <w:tcW w:w="1010" w:type="pct"/>
            <w:vAlign w:val="center"/>
          </w:tcPr>
          <w:p w14:paraId="455B5A70"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5CA9446A" w14:textId="77777777" w:rsidR="005C3D48" w:rsidRPr="00411D9E" w:rsidRDefault="005C3D48" w:rsidP="005C3D48">
            <w:pPr>
              <w:spacing w:before="100" w:beforeAutospacing="1" w:after="120"/>
              <w:jc w:val="left"/>
              <w:rPr>
                <w:rFonts w:cstheme="minorHAnsi"/>
              </w:rPr>
            </w:pPr>
            <w:r w:rsidRPr="00411D9E">
              <w:rPr>
                <w:rFonts w:cstheme="minorHAnsi"/>
              </w:rPr>
              <w:t xml:space="preserve">1 item was </w:t>
            </w:r>
            <w:proofErr w:type="spellStart"/>
            <w:r w:rsidRPr="00411D9E">
              <w:rPr>
                <w:rFonts w:cstheme="minorHAnsi"/>
              </w:rPr>
              <w:t>crosswalked</w:t>
            </w:r>
            <w:proofErr w:type="spellEnd"/>
            <w:r w:rsidRPr="00411D9E">
              <w:rPr>
                <w:rFonts w:cstheme="minorHAnsi"/>
              </w:rPr>
              <w:t xml:space="preserve"> to this category.</w:t>
            </w:r>
          </w:p>
          <w:p w14:paraId="64B28C85"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1 item and was compliant on this item based on RY 2020.</w:t>
            </w:r>
          </w:p>
        </w:tc>
      </w:tr>
      <w:tr w:rsidR="005C3D48" w:rsidRPr="00411D9E" w14:paraId="0D3F8B2B" w14:textId="77777777" w:rsidTr="00731066">
        <w:trPr>
          <w:cantSplit/>
          <w:trHeight w:val="288"/>
          <w:jc w:val="center"/>
        </w:trPr>
        <w:tc>
          <w:tcPr>
            <w:tcW w:w="1483" w:type="pct"/>
            <w:vAlign w:val="center"/>
          </w:tcPr>
          <w:p w14:paraId="29B2FEA5" w14:textId="77777777" w:rsidR="005C3D48" w:rsidRPr="00411D9E" w:rsidRDefault="005C3D48" w:rsidP="005C3D48">
            <w:pPr>
              <w:jc w:val="left"/>
              <w:rPr>
                <w:rFonts w:cstheme="minorHAnsi"/>
              </w:rPr>
            </w:pPr>
            <w:r w:rsidRPr="00411D9E">
              <w:rPr>
                <w:rFonts w:cstheme="minorHAnsi"/>
              </w:rPr>
              <w:t>Coordination and continuity of care</w:t>
            </w:r>
          </w:p>
        </w:tc>
        <w:tc>
          <w:tcPr>
            <w:tcW w:w="1010" w:type="pct"/>
            <w:vAlign w:val="center"/>
          </w:tcPr>
          <w:p w14:paraId="52DFC194"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6D122919" w14:textId="77777777" w:rsidR="005C3D48" w:rsidRPr="00411D9E" w:rsidRDefault="005C3D48" w:rsidP="005C3D48">
            <w:pPr>
              <w:spacing w:before="100" w:beforeAutospacing="1" w:after="120"/>
              <w:jc w:val="left"/>
              <w:rPr>
                <w:rFonts w:cstheme="minorHAnsi"/>
              </w:rPr>
            </w:pPr>
            <w:r w:rsidRPr="00411D9E">
              <w:rPr>
                <w:rFonts w:cstheme="minorHAnsi"/>
              </w:rPr>
              <w:t xml:space="preserve">2 items were </w:t>
            </w:r>
            <w:proofErr w:type="spellStart"/>
            <w:r w:rsidRPr="00411D9E">
              <w:rPr>
                <w:rFonts w:cstheme="minorHAnsi"/>
              </w:rPr>
              <w:t>crosswalked</w:t>
            </w:r>
            <w:proofErr w:type="spellEnd"/>
            <w:r w:rsidRPr="00411D9E">
              <w:rPr>
                <w:rFonts w:cstheme="minorHAnsi"/>
              </w:rPr>
              <w:t xml:space="preserve"> to this category.</w:t>
            </w:r>
          </w:p>
          <w:p w14:paraId="6CBF9838" w14:textId="77777777" w:rsidR="005C3D48" w:rsidRPr="00411D9E" w:rsidRDefault="005C3D48" w:rsidP="005C3D48">
            <w:pPr>
              <w:jc w:val="left"/>
              <w:rPr>
                <w:rFonts w:cstheme="minorHAnsi"/>
              </w:rPr>
            </w:pPr>
            <w:r w:rsidRPr="00411D9E">
              <w:rPr>
                <w:rFonts w:cstheme="minorHAnsi"/>
              </w:rPr>
              <w:t>The MCO was evaluated against 2 items and was compliant on 2 items based on RY 2020.</w:t>
            </w:r>
          </w:p>
        </w:tc>
      </w:tr>
      <w:tr w:rsidR="005C3D48" w:rsidRPr="00411D9E" w14:paraId="3552E7B1" w14:textId="77777777" w:rsidTr="00731066">
        <w:trPr>
          <w:cantSplit/>
          <w:trHeight w:val="288"/>
          <w:jc w:val="center"/>
        </w:trPr>
        <w:tc>
          <w:tcPr>
            <w:tcW w:w="1483" w:type="pct"/>
            <w:vAlign w:val="center"/>
          </w:tcPr>
          <w:p w14:paraId="59CA969C" w14:textId="77777777" w:rsidR="005C3D48" w:rsidRPr="00411D9E" w:rsidRDefault="005C3D48" w:rsidP="005C3D48">
            <w:pPr>
              <w:jc w:val="left"/>
              <w:rPr>
                <w:rFonts w:cstheme="minorHAnsi"/>
              </w:rPr>
            </w:pPr>
            <w:r w:rsidRPr="00411D9E">
              <w:rPr>
                <w:rFonts w:cstheme="minorHAnsi"/>
              </w:rPr>
              <w:t>Coverage and authorization of services</w:t>
            </w:r>
          </w:p>
        </w:tc>
        <w:tc>
          <w:tcPr>
            <w:tcW w:w="1010" w:type="pct"/>
            <w:vAlign w:val="center"/>
          </w:tcPr>
          <w:p w14:paraId="4C00BC08"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533A652F" w14:textId="77777777" w:rsidR="005C3D48" w:rsidRPr="00411D9E" w:rsidRDefault="005C3D48" w:rsidP="005C3D48">
            <w:pPr>
              <w:spacing w:before="100" w:beforeAutospacing="1" w:after="120"/>
              <w:jc w:val="left"/>
              <w:rPr>
                <w:rFonts w:cstheme="minorHAnsi"/>
              </w:rPr>
            </w:pPr>
            <w:r w:rsidRPr="00411D9E">
              <w:rPr>
                <w:rFonts w:cstheme="minorHAnsi"/>
              </w:rPr>
              <w:t xml:space="preserve">2 items were </w:t>
            </w:r>
            <w:proofErr w:type="spellStart"/>
            <w:r w:rsidRPr="00411D9E">
              <w:rPr>
                <w:rFonts w:cstheme="minorHAnsi"/>
              </w:rPr>
              <w:t>crosswalked</w:t>
            </w:r>
            <w:proofErr w:type="spellEnd"/>
            <w:r w:rsidRPr="00411D9E">
              <w:rPr>
                <w:rFonts w:cstheme="minorHAnsi"/>
              </w:rPr>
              <w:t xml:space="preserve"> to this category.</w:t>
            </w:r>
          </w:p>
          <w:p w14:paraId="02489398"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2 items and was compliant on 2 items based on RY 2020.</w:t>
            </w:r>
          </w:p>
        </w:tc>
      </w:tr>
      <w:tr w:rsidR="005C3D48" w:rsidRPr="00411D9E" w14:paraId="464AB58F" w14:textId="77777777" w:rsidTr="00731066">
        <w:trPr>
          <w:cantSplit/>
          <w:trHeight w:val="288"/>
          <w:jc w:val="center"/>
        </w:trPr>
        <w:tc>
          <w:tcPr>
            <w:tcW w:w="1483" w:type="pct"/>
            <w:vAlign w:val="center"/>
          </w:tcPr>
          <w:p w14:paraId="488F30FE" w14:textId="77777777" w:rsidR="005C3D48" w:rsidRPr="00411D9E" w:rsidRDefault="005C3D48" w:rsidP="005C3D48">
            <w:pPr>
              <w:jc w:val="left"/>
              <w:rPr>
                <w:rFonts w:cstheme="minorHAnsi"/>
              </w:rPr>
            </w:pPr>
            <w:r w:rsidRPr="00411D9E">
              <w:rPr>
                <w:rFonts w:cstheme="minorHAnsi"/>
              </w:rPr>
              <w:t>Provider selection</w:t>
            </w:r>
          </w:p>
        </w:tc>
        <w:tc>
          <w:tcPr>
            <w:tcW w:w="1010" w:type="pct"/>
            <w:vAlign w:val="center"/>
          </w:tcPr>
          <w:p w14:paraId="385759E3"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0A203C99" w14:textId="77777777" w:rsidR="005C3D48" w:rsidRPr="00411D9E" w:rsidRDefault="005C3D48" w:rsidP="005C3D48">
            <w:pPr>
              <w:spacing w:before="100" w:beforeAutospacing="1" w:after="120"/>
              <w:jc w:val="left"/>
              <w:rPr>
                <w:rFonts w:cstheme="minorHAnsi"/>
              </w:rPr>
            </w:pPr>
            <w:r w:rsidRPr="00411D9E">
              <w:rPr>
                <w:rFonts w:cstheme="minorHAnsi"/>
              </w:rPr>
              <w:t xml:space="preserve">2 items were </w:t>
            </w:r>
            <w:proofErr w:type="spellStart"/>
            <w:r w:rsidRPr="00411D9E">
              <w:rPr>
                <w:rFonts w:cstheme="minorHAnsi"/>
              </w:rPr>
              <w:t>crosswalked</w:t>
            </w:r>
            <w:proofErr w:type="spellEnd"/>
            <w:r w:rsidRPr="00411D9E">
              <w:rPr>
                <w:rFonts w:cstheme="minorHAnsi"/>
              </w:rPr>
              <w:t xml:space="preserve"> to this category.</w:t>
            </w:r>
          </w:p>
          <w:p w14:paraId="11C178F9"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1 item and was compliant on this item based on RY 2020.</w:t>
            </w:r>
          </w:p>
        </w:tc>
      </w:tr>
      <w:tr w:rsidR="005C3D48" w:rsidRPr="00411D9E" w14:paraId="1F06F703" w14:textId="77777777" w:rsidTr="00731066">
        <w:trPr>
          <w:cantSplit/>
          <w:trHeight w:val="288"/>
          <w:jc w:val="center"/>
        </w:trPr>
        <w:tc>
          <w:tcPr>
            <w:tcW w:w="1483" w:type="pct"/>
            <w:vAlign w:val="center"/>
          </w:tcPr>
          <w:p w14:paraId="3B240544" w14:textId="77777777" w:rsidR="005C3D48" w:rsidRPr="00411D9E" w:rsidRDefault="005C3D48" w:rsidP="005C3D48">
            <w:pPr>
              <w:jc w:val="left"/>
              <w:rPr>
                <w:rFonts w:cstheme="minorHAnsi"/>
              </w:rPr>
            </w:pPr>
            <w:r w:rsidRPr="00411D9E">
              <w:rPr>
                <w:rFonts w:cstheme="minorHAnsi"/>
              </w:rPr>
              <w:t>Confidentiality</w:t>
            </w:r>
          </w:p>
        </w:tc>
        <w:tc>
          <w:tcPr>
            <w:tcW w:w="1010" w:type="pct"/>
            <w:vAlign w:val="center"/>
          </w:tcPr>
          <w:p w14:paraId="6FEAE521"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2165249E" w14:textId="77777777" w:rsidR="005C3D48" w:rsidRPr="00411D9E" w:rsidRDefault="005C3D48" w:rsidP="005C3D48">
            <w:pPr>
              <w:spacing w:before="100" w:beforeAutospacing="1" w:after="120"/>
              <w:jc w:val="left"/>
              <w:rPr>
                <w:rFonts w:cstheme="minorHAnsi"/>
              </w:rPr>
            </w:pPr>
            <w:r w:rsidRPr="00411D9E">
              <w:rPr>
                <w:rFonts w:cstheme="minorHAnsi"/>
              </w:rPr>
              <w:t xml:space="preserve">1 item was </w:t>
            </w:r>
            <w:proofErr w:type="spellStart"/>
            <w:r w:rsidRPr="00411D9E">
              <w:rPr>
                <w:rFonts w:cstheme="minorHAnsi"/>
              </w:rPr>
              <w:t>crosswalked</w:t>
            </w:r>
            <w:proofErr w:type="spellEnd"/>
            <w:r w:rsidRPr="00411D9E">
              <w:rPr>
                <w:rFonts w:cstheme="minorHAnsi"/>
              </w:rPr>
              <w:t xml:space="preserve"> to this category.</w:t>
            </w:r>
          </w:p>
          <w:p w14:paraId="403A7E2A"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1 item and was compliant on this item based on RY 2020.</w:t>
            </w:r>
          </w:p>
        </w:tc>
      </w:tr>
      <w:tr w:rsidR="005C3D48" w:rsidRPr="00411D9E" w14:paraId="46EB8546" w14:textId="77777777" w:rsidTr="00731066">
        <w:trPr>
          <w:cantSplit/>
          <w:trHeight w:val="288"/>
          <w:jc w:val="center"/>
        </w:trPr>
        <w:tc>
          <w:tcPr>
            <w:tcW w:w="1483" w:type="pct"/>
            <w:vAlign w:val="center"/>
          </w:tcPr>
          <w:p w14:paraId="693EFB30" w14:textId="77777777" w:rsidR="005C3D48" w:rsidRPr="00411D9E" w:rsidRDefault="005C3D48" w:rsidP="005C3D48">
            <w:pPr>
              <w:jc w:val="left"/>
              <w:rPr>
                <w:rFonts w:cstheme="minorHAnsi"/>
              </w:rPr>
            </w:pPr>
            <w:r w:rsidRPr="00411D9E">
              <w:rPr>
                <w:rFonts w:cstheme="minorHAnsi"/>
              </w:rPr>
              <w:t>Grievance systems</w:t>
            </w:r>
          </w:p>
        </w:tc>
        <w:tc>
          <w:tcPr>
            <w:tcW w:w="1010" w:type="pct"/>
            <w:vAlign w:val="center"/>
          </w:tcPr>
          <w:p w14:paraId="30375D1F"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56FC2B54" w14:textId="77777777" w:rsidR="005C3D48" w:rsidRPr="00411D9E" w:rsidRDefault="005C3D48" w:rsidP="005C3D48">
            <w:pPr>
              <w:spacing w:before="100" w:beforeAutospacing="1" w:after="120"/>
              <w:jc w:val="left"/>
              <w:rPr>
                <w:rFonts w:cstheme="minorHAnsi"/>
              </w:rPr>
            </w:pPr>
            <w:r w:rsidRPr="00411D9E">
              <w:rPr>
                <w:rFonts w:cstheme="minorHAnsi"/>
              </w:rPr>
              <w:t xml:space="preserve">23 items were </w:t>
            </w:r>
            <w:proofErr w:type="spellStart"/>
            <w:r w:rsidRPr="00411D9E">
              <w:rPr>
                <w:rFonts w:cstheme="minorHAnsi"/>
              </w:rPr>
              <w:t>crosswalked</w:t>
            </w:r>
            <w:proofErr w:type="spellEnd"/>
            <w:r w:rsidRPr="00411D9E">
              <w:rPr>
                <w:rFonts w:cstheme="minorHAnsi"/>
              </w:rPr>
              <w:t xml:space="preserve"> to this category.</w:t>
            </w:r>
          </w:p>
          <w:p w14:paraId="231710C8"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23 items and was compliant on 23 items based on RY 2020.</w:t>
            </w:r>
          </w:p>
        </w:tc>
      </w:tr>
      <w:tr w:rsidR="005C3D48" w:rsidRPr="00411D9E" w14:paraId="765EBB10" w14:textId="77777777" w:rsidTr="00731066">
        <w:trPr>
          <w:cantSplit/>
          <w:trHeight w:val="288"/>
          <w:jc w:val="center"/>
        </w:trPr>
        <w:tc>
          <w:tcPr>
            <w:tcW w:w="1483" w:type="pct"/>
            <w:vAlign w:val="center"/>
          </w:tcPr>
          <w:p w14:paraId="5464A63F" w14:textId="77777777" w:rsidR="005C3D48" w:rsidRPr="00411D9E" w:rsidRDefault="005C3D48" w:rsidP="005C3D48">
            <w:pPr>
              <w:jc w:val="left"/>
              <w:rPr>
                <w:rFonts w:cstheme="minorHAnsi"/>
              </w:rPr>
            </w:pPr>
            <w:r w:rsidRPr="00411D9E">
              <w:rPr>
                <w:rFonts w:cstheme="minorHAnsi"/>
              </w:rPr>
              <w:t>Subcontractual relationships and delegation</w:t>
            </w:r>
          </w:p>
        </w:tc>
        <w:tc>
          <w:tcPr>
            <w:tcW w:w="1010" w:type="pct"/>
            <w:vAlign w:val="center"/>
          </w:tcPr>
          <w:p w14:paraId="344A943B"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2C257101" w14:textId="77777777" w:rsidR="005C3D48" w:rsidRPr="00411D9E" w:rsidRDefault="005C3D48" w:rsidP="005C3D48">
            <w:pPr>
              <w:spacing w:before="100" w:beforeAutospacing="1" w:after="120"/>
              <w:jc w:val="left"/>
              <w:rPr>
                <w:rFonts w:cstheme="minorHAnsi"/>
              </w:rPr>
            </w:pPr>
            <w:r w:rsidRPr="00411D9E">
              <w:rPr>
                <w:rFonts w:cstheme="minorHAnsi"/>
              </w:rPr>
              <w:t xml:space="preserve">2 items were </w:t>
            </w:r>
            <w:proofErr w:type="spellStart"/>
            <w:r w:rsidRPr="00411D9E">
              <w:rPr>
                <w:rFonts w:cstheme="minorHAnsi"/>
              </w:rPr>
              <w:t>crosswalked</w:t>
            </w:r>
            <w:proofErr w:type="spellEnd"/>
            <w:r w:rsidRPr="00411D9E">
              <w:rPr>
                <w:rFonts w:cstheme="minorHAnsi"/>
              </w:rPr>
              <w:t xml:space="preserve"> to this category.</w:t>
            </w:r>
          </w:p>
          <w:p w14:paraId="336CF779"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1 item and was compliant on this item based on RY 2020.</w:t>
            </w:r>
          </w:p>
        </w:tc>
      </w:tr>
      <w:tr w:rsidR="005C3D48" w:rsidRPr="00411D9E" w14:paraId="2E0235BC" w14:textId="77777777" w:rsidTr="00731066">
        <w:trPr>
          <w:cantSplit/>
          <w:trHeight w:val="288"/>
          <w:jc w:val="center"/>
        </w:trPr>
        <w:tc>
          <w:tcPr>
            <w:tcW w:w="1483" w:type="pct"/>
            <w:vAlign w:val="center"/>
          </w:tcPr>
          <w:p w14:paraId="2B3B5A69" w14:textId="77777777" w:rsidR="005C3D48" w:rsidRPr="00411D9E" w:rsidRDefault="005C3D48" w:rsidP="005C3D48">
            <w:pPr>
              <w:jc w:val="left"/>
              <w:rPr>
                <w:rFonts w:cstheme="minorHAnsi"/>
              </w:rPr>
            </w:pPr>
            <w:r w:rsidRPr="00411D9E">
              <w:rPr>
                <w:rFonts w:cstheme="minorHAnsi"/>
              </w:rPr>
              <w:t>Practice guidelines</w:t>
            </w:r>
          </w:p>
        </w:tc>
        <w:tc>
          <w:tcPr>
            <w:tcW w:w="1010" w:type="pct"/>
            <w:vAlign w:val="center"/>
          </w:tcPr>
          <w:p w14:paraId="1F0842E4"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1AFAE904" w14:textId="77777777" w:rsidR="005C3D48" w:rsidRPr="00411D9E" w:rsidRDefault="005C3D48" w:rsidP="005C3D48">
            <w:pPr>
              <w:spacing w:before="100" w:beforeAutospacing="1" w:after="120"/>
              <w:jc w:val="left"/>
              <w:rPr>
                <w:rFonts w:cstheme="minorHAnsi"/>
              </w:rPr>
            </w:pPr>
            <w:r w:rsidRPr="00411D9E">
              <w:rPr>
                <w:rFonts w:cstheme="minorHAnsi"/>
              </w:rPr>
              <w:t xml:space="preserve">2 items were </w:t>
            </w:r>
            <w:proofErr w:type="spellStart"/>
            <w:r w:rsidRPr="00411D9E">
              <w:rPr>
                <w:rFonts w:cstheme="minorHAnsi"/>
              </w:rPr>
              <w:t>crosswalked</w:t>
            </w:r>
            <w:proofErr w:type="spellEnd"/>
            <w:r w:rsidRPr="00411D9E">
              <w:rPr>
                <w:rFonts w:cstheme="minorHAnsi"/>
              </w:rPr>
              <w:t xml:space="preserve"> to this category.</w:t>
            </w:r>
          </w:p>
          <w:p w14:paraId="26C9FD2C"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2 items and was compliant on 2 items based on RY 2020.</w:t>
            </w:r>
          </w:p>
        </w:tc>
      </w:tr>
      <w:tr w:rsidR="005C3D48" w:rsidRPr="00411D9E" w14:paraId="00EB9FA9" w14:textId="77777777" w:rsidTr="00731066">
        <w:trPr>
          <w:cantSplit/>
          <w:trHeight w:val="288"/>
          <w:jc w:val="center"/>
        </w:trPr>
        <w:tc>
          <w:tcPr>
            <w:tcW w:w="1483" w:type="pct"/>
            <w:vAlign w:val="center"/>
          </w:tcPr>
          <w:p w14:paraId="25D44258" w14:textId="77777777" w:rsidR="005C3D48" w:rsidRPr="00411D9E" w:rsidRDefault="005C3D48" w:rsidP="005C3D48">
            <w:pPr>
              <w:jc w:val="left"/>
              <w:rPr>
                <w:rFonts w:cstheme="minorHAnsi"/>
              </w:rPr>
            </w:pPr>
            <w:r w:rsidRPr="00411D9E">
              <w:rPr>
                <w:rFonts w:cstheme="minorHAnsi"/>
              </w:rPr>
              <w:t>Health information systems</w:t>
            </w:r>
          </w:p>
        </w:tc>
        <w:tc>
          <w:tcPr>
            <w:tcW w:w="1010" w:type="pct"/>
            <w:vAlign w:val="center"/>
          </w:tcPr>
          <w:p w14:paraId="5B01E3AA" w14:textId="77777777" w:rsidR="005C3D48" w:rsidRPr="00411D9E" w:rsidRDefault="005C3D48" w:rsidP="005C3D48">
            <w:pPr>
              <w:spacing w:before="100" w:beforeAutospacing="1" w:after="100" w:afterAutospacing="1"/>
              <w:jc w:val="center"/>
              <w:rPr>
                <w:rFonts w:cstheme="minorHAnsi"/>
              </w:rPr>
            </w:pPr>
            <w:r w:rsidRPr="00411D9E">
              <w:rPr>
                <w:rFonts w:cstheme="minorHAnsi"/>
              </w:rPr>
              <w:t>Compliant</w:t>
            </w:r>
          </w:p>
        </w:tc>
        <w:tc>
          <w:tcPr>
            <w:tcW w:w="2507" w:type="pct"/>
            <w:vAlign w:val="center"/>
          </w:tcPr>
          <w:p w14:paraId="7287C559" w14:textId="77777777" w:rsidR="005C3D48" w:rsidRPr="00411D9E" w:rsidRDefault="005C3D48" w:rsidP="005C3D48">
            <w:pPr>
              <w:spacing w:before="100" w:beforeAutospacing="1" w:after="120"/>
              <w:jc w:val="left"/>
              <w:rPr>
                <w:rFonts w:cstheme="minorHAnsi"/>
              </w:rPr>
            </w:pPr>
            <w:r w:rsidRPr="00411D9E">
              <w:rPr>
                <w:rFonts w:cstheme="minorHAnsi"/>
              </w:rPr>
              <w:t xml:space="preserve">1 item was </w:t>
            </w:r>
            <w:proofErr w:type="spellStart"/>
            <w:r w:rsidRPr="00411D9E">
              <w:rPr>
                <w:rFonts w:cstheme="minorHAnsi"/>
              </w:rPr>
              <w:t>crosswalked</w:t>
            </w:r>
            <w:proofErr w:type="spellEnd"/>
            <w:r w:rsidRPr="00411D9E">
              <w:rPr>
                <w:rFonts w:cstheme="minorHAnsi"/>
              </w:rPr>
              <w:t xml:space="preserve"> to this category.</w:t>
            </w:r>
          </w:p>
          <w:p w14:paraId="5DAAEA4E" w14:textId="77777777" w:rsidR="005C3D48" w:rsidRPr="00411D9E" w:rsidRDefault="005C3D48" w:rsidP="005C3D48">
            <w:pPr>
              <w:spacing w:before="60" w:after="100" w:afterAutospacing="1"/>
              <w:jc w:val="left"/>
              <w:rPr>
                <w:rFonts w:cstheme="minorHAnsi"/>
              </w:rPr>
            </w:pPr>
            <w:r w:rsidRPr="00411D9E">
              <w:rPr>
                <w:rFonts w:cstheme="minorHAnsi"/>
              </w:rPr>
              <w:t>The MCO was evaluated against 1 item and was compliant on this item based on RY 2020.</w:t>
            </w:r>
          </w:p>
        </w:tc>
      </w:tr>
    </w:tbl>
    <w:p w14:paraId="6A58CA64" w14:textId="586DFB53" w:rsidR="005C3D48" w:rsidRPr="00411D9E" w:rsidRDefault="00BC31AE" w:rsidP="00BC31AE">
      <w:pPr>
        <w:spacing w:after="480"/>
        <w:rPr>
          <w:sz w:val="20"/>
          <w:szCs w:val="20"/>
        </w:rPr>
      </w:pPr>
      <w:r w:rsidRPr="00411D9E">
        <w:rPr>
          <w:sz w:val="20"/>
          <w:szCs w:val="20"/>
        </w:rPr>
        <w:t xml:space="preserve">MCO: managed care organization; PIHP: prepaid inpatient health plan; PAHP: prepaid ambulatory health plan; RY: reporting year. </w:t>
      </w:r>
    </w:p>
    <w:p w14:paraId="346F4ABB" w14:textId="77777777" w:rsidR="00BC31AE" w:rsidRPr="00411D9E" w:rsidRDefault="00BC31AE">
      <w:pPr>
        <w:rPr>
          <w:rFonts w:asciiTheme="majorHAnsi" w:eastAsiaTheme="majorEastAsia" w:hAnsiTheme="majorHAnsi" w:cstheme="majorBidi"/>
          <w:b/>
          <w:bCs/>
          <w:color w:val="4F81BD" w:themeColor="accent1"/>
        </w:rPr>
      </w:pPr>
      <w:bookmarkStart w:id="196" w:name="_Toc70508392"/>
      <w:r w:rsidRPr="00411D9E">
        <w:br w:type="page"/>
      </w:r>
    </w:p>
    <w:p w14:paraId="6B5960C7" w14:textId="39F984FA" w:rsidR="005C3D48" w:rsidRPr="00411D9E" w:rsidRDefault="005C3D48" w:rsidP="00DE51E7">
      <w:pPr>
        <w:pStyle w:val="Heading3"/>
      </w:pPr>
      <w:bookmarkStart w:id="197" w:name="_Toc99026967"/>
      <w:r w:rsidRPr="00411D9E">
        <w:lastRenderedPageBreak/>
        <w:t>Subpart E: Quality Measurement and Improvement</w:t>
      </w:r>
      <w:bookmarkEnd w:id="196"/>
      <w:bookmarkEnd w:id="197"/>
    </w:p>
    <w:p w14:paraId="5EE2A0A9" w14:textId="77777777" w:rsidR="005C3D48" w:rsidRPr="00411D9E" w:rsidRDefault="005C3D48" w:rsidP="005C3D48">
      <w:pPr>
        <w:rPr>
          <w:rFonts w:cs="Arial"/>
        </w:rPr>
      </w:pPr>
      <w:r w:rsidRPr="00411D9E">
        <w:rPr>
          <w:rFonts w:cs="Arial"/>
        </w:rPr>
        <w:t>The general purpose of the regulations included under this heading is to ensure that each contracting MCO implements and maintains a quality assessment and performance improvement program as required by the State. This includes implementing an ongoing comprehensive quality assessment and performance improvement program for the services it furnishes to its enrollees.</w:t>
      </w:r>
    </w:p>
    <w:p w14:paraId="373A62AA" w14:textId="77777777" w:rsidR="005C3D48" w:rsidRPr="00411D9E" w:rsidRDefault="005C3D48" w:rsidP="005243E4">
      <w:pPr>
        <w:pStyle w:val="tableheading"/>
        <w:rPr>
          <w:bCs w:val="0"/>
          <w:iCs w:val="0"/>
        </w:rPr>
      </w:pPr>
      <w:bookmarkStart w:id="198" w:name="_Toc448738495"/>
      <w:bookmarkStart w:id="199" w:name="_Toc500507244"/>
      <w:bookmarkStart w:id="200" w:name="_Toc70508420"/>
      <w:bookmarkStart w:id="201" w:name="_Toc99026997"/>
      <w:r w:rsidRPr="00411D9E">
        <w:t>Table 3.3: MCO Compliance with Quality Assessment and Performance Improvement Regulations</w:t>
      </w:r>
      <w:bookmarkEnd w:id="198"/>
      <w:bookmarkEnd w:id="199"/>
      <w:bookmarkEnd w:id="200"/>
      <w:bookmarkEnd w:id="2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180"/>
        <w:gridCol w:w="5410"/>
      </w:tblGrid>
      <w:tr w:rsidR="005C3D48" w:rsidRPr="00411D9E" w14:paraId="3C0EC9B7" w14:textId="77777777" w:rsidTr="00731066">
        <w:trPr>
          <w:cantSplit/>
          <w:trHeight w:val="288"/>
          <w:tblHeader/>
          <w:jc w:val="center"/>
        </w:trPr>
        <w:tc>
          <w:tcPr>
            <w:tcW w:w="5000" w:type="pct"/>
            <w:gridSpan w:val="3"/>
            <w:shd w:val="clear" w:color="auto" w:fill="8064A2" w:themeFill="accent4"/>
            <w:vAlign w:val="center"/>
          </w:tcPr>
          <w:p w14:paraId="55E7E37B" w14:textId="77777777" w:rsidR="005C3D48" w:rsidRPr="00411D9E" w:rsidRDefault="005C3D48" w:rsidP="005C3D48">
            <w:pPr>
              <w:jc w:val="center"/>
              <w:rPr>
                <w:b/>
                <w:color w:val="FFFFFF" w:themeColor="background1"/>
              </w:rPr>
            </w:pPr>
            <w:r w:rsidRPr="00411D9E">
              <w:rPr>
                <w:b/>
                <w:color w:val="FFFFFF" w:themeColor="background1"/>
              </w:rPr>
              <w:t>QUALITY MEASUREMENT AND IMPROVEMENT</w:t>
            </w:r>
          </w:p>
        </w:tc>
      </w:tr>
      <w:tr w:rsidR="005C3D48" w:rsidRPr="00411D9E" w14:paraId="609FFF47" w14:textId="77777777" w:rsidTr="00731066">
        <w:trPr>
          <w:cantSplit/>
          <w:trHeight w:val="288"/>
          <w:tblHeader/>
          <w:jc w:val="center"/>
        </w:trPr>
        <w:tc>
          <w:tcPr>
            <w:tcW w:w="1483" w:type="pct"/>
            <w:shd w:val="clear" w:color="auto" w:fill="CCC0D9" w:themeFill="accent4" w:themeFillTint="66"/>
            <w:vAlign w:val="center"/>
          </w:tcPr>
          <w:p w14:paraId="1E5D37C4" w14:textId="77777777" w:rsidR="005C3D48" w:rsidRPr="00411D9E" w:rsidRDefault="005C3D48" w:rsidP="005C3D48">
            <w:pPr>
              <w:spacing w:before="100" w:beforeAutospacing="1" w:after="100" w:afterAutospacing="1"/>
              <w:jc w:val="left"/>
              <w:rPr>
                <w:b/>
                <w:bCs/>
                <w:szCs w:val="20"/>
              </w:rPr>
            </w:pPr>
            <w:r w:rsidRPr="00411D9E">
              <w:rPr>
                <w:b/>
                <w:bCs/>
                <w:szCs w:val="20"/>
              </w:rPr>
              <w:t>Subpart E: Categories</w:t>
            </w:r>
          </w:p>
        </w:tc>
        <w:tc>
          <w:tcPr>
            <w:tcW w:w="1010" w:type="pct"/>
            <w:shd w:val="clear" w:color="auto" w:fill="CCC0D9" w:themeFill="accent4" w:themeFillTint="66"/>
            <w:vAlign w:val="center"/>
          </w:tcPr>
          <w:p w14:paraId="79311C36" w14:textId="77777777" w:rsidR="005C3D48" w:rsidRPr="00411D9E" w:rsidRDefault="005C3D48" w:rsidP="005C3D48">
            <w:pPr>
              <w:spacing w:before="100" w:beforeAutospacing="1" w:after="100" w:afterAutospacing="1"/>
              <w:jc w:val="center"/>
              <w:rPr>
                <w:b/>
                <w:bCs/>
                <w:szCs w:val="20"/>
              </w:rPr>
            </w:pPr>
            <w:r w:rsidRPr="00411D9E">
              <w:rPr>
                <w:b/>
                <w:bCs/>
                <w:szCs w:val="20"/>
              </w:rPr>
              <w:t>Compliance</w:t>
            </w:r>
          </w:p>
        </w:tc>
        <w:tc>
          <w:tcPr>
            <w:tcW w:w="2507" w:type="pct"/>
            <w:shd w:val="clear" w:color="auto" w:fill="CCC0D9" w:themeFill="accent4" w:themeFillTint="66"/>
            <w:vAlign w:val="center"/>
          </w:tcPr>
          <w:p w14:paraId="6C1444CB" w14:textId="77777777" w:rsidR="005C3D48" w:rsidRPr="00411D9E" w:rsidRDefault="005C3D48" w:rsidP="005C3D48">
            <w:pPr>
              <w:jc w:val="center"/>
              <w:rPr>
                <w:b/>
              </w:rPr>
            </w:pPr>
            <w:r w:rsidRPr="00411D9E">
              <w:rPr>
                <w:b/>
              </w:rPr>
              <w:t>Comments</w:t>
            </w:r>
          </w:p>
        </w:tc>
      </w:tr>
      <w:tr w:rsidR="005C3D48" w:rsidRPr="00411D9E" w14:paraId="683DB4E9" w14:textId="77777777" w:rsidTr="00731066">
        <w:trPr>
          <w:cantSplit/>
          <w:trHeight w:val="288"/>
          <w:jc w:val="center"/>
        </w:trPr>
        <w:tc>
          <w:tcPr>
            <w:tcW w:w="1483" w:type="pct"/>
            <w:vAlign w:val="center"/>
          </w:tcPr>
          <w:p w14:paraId="75113768" w14:textId="77777777" w:rsidR="005C3D48" w:rsidRPr="00411D9E" w:rsidRDefault="005C3D48" w:rsidP="005C3D48">
            <w:pPr>
              <w:jc w:val="left"/>
            </w:pPr>
            <w:r w:rsidRPr="00411D9E">
              <w:t>Quality assessment and performance improvement program (QAPI)</w:t>
            </w:r>
          </w:p>
        </w:tc>
        <w:tc>
          <w:tcPr>
            <w:tcW w:w="1010" w:type="pct"/>
            <w:vAlign w:val="center"/>
          </w:tcPr>
          <w:p w14:paraId="30879136" w14:textId="77777777" w:rsidR="005C3D48" w:rsidRPr="00411D9E" w:rsidRDefault="005C3D48" w:rsidP="005C3D48">
            <w:pPr>
              <w:spacing w:before="100" w:beforeAutospacing="1" w:after="100" w:afterAutospacing="1"/>
              <w:jc w:val="center"/>
              <w:rPr>
                <w:szCs w:val="20"/>
              </w:rPr>
            </w:pPr>
            <w:r w:rsidRPr="00411D9E">
              <w:rPr>
                <w:szCs w:val="20"/>
              </w:rPr>
              <w:t>Compliant</w:t>
            </w:r>
          </w:p>
        </w:tc>
        <w:tc>
          <w:tcPr>
            <w:tcW w:w="2507" w:type="pct"/>
            <w:vAlign w:val="center"/>
          </w:tcPr>
          <w:p w14:paraId="5BDA84FB" w14:textId="77777777" w:rsidR="005C3D48" w:rsidRPr="00411D9E" w:rsidRDefault="005C3D48" w:rsidP="005C3D48">
            <w:pPr>
              <w:spacing w:before="100" w:beforeAutospacing="1" w:after="120"/>
              <w:jc w:val="left"/>
              <w:rPr>
                <w:szCs w:val="20"/>
              </w:rPr>
            </w:pPr>
            <w:r w:rsidRPr="00411D9E">
              <w:rPr>
                <w:szCs w:val="20"/>
              </w:rPr>
              <w:t xml:space="preserve">5 items were </w:t>
            </w:r>
            <w:proofErr w:type="spellStart"/>
            <w:r w:rsidRPr="00411D9E">
              <w:rPr>
                <w:szCs w:val="20"/>
              </w:rPr>
              <w:t>crosswalked</w:t>
            </w:r>
            <w:proofErr w:type="spellEnd"/>
            <w:r w:rsidRPr="00411D9E">
              <w:rPr>
                <w:szCs w:val="20"/>
              </w:rPr>
              <w:t xml:space="preserve"> to this category.</w:t>
            </w:r>
          </w:p>
          <w:p w14:paraId="692C6C25" w14:textId="77777777" w:rsidR="005C3D48" w:rsidRPr="00411D9E" w:rsidRDefault="005C3D48" w:rsidP="005C3D48">
            <w:pPr>
              <w:spacing w:before="60" w:after="100" w:afterAutospacing="1"/>
              <w:jc w:val="left"/>
              <w:rPr>
                <w:szCs w:val="20"/>
              </w:rPr>
            </w:pPr>
            <w:r w:rsidRPr="00411D9E">
              <w:rPr>
                <w:rFonts w:cstheme="minorHAnsi"/>
              </w:rPr>
              <w:t>The MCO was evaluated against 5 items and was compliant on 5 items based on RY 2020.</w:t>
            </w:r>
          </w:p>
        </w:tc>
      </w:tr>
    </w:tbl>
    <w:p w14:paraId="3DC5E348" w14:textId="77777777" w:rsidR="00731066" w:rsidRPr="00411D9E" w:rsidRDefault="00731066" w:rsidP="00731066">
      <w:pPr>
        <w:spacing w:after="480"/>
        <w:rPr>
          <w:sz w:val="20"/>
          <w:szCs w:val="20"/>
        </w:rPr>
      </w:pPr>
      <w:r w:rsidRPr="00411D9E">
        <w:rPr>
          <w:sz w:val="20"/>
          <w:szCs w:val="20"/>
        </w:rPr>
        <w:t xml:space="preserve">MCO: managed care organization; RY: reporting year. </w:t>
      </w:r>
    </w:p>
    <w:p w14:paraId="68E371F9" w14:textId="77777777" w:rsidR="00731066" w:rsidRPr="00411D9E" w:rsidRDefault="00731066">
      <w:pPr>
        <w:rPr>
          <w:rFonts w:asciiTheme="majorHAnsi" w:eastAsiaTheme="majorEastAsia" w:hAnsiTheme="majorHAnsi" w:cstheme="majorBidi"/>
          <w:b/>
          <w:bCs/>
          <w:color w:val="365F91" w:themeColor="accent1" w:themeShade="BF"/>
          <w:sz w:val="28"/>
          <w:szCs w:val="28"/>
        </w:rPr>
      </w:pPr>
      <w:bookmarkStart w:id="202" w:name="_Toc68680832"/>
      <w:bookmarkStart w:id="203" w:name="_Toc92376789"/>
      <w:r w:rsidRPr="00411D9E">
        <w:br w:type="page"/>
      </w:r>
    </w:p>
    <w:p w14:paraId="3A6DB6F8" w14:textId="6BAD0D48" w:rsidR="005C3D48" w:rsidRPr="00411D9E" w:rsidRDefault="005C3D48" w:rsidP="00DE51E7">
      <w:pPr>
        <w:pStyle w:val="Heading1"/>
        <w:rPr>
          <w:rFonts w:ascii="Cambria" w:eastAsia="PMingLiU" w:hAnsi="Cambria" w:cs="Times New Roman"/>
          <w:b w:val="0"/>
          <w:bCs w:val="0"/>
          <w:color w:val="365F91"/>
        </w:rPr>
      </w:pPr>
      <w:bookmarkStart w:id="204" w:name="_Toc99026968"/>
      <w:r w:rsidRPr="00411D9E">
        <w:lastRenderedPageBreak/>
        <w:t xml:space="preserve">IV: </w:t>
      </w:r>
      <w:bookmarkEnd w:id="202"/>
      <w:r w:rsidR="00BA39B8" w:rsidRPr="00411D9E">
        <w:t>MCO Responses to the Previous EQR Recommendations</w:t>
      </w:r>
      <w:bookmarkEnd w:id="204"/>
    </w:p>
    <w:bookmarkEnd w:id="203"/>
    <w:p w14:paraId="1E111A5E" w14:textId="77777777" w:rsidR="005C3D48" w:rsidRPr="00411D9E" w:rsidRDefault="005C3D48" w:rsidP="005C3D48">
      <w:pPr>
        <w:rPr>
          <w:rFonts w:eastAsia="Times New Roman"/>
        </w:rPr>
      </w:pPr>
    </w:p>
    <w:p w14:paraId="112D4C90" w14:textId="77777777" w:rsidR="005C3D48" w:rsidRPr="00411D9E" w:rsidRDefault="005C3D48" w:rsidP="005C3D48">
      <w:pPr>
        <w:rPr>
          <w:rFonts w:eastAsia="Times New Roman"/>
        </w:rPr>
      </w:pPr>
      <w:r w:rsidRPr="00411D9E">
        <w:rPr>
          <w:rFonts w:eastAsia="Times New Roman"/>
          <w:i/>
          <w:iCs/>
        </w:rPr>
        <w:t xml:space="preserve">Title 42 CFR </w:t>
      </w:r>
      <w:r w:rsidRPr="00411D9E">
        <w:rPr>
          <w:rFonts w:eastAsia="Times New Roman"/>
          <w:i/>
          <w:iCs/>
          <w:color w:val="000000"/>
          <w:bdr w:val="none" w:sz="0" w:space="0" w:color="auto" w:frame="1"/>
          <w:shd w:val="clear" w:color="auto" w:fill="FFFFFF"/>
        </w:rPr>
        <w:t xml:space="preserve">§ </w:t>
      </w:r>
      <w:r w:rsidRPr="00411D9E">
        <w:rPr>
          <w:rFonts w:eastAsia="Times New Roman"/>
          <w:i/>
          <w:iCs/>
        </w:rPr>
        <w:t>438.364 External quality review results (a)(6)</w:t>
      </w:r>
      <w:r w:rsidRPr="00411D9E">
        <w:rPr>
          <w:rFonts w:eastAsia="Times New Roman"/>
        </w:rPr>
        <w:t xml:space="preserve"> require each annual technical report include “an assessment of the degree to which each MCO, PIHP, PAHP, or PCCM entity has effectively addressed the recommendations for QI made by the EQRO during the previous year’s EQR.” </w:t>
      </w:r>
      <w:r w:rsidRPr="00411D9E">
        <w:rPr>
          <w:rFonts w:eastAsia="Times New Roman"/>
          <w:b/>
        </w:rPr>
        <w:t>Table 4.1</w:t>
      </w:r>
      <w:r w:rsidRPr="00411D9E">
        <w:rPr>
          <w:rFonts w:eastAsia="Times New Roman"/>
        </w:rPr>
        <w:t xml:space="preserve"> displays the MCO’s opportunities as well as IPRO’s assessment of their responses. The detailed responses are included in the embedded Word document. In addition to the opportunities identified from the EQR, DHS also required MCOs to develop a root cause analysis around select P4P indicators.</w:t>
      </w:r>
    </w:p>
    <w:p w14:paraId="11DEDD93" w14:textId="77777777" w:rsidR="005C3D48" w:rsidRPr="00411D9E" w:rsidRDefault="005C3D48" w:rsidP="005C3D48">
      <w:pPr>
        <w:pStyle w:val="Heading2"/>
      </w:pPr>
      <w:bookmarkStart w:id="205" w:name="_Toc447022731"/>
      <w:bookmarkStart w:id="206" w:name="_Toc449099976"/>
      <w:bookmarkStart w:id="207" w:name="_Toc99026969"/>
      <w:r w:rsidRPr="00411D9E">
        <w:t>Current and Proposed Interventions</w:t>
      </w:r>
      <w:bookmarkEnd w:id="205"/>
      <w:bookmarkEnd w:id="206"/>
      <w:bookmarkEnd w:id="207"/>
    </w:p>
    <w:p w14:paraId="2DE6F8CA" w14:textId="77777777" w:rsidR="005C3D48" w:rsidRPr="00411D9E" w:rsidRDefault="005C3D48" w:rsidP="005C3D48">
      <w:pPr>
        <w:rPr>
          <w:rFonts w:eastAsia="Times New Roman"/>
        </w:rPr>
      </w:pPr>
    </w:p>
    <w:p w14:paraId="10E3338E" w14:textId="77777777" w:rsidR="005C3D48" w:rsidRPr="00411D9E" w:rsidRDefault="005C3D48" w:rsidP="005C3D48">
      <w:pPr>
        <w:rPr>
          <w:szCs w:val="20"/>
        </w:rPr>
      </w:pPr>
      <w:r w:rsidRPr="00411D9E">
        <w:rPr>
          <w:szCs w:val="20"/>
        </w:rPr>
        <w:t>The general purpose of this section is to assess the degree to which each CHIP MCO has addressed the opportunities for improvement made by IPRO in the 2020 EQR Technical Reports, which were distributed May 2021. The 2021 EQR is the third to include descriptions of current and proposed interventions from each CHIP MCO that address the prior year reports’ recommendations.</w:t>
      </w:r>
    </w:p>
    <w:p w14:paraId="773D7DB6" w14:textId="77777777" w:rsidR="005C3D48" w:rsidRPr="00411D9E" w:rsidRDefault="005C3D48" w:rsidP="005C3D48">
      <w:pPr>
        <w:rPr>
          <w:szCs w:val="20"/>
        </w:rPr>
      </w:pPr>
    </w:p>
    <w:p w14:paraId="0D0CB8FD" w14:textId="77777777" w:rsidR="005C3D48" w:rsidRPr="00411D9E" w:rsidRDefault="005C3D48" w:rsidP="005C3D48">
      <w:pPr>
        <w:rPr>
          <w:szCs w:val="20"/>
        </w:rPr>
      </w:pPr>
      <w:r w:rsidRPr="00411D9E">
        <w:rPr>
          <w:szCs w:val="20"/>
        </w:rPr>
        <w:t>DHS requested that MCOs submit descriptions of current and proposed interventions using the Opportunities for Improvement form developed by IPRO to ensure that responses are reported consistently across the MCOs. These activities follow a longitudinal format, and are designed to capture information relating to:</w:t>
      </w:r>
    </w:p>
    <w:p w14:paraId="3C217DC7" w14:textId="77777777" w:rsidR="005C3D48" w:rsidRPr="00411D9E" w:rsidRDefault="005C3D48" w:rsidP="00A0110E">
      <w:pPr>
        <w:pStyle w:val="ListParagraph"/>
        <w:numPr>
          <w:ilvl w:val="0"/>
          <w:numId w:val="18"/>
        </w:numPr>
      </w:pPr>
      <w:r w:rsidRPr="00411D9E">
        <w:t>Follow-up actions that the MCO has taken through June 30, 2021 to address each recommendation;</w:t>
      </w:r>
    </w:p>
    <w:p w14:paraId="6BE31A26" w14:textId="77777777" w:rsidR="005C3D48" w:rsidRPr="00411D9E" w:rsidRDefault="005C3D48" w:rsidP="00A0110E">
      <w:pPr>
        <w:pStyle w:val="ListParagraph"/>
        <w:numPr>
          <w:ilvl w:val="0"/>
          <w:numId w:val="18"/>
        </w:numPr>
      </w:pPr>
      <w:r w:rsidRPr="00411D9E">
        <w:t>Future actions that are planned to address each recommendation;</w:t>
      </w:r>
    </w:p>
    <w:p w14:paraId="026F225D" w14:textId="77777777" w:rsidR="005C3D48" w:rsidRPr="00411D9E" w:rsidRDefault="005C3D48" w:rsidP="00A0110E">
      <w:pPr>
        <w:pStyle w:val="ListParagraph"/>
        <w:numPr>
          <w:ilvl w:val="0"/>
          <w:numId w:val="18"/>
        </w:numPr>
      </w:pPr>
      <w:r w:rsidRPr="00411D9E">
        <w:t>When and how future actions will be accomplished;</w:t>
      </w:r>
    </w:p>
    <w:p w14:paraId="7C85F551" w14:textId="77777777" w:rsidR="005C3D48" w:rsidRPr="00411D9E" w:rsidRDefault="005C3D48" w:rsidP="00A0110E">
      <w:pPr>
        <w:pStyle w:val="ListParagraph"/>
        <w:numPr>
          <w:ilvl w:val="0"/>
          <w:numId w:val="18"/>
        </w:numPr>
      </w:pPr>
      <w:r w:rsidRPr="00411D9E">
        <w:t>The expected outcome or goals of the actions that were taken or will be taken; and</w:t>
      </w:r>
    </w:p>
    <w:p w14:paraId="3A2112B9" w14:textId="77777777" w:rsidR="005C3D48" w:rsidRPr="00411D9E" w:rsidRDefault="005C3D48" w:rsidP="00A0110E">
      <w:pPr>
        <w:pStyle w:val="ListParagraph"/>
        <w:numPr>
          <w:ilvl w:val="0"/>
          <w:numId w:val="18"/>
        </w:numPr>
      </w:pPr>
      <w:r w:rsidRPr="00411D9E">
        <w:t>The MCO’s process(es) for monitoring the action to determine the effectiveness of the actions taken.</w:t>
      </w:r>
    </w:p>
    <w:p w14:paraId="21D81C26" w14:textId="77777777" w:rsidR="005C3D48" w:rsidRPr="00411D9E" w:rsidRDefault="005C3D48" w:rsidP="005C3D48">
      <w:pPr>
        <w:rPr>
          <w:szCs w:val="20"/>
        </w:rPr>
      </w:pPr>
    </w:p>
    <w:p w14:paraId="7ABCA894" w14:textId="77777777" w:rsidR="005C3D48" w:rsidRPr="00411D9E" w:rsidRDefault="005C3D48" w:rsidP="005C3D48">
      <w:pPr>
        <w:rPr>
          <w:szCs w:val="20"/>
        </w:rPr>
      </w:pPr>
      <w:r w:rsidRPr="00411D9E">
        <w:rPr>
          <w:szCs w:val="20"/>
        </w:rPr>
        <w:t xml:space="preserve">The documents informing the current report include the response submitted to IPRO as of September 2021, as well as any additional relevant documentation provided by Highmark PPO. </w:t>
      </w:r>
    </w:p>
    <w:p w14:paraId="329C409C" w14:textId="77777777" w:rsidR="005C3D48" w:rsidRPr="00411D9E" w:rsidRDefault="005C3D48" w:rsidP="005C3D48">
      <w:pPr>
        <w:rPr>
          <w:szCs w:val="20"/>
        </w:rPr>
      </w:pPr>
    </w:p>
    <w:p w14:paraId="2F676A7A" w14:textId="77777777" w:rsidR="005C3D48" w:rsidRPr="00411D9E" w:rsidRDefault="005C3D48" w:rsidP="005C3D48">
      <w:pPr>
        <w:rPr>
          <w:szCs w:val="20"/>
        </w:rPr>
      </w:pPr>
      <w:r w:rsidRPr="00411D9E">
        <w:rPr>
          <w:szCs w:val="20"/>
        </w:rPr>
        <w:t xml:space="preserve">The embedded Word document presents Highmark PPO’s responses to opportunities for improvement cited by IPRO in the 2020 EQR Technical Report, detailing current and proposed interventions. </w:t>
      </w:r>
    </w:p>
    <w:p w14:paraId="2D6CA0F0" w14:textId="77777777" w:rsidR="005C3D48" w:rsidRPr="00411D9E" w:rsidRDefault="005C3D48" w:rsidP="005C3D48">
      <w:pPr>
        <w:rPr>
          <w:szCs w:val="20"/>
        </w:rPr>
      </w:pPr>
    </w:p>
    <w:bookmarkStart w:id="208" w:name="_MON_1707747180"/>
    <w:bookmarkEnd w:id="208"/>
    <w:p w14:paraId="3B66F021" w14:textId="77777777" w:rsidR="005C3D48" w:rsidRPr="00411D9E" w:rsidRDefault="005C3D48" w:rsidP="005C3D48">
      <w:pPr>
        <w:jc w:val="center"/>
      </w:pPr>
      <w:r w:rsidRPr="00411D9E">
        <w:object w:dxaOrig="1530" w:dyaOrig="990" w14:anchorId="4CE9A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712125290" r:id="rId13">
            <o:FieldCodes>\s</o:FieldCodes>
          </o:OLEObject>
        </w:object>
      </w:r>
    </w:p>
    <w:p w14:paraId="7716ECC4" w14:textId="77777777" w:rsidR="005C3D48" w:rsidRPr="00411D9E" w:rsidRDefault="005C3D48" w:rsidP="005C3D48">
      <w:pPr>
        <w:pStyle w:val="Heading2"/>
        <w:rPr>
          <w:rFonts w:eastAsia="Times New Roman"/>
        </w:rPr>
      </w:pPr>
      <w:bookmarkStart w:id="209" w:name="_Toc92376790"/>
      <w:bookmarkStart w:id="210" w:name="_Toc99026970"/>
      <w:r w:rsidRPr="00411D9E">
        <w:t>Highmark PPO Response to Previous EQR Recommendations</w:t>
      </w:r>
      <w:bookmarkEnd w:id="209"/>
      <w:bookmarkEnd w:id="210"/>
    </w:p>
    <w:p w14:paraId="40AEA661" w14:textId="0FE87C9D" w:rsidR="005C3D48" w:rsidRPr="00411D9E" w:rsidRDefault="005C3D48" w:rsidP="005C3D48">
      <w:pPr>
        <w:rPr>
          <w:rFonts w:eastAsia="Times New Roman"/>
          <w:i/>
          <w:iCs/>
          <w:szCs w:val="20"/>
        </w:rPr>
      </w:pPr>
      <w:r w:rsidRPr="00411D9E">
        <w:rPr>
          <w:rFonts w:eastAsia="Times New Roman"/>
          <w:b/>
          <w:bCs/>
          <w:szCs w:val="20"/>
        </w:rPr>
        <w:t>Table 4.1</w:t>
      </w:r>
      <w:r w:rsidRPr="00411D9E">
        <w:rPr>
          <w:rFonts w:eastAsia="Times New Roman"/>
          <w:szCs w:val="20"/>
        </w:rPr>
        <w:t xml:space="preserve"> displays Highmark PPO’s progress related to the </w:t>
      </w:r>
      <w:r w:rsidRPr="00411D9E">
        <w:rPr>
          <w:rFonts w:eastAsia="Times New Roman"/>
          <w:i/>
          <w:iCs/>
          <w:szCs w:val="20"/>
        </w:rPr>
        <w:t>2020 External Quality Review Report,</w:t>
      </w:r>
      <w:r w:rsidRPr="00411D9E">
        <w:rPr>
          <w:rFonts w:eastAsia="Times New Roman"/>
          <w:szCs w:val="20"/>
        </w:rPr>
        <w:t xml:space="preserve"> as well as IPRO’s assessment of Highmark PPO’s response.</w:t>
      </w:r>
    </w:p>
    <w:p w14:paraId="0731ADDC" w14:textId="77777777" w:rsidR="005C3D48" w:rsidRPr="00411D9E" w:rsidRDefault="005C3D48" w:rsidP="00DE51E7">
      <w:pPr>
        <w:pStyle w:val="tableheading"/>
      </w:pPr>
      <w:bookmarkStart w:id="211" w:name="_Toc92376843"/>
      <w:bookmarkStart w:id="212" w:name="_Toc99026998"/>
      <w:r w:rsidRPr="00411D9E">
        <w:t xml:space="preserve">Table </w:t>
      </w:r>
      <w:r w:rsidR="00D32450">
        <w:fldChar w:fldCharType="begin"/>
      </w:r>
      <w:r w:rsidR="00D32450">
        <w:instrText xml:space="preserve"> SEQ Table \* ARABIC </w:instrText>
      </w:r>
      <w:r w:rsidR="00D32450">
        <w:fldChar w:fldCharType="separate"/>
      </w:r>
      <w:r w:rsidRPr="00411D9E">
        <w:t>4.1</w:t>
      </w:r>
      <w:r w:rsidR="00D32450">
        <w:fldChar w:fldCharType="end"/>
      </w:r>
      <w:r w:rsidRPr="00411D9E">
        <w:t>: Highmark PPO Response to Previous EQR Recommendations</w:t>
      </w:r>
      <w:bookmarkEnd w:id="211"/>
      <w:bookmarkEnd w:id="212"/>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8964"/>
        <w:gridCol w:w="1826"/>
      </w:tblGrid>
      <w:tr w:rsidR="005C3D48" w:rsidRPr="00411D9E" w14:paraId="2227D846" w14:textId="77777777" w:rsidTr="0047009F">
        <w:trPr>
          <w:trHeight w:val="277"/>
          <w:tblHeader/>
        </w:trPr>
        <w:tc>
          <w:tcPr>
            <w:tcW w:w="4154" w:type="pct"/>
            <w:shd w:val="clear" w:color="auto" w:fill="5F497A" w:themeFill="accent4" w:themeFillShade="BF"/>
            <w:vAlign w:val="center"/>
          </w:tcPr>
          <w:p w14:paraId="17E78380" w14:textId="77777777" w:rsidR="005C3D48" w:rsidRPr="00411D9E" w:rsidRDefault="005C3D48" w:rsidP="00FF262E">
            <w:pPr>
              <w:jc w:val="center"/>
              <w:rPr>
                <w:b/>
                <w:color w:val="FFFFFF" w:themeColor="background1"/>
              </w:rPr>
            </w:pPr>
            <w:r w:rsidRPr="00411D9E">
              <w:rPr>
                <w:b/>
                <w:color w:val="FFFFFF" w:themeColor="background1"/>
              </w:rPr>
              <w:t>Recommendation for Highmark PPO</w:t>
            </w:r>
          </w:p>
        </w:tc>
        <w:tc>
          <w:tcPr>
            <w:tcW w:w="846" w:type="pct"/>
            <w:shd w:val="clear" w:color="auto" w:fill="5F497A" w:themeFill="accent4" w:themeFillShade="BF"/>
            <w:vAlign w:val="bottom"/>
          </w:tcPr>
          <w:p w14:paraId="27AC9048" w14:textId="77777777" w:rsidR="005C3D48" w:rsidRPr="00411D9E" w:rsidRDefault="005C3D48" w:rsidP="00FF262E">
            <w:pPr>
              <w:jc w:val="center"/>
              <w:rPr>
                <w:b/>
                <w:color w:val="FFFFFF" w:themeColor="background1"/>
                <w:vertAlign w:val="superscript"/>
              </w:rPr>
            </w:pPr>
            <w:r w:rsidRPr="00411D9E">
              <w:rPr>
                <w:b/>
                <w:color w:val="FFFFFF" w:themeColor="background1"/>
              </w:rPr>
              <w:t>IPRO Assessment of MCO Response</w:t>
            </w:r>
            <w:r w:rsidRPr="00411D9E">
              <w:rPr>
                <w:b/>
                <w:color w:val="FFFFFF" w:themeColor="background1"/>
                <w:vertAlign w:val="superscript"/>
              </w:rPr>
              <w:t>1</w:t>
            </w:r>
          </w:p>
        </w:tc>
      </w:tr>
      <w:tr w:rsidR="005C3D48" w:rsidRPr="00411D9E" w14:paraId="02754CA3" w14:textId="77777777" w:rsidTr="0047009F">
        <w:trPr>
          <w:trHeight w:val="277"/>
        </w:trPr>
        <w:tc>
          <w:tcPr>
            <w:tcW w:w="4154" w:type="pct"/>
          </w:tcPr>
          <w:p w14:paraId="6DA0BF28" w14:textId="77777777" w:rsidR="005C3D48" w:rsidRPr="00411D9E" w:rsidRDefault="005C3D48" w:rsidP="00FF262E">
            <w:bookmarkStart w:id="213" w:name="_Hlk97135788"/>
            <w:r w:rsidRPr="00411D9E">
              <w:t>Improve Childhood Immunization Status – IPV</w:t>
            </w:r>
          </w:p>
        </w:tc>
        <w:tc>
          <w:tcPr>
            <w:tcW w:w="846" w:type="pct"/>
          </w:tcPr>
          <w:p w14:paraId="4AD2578B" w14:textId="77777777" w:rsidR="005C3D48" w:rsidRPr="00411D9E" w:rsidRDefault="005C3D48" w:rsidP="00FF262E">
            <w:pPr>
              <w:jc w:val="center"/>
            </w:pPr>
            <w:r w:rsidRPr="00411D9E">
              <w:t>Addressed</w:t>
            </w:r>
          </w:p>
        </w:tc>
      </w:tr>
      <w:tr w:rsidR="005C3D48" w:rsidRPr="00411D9E" w14:paraId="0EC2BA35" w14:textId="77777777" w:rsidTr="0047009F">
        <w:trPr>
          <w:trHeight w:val="277"/>
        </w:trPr>
        <w:tc>
          <w:tcPr>
            <w:tcW w:w="4154" w:type="pct"/>
          </w:tcPr>
          <w:p w14:paraId="6909B439" w14:textId="6FA6C72C" w:rsidR="005C3D48" w:rsidRPr="00411D9E" w:rsidRDefault="005C3D48" w:rsidP="00FF262E">
            <w:r w:rsidRPr="00411D9E">
              <w:t xml:space="preserve">Improve Childhood Immunization Status – </w:t>
            </w:r>
            <w:proofErr w:type="spellStart"/>
            <w:r w:rsidR="009D4B09" w:rsidRPr="00411D9E">
              <w:t>Hi</w:t>
            </w:r>
            <w:r w:rsidR="009D4B09">
              <w:t>B</w:t>
            </w:r>
            <w:proofErr w:type="spellEnd"/>
          </w:p>
        </w:tc>
        <w:tc>
          <w:tcPr>
            <w:tcW w:w="846" w:type="pct"/>
          </w:tcPr>
          <w:p w14:paraId="3453D297" w14:textId="77777777" w:rsidR="005C3D48" w:rsidRPr="00411D9E" w:rsidRDefault="005C3D48" w:rsidP="00FF262E">
            <w:pPr>
              <w:jc w:val="center"/>
            </w:pPr>
            <w:r w:rsidRPr="00411D9E">
              <w:t>Addressed</w:t>
            </w:r>
          </w:p>
        </w:tc>
      </w:tr>
      <w:bookmarkEnd w:id="213"/>
      <w:tr w:rsidR="005C3D48" w:rsidRPr="00411D9E" w14:paraId="72A046B0" w14:textId="77777777" w:rsidTr="0047009F">
        <w:trPr>
          <w:trHeight w:val="277"/>
        </w:trPr>
        <w:tc>
          <w:tcPr>
            <w:tcW w:w="4154" w:type="pct"/>
          </w:tcPr>
          <w:p w14:paraId="5F6E4471" w14:textId="77777777" w:rsidR="005C3D48" w:rsidRPr="00411D9E" w:rsidRDefault="005C3D48" w:rsidP="00FF262E">
            <w:r w:rsidRPr="00411D9E">
              <w:t>Improve Childhood Immunization Status – Hepatitis B</w:t>
            </w:r>
          </w:p>
        </w:tc>
        <w:tc>
          <w:tcPr>
            <w:tcW w:w="846" w:type="pct"/>
          </w:tcPr>
          <w:p w14:paraId="24447DF1" w14:textId="77777777" w:rsidR="005C3D48" w:rsidRPr="00411D9E" w:rsidRDefault="005C3D48" w:rsidP="00FF262E">
            <w:pPr>
              <w:jc w:val="center"/>
            </w:pPr>
            <w:r w:rsidRPr="00411D9E">
              <w:t>Addressed</w:t>
            </w:r>
          </w:p>
        </w:tc>
      </w:tr>
      <w:tr w:rsidR="005C3D48" w:rsidRPr="00411D9E" w14:paraId="15CCA7E1" w14:textId="77777777" w:rsidTr="0047009F">
        <w:trPr>
          <w:trHeight w:val="277"/>
        </w:trPr>
        <w:tc>
          <w:tcPr>
            <w:tcW w:w="4154" w:type="pct"/>
            <w:shd w:val="clear" w:color="auto" w:fill="auto"/>
          </w:tcPr>
          <w:p w14:paraId="09C4BA5D" w14:textId="77777777" w:rsidR="005C3D48" w:rsidRPr="00411D9E" w:rsidRDefault="005C3D48" w:rsidP="00FF262E">
            <w:r w:rsidRPr="00411D9E">
              <w:t>Improve Lead Screening in Children (Age 2 years)</w:t>
            </w:r>
          </w:p>
        </w:tc>
        <w:tc>
          <w:tcPr>
            <w:tcW w:w="846" w:type="pct"/>
          </w:tcPr>
          <w:p w14:paraId="5B2E2EF7" w14:textId="77777777" w:rsidR="005C3D48" w:rsidRPr="00411D9E" w:rsidRDefault="005C3D48" w:rsidP="00FF262E">
            <w:pPr>
              <w:jc w:val="center"/>
            </w:pPr>
            <w:r w:rsidRPr="00411D9E">
              <w:t>Partially addressed</w:t>
            </w:r>
          </w:p>
        </w:tc>
      </w:tr>
      <w:tr w:rsidR="005C3D48" w:rsidRPr="00411D9E" w14:paraId="0D951468" w14:textId="77777777" w:rsidTr="0047009F">
        <w:trPr>
          <w:trHeight w:val="277"/>
        </w:trPr>
        <w:tc>
          <w:tcPr>
            <w:tcW w:w="4154" w:type="pct"/>
          </w:tcPr>
          <w:p w14:paraId="675116A9" w14:textId="77777777" w:rsidR="005C3D48" w:rsidRPr="00411D9E" w:rsidRDefault="005C3D48" w:rsidP="00FF262E">
            <w:r w:rsidRPr="00411D9E">
              <w:t>Improve Chlamydia Screening in Women (16–20 years)</w:t>
            </w:r>
          </w:p>
        </w:tc>
        <w:tc>
          <w:tcPr>
            <w:tcW w:w="846" w:type="pct"/>
          </w:tcPr>
          <w:p w14:paraId="2CDF4CE1" w14:textId="77777777" w:rsidR="005C3D48" w:rsidRPr="00411D9E" w:rsidRDefault="005C3D48" w:rsidP="00FF262E">
            <w:pPr>
              <w:jc w:val="center"/>
            </w:pPr>
            <w:r w:rsidRPr="00411D9E">
              <w:t>Remains an opportunity for improvement</w:t>
            </w:r>
          </w:p>
        </w:tc>
      </w:tr>
      <w:tr w:rsidR="005C3D48" w:rsidRPr="00411D9E" w14:paraId="52857B5C" w14:textId="77777777" w:rsidTr="0047009F">
        <w:trPr>
          <w:trHeight w:val="277"/>
        </w:trPr>
        <w:tc>
          <w:tcPr>
            <w:tcW w:w="4154" w:type="pct"/>
          </w:tcPr>
          <w:p w14:paraId="2B3C83E4" w14:textId="77777777" w:rsidR="005C3D48" w:rsidRPr="00411D9E" w:rsidRDefault="005C3D48" w:rsidP="00FF262E">
            <w:r w:rsidRPr="00411D9E">
              <w:lastRenderedPageBreak/>
              <w:t>Improve Chlamydia Screening in Women – Total</w:t>
            </w:r>
          </w:p>
        </w:tc>
        <w:tc>
          <w:tcPr>
            <w:tcW w:w="846" w:type="pct"/>
          </w:tcPr>
          <w:p w14:paraId="4B9C9ED0" w14:textId="77777777" w:rsidR="005C3D48" w:rsidRPr="00411D9E" w:rsidRDefault="005C3D48" w:rsidP="00FF262E">
            <w:pPr>
              <w:jc w:val="center"/>
            </w:pPr>
            <w:r w:rsidRPr="00411D9E">
              <w:t>Remains an opportunity for improvement</w:t>
            </w:r>
          </w:p>
        </w:tc>
      </w:tr>
      <w:tr w:rsidR="005C3D48" w:rsidRPr="00411D9E" w14:paraId="471487CD" w14:textId="77777777" w:rsidTr="0047009F">
        <w:trPr>
          <w:trHeight w:val="277"/>
        </w:trPr>
        <w:tc>
          <w:tcPr>
            <w:tcW w:w="4154" w:type="pct"/>
          </w:tcPr>
          <w:p w14:paraId="65DA648B" w14:textId="77777777" w:rsidR="005C3D48" w:rsidRPr="00411D9E" w:rsidRDefault="005C3D48" w:rsidP="00FF262E">
            <w:r w:rsidRPr="00411D9E">
              <w:t>Improve Developmental Screening in the First Three Years of Life – Total</w:t>
            </w:r>
          </w:p>
        </w:tc>
        <w:tc>
          <w:tcPr>
            <w:tcW w:w="846" w:type="pct"/>
          </w:tcPr>
          <w:p w14:paraId="06500676" w14:textId="77777777" w:rsidR="005C3D48" w:rsidRPr="00411D9E" w:rsidRDefault="005C3D48" w:rsidP="00FF262E">
            <w:pPr>
              <w:jc w:val="center"/>
            </w:pPr>
            <w:r w:rsidRPr="00411D9E">
              <w:t>Addressed</w:t>
            </w:r>
          </w:p>
        </w:tc>
      </w:tr>
      <w:tr w:rsidR="005C3D48" w:rsidRPr="00411D9E" w14:paraId="6AE51647" w14:textId="77777777" w:rsidTr="0047009F">
        <w:trPr>
          <w:trHeight w:val="277"/>
        </w:trPr>
        <w:tc>
          <w:tcPr>
            <w:tcW w:w="4154" w:type="pct"/>
          </w:tcPr>
          <w:p w14:paraId="79AAA061" w14:textId="77777777" w:rsidR="005C3D48" w:rsidRPr="00411D9E" w:rsidRDefault="005C3D48" w:rsidP="00FF262E">
            <w:r w:rsidRPr="00411D9E">
              <w:t>Improve Developmental Screening in the First Three Years of Life – 3 years</w:t>
            </w:r>
          </w:p>
        </w:tc>
        <w:tc>
          <w:tcPr>
            <w:tcW w:w="846" w:type="pct"/>
          </w:tcPr>
          <w:p w14:paraId="21D7B26F" w14:textId="77777777" w:rsidR="005C3D48" w:rsidRPr="00411D9E" w:rsidRDefault="005C3D48" w:rsidP="00FF262E">
            <w:pPr>
              <w:jc w:val="center"/>
            </w:pPr>
            <w:r w:rsidRPr="00411D9E">
              <w:t>Addressed</w:t>
            </w:r>
          </w:p>
        </w:tc>
      </w:tr>
      <w:tr w:rsidR="005C3D48" w:rsidRPr="00411D9E" w14:paraId="23E91F41" w14:textId="77777777" w:rsidTr="0047009F">
        <w:trPr>
          <w:trHeight w:val="277"/>
        </w:trPr>
        <w:tc>
          <w:tcPr>
            <w:tcW w:w="4154" w:type="pct"/>
          </w:tcPr>
          <w:p w14:paraId="71948658" w14:textId="77777777" w:rsidR="005C3D48" w:rsidRPr="00411D9E" w:rsidRDefault="005C3D48" w:rsidP="00FF262E">
            <w:r w:rsidRPr="00411D9E">
              <w:t>Improve AMBA: Emergency Department Visits/1000 MM Ages 1 – 9 years</w:t>
            </w:r>
          </w:p>
        </w:tc>
        <w:tc>
          <w:tcPr>
            <w:tcW w:w="846" w:type="pct"/>
          </w:tcPr>
          <w:p w14:paraId="69F2D52D" w14:textId="77777777" w:rsidR="005C3D48" w:rsidRPr="00411D9E" w:rsidRDefault="005C3D48" w:rsidP="00FF262E">
            <w:pPr>
              <w:jc w:val="center"/>
            </w:pPr>
            <w:r w:rsidRPr="00411D9E">
              <w:t>Partially addressed</w:t>
            </w:r>
          </w:p>
        </w:tc>
      </w:tr>
      <w:tr w:rsidR="005C3D48" w:rsidRPr="00411D9E" w14:paraId="3A66C08B" w14:textId="77777777" w:rsidTr="0047009F">
        <w:trPr>
          <w:trHeight w:val="277"/>
        </w:trPr>
        <w:tc>
          <w:tcPr>
            <w:tcW w:w="4154" w:type="pct"/>
          </w:tcPr>
          <w:p w14:paraId="4160B669" w14:textId="77777777" w:rsidR="005C3D48" w:rsidRPr="00411D9E" w:rsidRDefault="005C3D48" w:rsidP="00FF262E">
            <w:r w:rsidRPr="00411D9E">
              <w:t>Improve AMBA: Emergency Department Visits/1000 MM Ages 10 – 19 years</w:t>
            </w:r>
          </w:p>
        </w:tc>
        <w:tc>
          <w:tcPr>
            <w:tcW w:w="846" w:type="pct"/>
          </w:tcPr>
          <w:p w14:paraId="3642C405" w14:textId="77777777" w:rsidR="005C3D48" w:rsidRPr="00411D9E" w:rsidRDefault="005C3D48" w:rsidP="00FF262E">
            <w:pPr>
              <w:jc w:val="center"/>
            </w:pPr>
            <w:r w:rsidRPr="00411D9E">
              <w:t>Partially addressed</w:t>
            </w:r>
          </w:p>
        </w:tc>
      </w:tr>
      <w:tr w:rsidR="005C3D48" w:rsidRPr="00411D9E" w14:paraId="6B27AC65" w14:textId="77777777" w:rsidTr="0047009F">
        <w:trPr>
          <w:trHeight w:val="277"/>
        </w:trPr>
        <w:tc>
          <w:tcPr>
            <w:tcW w:w="4154" w:type="pct"/>
          </w:tcPr>
          <w:p w14:paraId="12F56E57" w14:textId="77777777" w:rsidR="005C3D48" w:rsidRPr="00411D9E" w:rsidRDefault="005C3D48" w:rsidP="00FF262E">
            <w:r w:rsidRPr="00411D9E">
              <w:t>Improve AMBA: Emergency Department Visits/1000 MM Ages &lt;1 – 19 years Total Rate</w:t>
            </w:r>
          </w:p>
        </w:tc>
        <w:tc>
          <w:tcPr>
            <w:tcW w:w="846" w:type="pct"/>
          </w:tcPr>
          <w:p w14:paraId="6C96AAE9" w14:textId="77777777" w:rsidR="005C3D48" w:rsidRPr="00411D9E" w:rsidRDefault="005C3D48" w:rsidP="00FF262E">
            <w:pPr>
              <w:jc w:val="center"/>
            </w:pPr>
            <w:r w:rsidRPr="00411D9E">
              <w:t>Partially addressed</w:t>
            </w:r>
          </w:p>
        </w:tc>
      </w:tr>
    </w:tbl>
    <w:p w14:paraId="06AEC43F" w14:textId="798CEA4B" w:rsidR="0047009F" w:rsidRPr="00411D9E" w:rsidRDefault="0047009F" w:rsidP="0047009F">
      <w:pPr>
        <w:shd w:val="clear" w:color="auto" w:fill="FFFFFF"/>
        <w:jc w:val="left"/>
        <w:rPr>
          <w:rFonts w:eastAsia="Times New Roman" w:cstheme="minorHAnsi"/>
          <w:color w:val="201F1E"/>
          <w:sz w:val="20"/>
          <w:szCs w:val="20"/>
          <w:lang w:bidi="ar-SA"/>
        </w:rPr>
      </w:pPr>
      <w:r w:rsidRPr="00411D9E">
        <w:rPr>
          <w:rFonts w:eastAsia="Times New Roman" w:cstheme="minorHAnsi"/>
          <w:sz w:val="20"/>
          <w:szCs w:val="20"/>
          <w:vertAlign w:val="superscript"/>
          <w:lang w:bidi="ar-SA"/>
        </w:rPr>
        <w:t>1</w:t>
      </w:r>
      <w:r w:rsidRPr="00411D9E">
        <w:rPr>
          <w:rFonts w:eastAsia="Times New Roman" w:cstheme="minorHAnsi"/>
          <w:sz w:val="20"/>
          <w:szCs w:val="20"/>
          <w:lang w:bidi="ar-SA"/>
        </w:rPr>
        <w:t xml:space="preserve"> IPRO assessments are as follows: </w:t>
      </w:r>
      <w:r w:rsidRPr="00411D9E">
        <w:rPr>
          <w:rFonts w:eastAsia="Times New Roman" w:cstheme="minorHAnsi"/>
          <w:b/>
          <w:sz w:val="20"/>
          <w:szCs w:val="20"/>
          <w:lang w:bidi="ar-SA"/>
        </w:rPr>
        <w:t>addressed</w:t>
      </w:r>
      <w:r w:rsidRPr="00411D9E">
        <w:rPr>
          <w:rFonts w:eastAsia="Times New Roman" w:cstheme="minorHAnsi"/>
          <w:sz w:val="20"/>
          <w:szCs w:val="20"/>
          <w:lang w:bidi="ar-SA"/>
        </w:rPr>
        <w:t xml:space="preserve">: </w:t>
      </w:r>
      <w:r w:rsidR="00E45F45" w:rsidRPr="00411D9E">
        <w:rPr>
          <w:rFonts w:eastAsia="Times New Roman" w:cstheme="minorHAnsi"/>
          <w:color w:val="201F1E"/>
          <w:sz w:val="20"/>
          <w:szCs w:val="20"/>
          <w:lang w:bidi="ar-SA"/>
        </w:rPr>
        <w:t>MC</w:t>
      </w:r>
      <w:r w:rsidR="00E45F45">
        <w:rPr>
          <w:rFonts w:eastAsia="Times New Roman" w:cstheme="minorHAnsi"/>
          <w:color w:val="201F1E"/>
          <w:sz w:val="20"/>
          <w:szCs w:val="20"/>
          <w:lang w:bidi="ar-SA"/>
        </w:rPr>
        <w:t>O</w:t>
      </w:r>
      <w:r w:rsidR="00E45F45" w:rsidRPr="00411D9E">
        <w:rPr>
          <w:rFonts w:eastAsia="Times New Roman" w:cstheme="minorHAnsi"/>
          <w:color w:val="201F1E"/>
          <w:sz w:val="20"/>
          <w:szCs w:val="20"/>
          <w:lang w:bidi="ar-SA"/>
        </w:rPr>
        <w:t xml:space="preserve">’s </w:t>
      </w:r>
      <w:r w:rsidRPr="00411D9E">
        <w:rPr>
          <w:rFonts w:eastAsia="Times New Roman" w:cstheme="minorHAnsi"/>
          <w:color w:val="201F1E"/>
          <w:sz w:val="20"/>
          <w:szCs w:val="20"/>
          <w:lang w:bidi="ar-SA"/>
        </w:rPr>
        <w:t xml:space="preserve">quality improvement (QI) response resulted in demonstrated improvement; </w:t>
      </w:r>
      <w:r w:rsidRPr="00411D9E">
        <w:rPr>
          <w:rFonts w:eastAsia="Times New Roman" w:cstheme="minorHAnsi"/>
          <w:b/>
          <w:sz w:val="20"/>
          <w:szCs w:val="20"/>
          <w:lang w:bidi="ar-SA"/>
        </w:rPr>
        <w:t>partially addressed</w:t>
      </w:r>
      <w:r w:rsidRPr="00411D9E">
        <w:rPr>
          <w:rFonts w:eastAsia="Times New Roman" w:cstheme="minorHAnsi"/>
          <w:sz w:val="20"/>
          <w:szCs w:val="20"/>
          <w:lang w:bidi="ar-SA"/>
        </w:rPr>
        <w:t xml:space="preserve">: either of the following (1) </w:t>
      </w:r>
      <w:r w:rsidRPr="00411D9E">
        <w:rPr>
          <w:rFonts w:eastAsia="Times New Roman" w:cstheme="minorHAnsi"/>
          <w:color w:val="201F1E"/>
          <w:sz w:val="20"/>
          <w:szCs w:val="20"/>
          <w:lang w:bidi="ar-SA"/>
        </w:rPr>
        <w:t xml:space="preserve">improvement was observed, but identified as an opportunity for current year; or (2) improvement not observed, but not identified as an opportunity for current year; </w:t>
      </w:r>
      <w:r w:rsidRPr="00411D9E">
        <w:rPr>
          <w:rFonts w:ascii="Calibri" w:eastAsia="Times New Roman" w:hAnsi="Calibri" w:cs="Calibri"/>
          <w:b/>
          <w:color w:val="000000"/>
          <w:sz w:val="20"/>
          <w:szCs w:val="20"/>
          <w:shd w:val="clear" w:color="auto" w:fill="FFFFFF"/>
          <w:lang w:bidi="ar-SA"/>
        </w:rPr>
        <w:t>remains an opportunity for improvement</w:t>
      </w:r>
      <w:r w:rsidRPr="00411D9E">
        <w:rPr>
          <w:rFonts w:eastAsia="Times New Roman" w:cstheme="minorHAnsi"/>
          <w:color w:val="201F1E"/>
          <w:sz w:val="20"/>
          <w:szCs w:val="20"/>
          <w:lang w:bidi="ar-SA"/>
        </w:rPr>
        <w:t xml:space="preserve">: </w:t>
      </w:r>
      <w:r w:rsidR="00E45F45" w:rsidRPr="00411D9E">
        <w:rPr>
          <w:rFonts w:eastAsia="Times New Roman" w:cstheme="minorHAnsi"/>
          <w:color w:val="201F1E"/>
          <w:sz w:val="20"/>
          <w:szCs w:val="20"/>
          <w:lang w:bidi="ar-SA"/>
        </w:rPr>
        <w:t>MC</w:t>
      </w:r>
      <w:r w:rsidR="00E45F45">
        <w:rPr>
          <w:rFonts w:eastAsia="Times New Roman" w:cstheme="minorHAnsi"/>
          <w:color w:val="201F1E"/>
          <w:sz w:val="20"/>
          <w:szCs w:val="20"/>
          <w:lang w:bidi="ar-SA"/>
        </w:rPr>
        <w:t>O</w:t>
      </w:r>
      <w:r w:rsidR="00E45F45" w:rsidRPr="00411D9E">
        <w:rPr>
          <w:rFonts w:eastAsia="Times New Roman" w:cstheme="minorHAnsi"/>
          <w:color w:val="201F1E"/>
          <w:sz w:val="20"/>
          <w:szCs w:val="20"/>
          <w:lang w:bidi="ar-SA"/>
        </w:rPr>
        <w:t xml:space="preserve">’s </w:t>
      </w:r>
      <w:r w:rsidRPr="00411D9E">
        <w:rPr>
          <w:rFonts w:eastAsia="Times New Roman" w:cstheme="minorHAnsi"/>
          <w:color w:val="201F1E"/>
          <w:sz w:val="20"/>
          <w:szCs w:val="20"/>
          <w:lang w:bidi="ar-SA"/>
        </w:rPr>
        <w:t>QI response did not address the recommendation; improvement was not observed or performance declined.</w:t>
      </w:r>
    </w:p>
    <w:p w14:paraId="79AB5177" w14:textId="77777777" w:rsidR="0047009F" w:rsidRPr="00411D9E" w:rsidRDefault="0047009F" w:rsidP="0047009F">
      <w:pPr>
        <w:rPr>
          <w:rFonts w:cstheme="minorHAnsi"/>
          <w:sz w:val="20"/>
          <w:szCs w:val="20"/>
        </w:rPr>
      </w:pPr>
      <w:r w:rsidRPr="00411D9E">
        <w:rPr>
          <w:rFonts w:cstheme="minorHAnsi"/>
          <w:sz w:val="20"/>
          <w:szCs w:val="20"/>
        </w:rPr>
        <w:t>EQR: external quality review; MCO: managed care organization.</w:t>
      </w:r>
    </w:p>
    <w:p w14:paraId="7AAE88F3" w14:textId="77777777" w:rsidR="0047009F" w:rsidRPr="00411D9E" w:rsidRDefault="0047009F">
      <w:pPr>
        <w:rPr>
          <w:rFonts w:asciiTheme="majorHAnsi" w:eastAsiaTheme="majorEastAsia" w:hAnsiTheme="majorHAnsi" w:cstheme="majorBidi"/>
          <w:b/>
          <w:bCs/>
          <w:color w:val="365F91" w:themeColor="accent1" w:themeShade="BF"/>
          <w:sz w:val="28"/>
          <w:szCs w:val="28"/>
        </w:rPr>
      </w:pPr>
      <w:bookmarkStart w:id="214" w:name="_Toc70508395"/>
      <w:r w:rsidRPr="00411D9E">
        <w:br w:type="page"/>
      </w:r>
    </w:p>
    <w:p w14:paraId="3D14F44D" w14:textId="4F20FB2F" w:rsidR="00A0110E" w:rsidRPr="00411D9E" w:rsidRDefault="00A0110E" w:rsidP="00DE51E7">
      <w:pPr>
        <w:pStyle w:val="Heading1"/>
      </w:pPr>
      <w:bookmarkStart w:id="215" w:name="_Toc99026971"/>
      <w:r w:rsidRPr="00411D9E">
        <w:lastRenderedPageBreak/>
        <w:t xml:space="preserve">V: </w:t>
      </w:r>
      <w:bookmarkEnd w:id="214"/>
      <w:r w:rsidR="000240AD" w:rsidRPr="00411D9E">
        <w:t>MCO Strengths and Opportunities for Improvement and EQR Recommendations</w:t>
      </w:r>
      <w:bookmarkEnd w:id="215"/>
    </w:p>
    <w:p w14:paraId="67ECF2E8" w14:textId="77777777" w:rsidR="00A0110E" w:rsidRPr="00411D9E" w:rsidRDefault="00A0110E" w:rsidP="00A0110E"/>
    <w:p w14:paraId="35D78094" w14:textId="77777777" w:rsidR="00D12475" w:rsidRPr="00F7033D" w:rsidRDefault="00D12475" w:rsidP="00D12475">
      <w:r w:rsidRPr="00F7033D">
        <w:t>The review of the MCO’s MY 2020 performance against Medicaid and CHIP managed care regulations, performance improvement projects and performance measures identified strengths and opportunities for improvement in the quality outcomes, timeliness of, and access to services for CHIP members served by this MCO.</w:t>
      </w:r>
    </w:p>
    <w:p w14:paraId="2326D7B2" w14:textId="77777777" w:rsidR="00A0110E" w:rsidRPr="00411D9E" w:rsidRDefault="00A0110E" w:rsidP="00DE51E7">
      <w:pPr>
        <w:pStyle w:val="Heading2"/>
      </w:pPr>
      <w:bookmarkStart w:id="216" w:name="_Toc442196293"/>
      <w:bookmarkStart w:id="217" w:name="_Toc447022734"/>
      <w:bookmarkStart w:id="218" w:name="_Toc447022869"/>
      <w:bookmarkStart w:id="219" w:name="_Toc447034828"/>
      <w:bookmarkStart w:id="220" w:name="_Toc447725860"/>
      <w:bookmarkStart w:id="221" w:name="_Toc449099979"/>
      <w:bookmarkStart w:id="222" w:name="_Toc512521034"/>
      <w:bookmarkStart w:id="223" w:name="_Toc70508396"/>
      <w:bookmarkStart w:id="224" w:name="_Toc99026972"/>
      <w:r w:rsidRPr="00411D9E">
        <w:t>Strengths</w:t>
      </w:r>
      <w:bookmarkEnd w:id="216"/>
      <w:bookmarkEnd w:id="217"/>
      <w:bookmarkEnd w:id="218"/>
      <w:bookmarkEnd w:id="219"/>
      <w:bookmarkEnd w:id="220"/>
      <w:bookmarkEnd w:id="221"/>
      <w:bookmarkEnd w:id="222"/>
      <w:bookmarkEnd w:id="223"/>
      <w:bookmarkEnd w:id="224"/>
    </w:p>
    <w:p w14:paraId="242D7A18" w14:textId="77777777" w:rsidR="00A0110E" w:rsidRPr="00411D9E" w:rsidRDefault="00A0110E" w:rsidP="00A0110E">
      <w:pPr>
        <w:numPr>
          <w:ilvl w:val="0"/>
          <w:numId w:val="10"/>
        </w:numPr>
        <w:contextualSpacing/>
        <w:rPr>
          <w:rFonts w:eastAsiaTheme="minorHAnsi"/>
          <w:lang w:bidi="ar-SA"/>
        </w:rPr>
      </w:pPr>
      <w:bookmarkStart w:id="225" w:name="_Toc512521035"/>
      <w:r w:rsidRPr="00411D9E">
        <w:rPr>
          <w:rFonts w:eastAsiaTheme="minorHAnsi"/>
          <w:lang w:bidi="ar-SA"/>
        </w:rPr>
        <w:t>The MCO’s performance was statistically significantly above/better than the MMC weighted average in 2021 (MY 2020) on the following measures:</w:t>
      </w:r>
    </w:p>
    <w:p w14:paraId="7FB1A78F"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Weight Assessment and Counseling for Nutrition and Physical Activity for Children/Adolescents—BMI percentile (12–17 years);</w:t>
      </w:r>
    </w:p>
    <w:p w14:paraId="5D7605AB"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Follow Up After Hospitalization For Mental Illness—7 days;</w:t>
      </w:r>
    </w:p>
    <w:p w14:paraId="13C4608B"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Follow Up After Hospitalization For Mental Illness—30 days;</w:t>
      </w:r>
    </w:p>
    <w:p w14:paraId="6FB86BCA"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Annual Dental Visit (2–3 years);</w:t>
      </w:r>
    </w:p>
    <w:p w14:paraId="110C2689"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Annual Dental Visit (4–6 years);</w:t>
      </w:r>
    </w:p>
    <w:p w14:paraId="1A2F1CE1"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Annual Number of Asthma Patients with One or More Asthma-Related Emergency Room Visits (Ages 2–19 years);</w:t>
      </w:r>
    </w:p>
    <w:p w14:paraId="1C73A5AD"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Asthma Medication Ratio (12–18 years); and</w:t>
      </w:r>
    </w:p>
    <w:p w14:paraId="1BA7B1B2" w14:textId="5751C5B0"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Asthma Medication Ratio (Total).</w:t>
      </w:r>
    </w:p>
    <w:p w14:paraId="7719DD81" w14:textId="1A6B3E6A" w:rsidR="00784036" w:rsidRPr="00411D9E" w:rsidRDefault="00784036" w:rsidP="00784036">
      <w:pPr>
        <w:contextualSpacing/>
        <w:rPr>
          <w:rFonts w:eastAsiaTheme="minorHAnsi"/>
          <w:lang w:bidi="ar-SA"/>
        </w:rPr>
      </w:pPr>
    </w:p>
    <w:p w14:paraId="1F4629EC" w14:textId="285E36E1" w:rsidR="00784036" w:rsidRPr="00411D9E" w:rsidRDefault="00784036" w:rsidP="00784036">
      <w:pPr>
        <w:pStyle w:val="ListParagraph"/>
        <w:numPr>
          <w:ilvl w:val="0"/>
          <w:numId w:val="10"/>
        </w:numPr>
      </w:pPr>
      <w:r w:rsidRPr="00411D9E">
        <w:t>Highmark PPO was found to be fully compliant on all</w:t>
      </w:r>
      <w:r w:rsidRPr="00411D9E">
        <w:rPr>
          <w:lang w:bidi="en-US"/>
        </w:rPr>
        <w:t xml:space="preserve"> contract</w:t>
      </w:r>
      <w:r w:rsidR="00E45F45">
        <w:rPr>
          <w:lang w:bidi="en-US"/>
        </w:rPr>
        <w:t>s</w:t>
      </w:r>
      <w:r w:rsidRPr="00411D9E">
        <w:rPr>
          <w:lang w:bidi="en-US"/>
        </w:rPr>
        <w:t xml:space="preserve"> and with state and federal </w:t>
      </w:r>
      <w:r w:rsidRPr="00411D9E">
        <w:t>managed care regulations reviewed.</w:t>
      </w:r>
    </w:p>
    <w:p w14:paraId="0B58B6F5" w14:textId="77777777" w:rsidR="00A0110E" w:rsidRPr="00411D9E" w:rsidRDefault="00A0110E" w:rsidP="00DE51E7">
      <w:pPr>
        <w:pStyle w:val="Heading2"/>
      </w:pPr>
      <w:bookmarkStart w:id="226" w:name="_Toc70508397"/>
      <w:bookmarkStart w:id="227" w:name="_Toc99026973"/>
      <w:r w:rsidRPr="00411D9E">
        <w:t>Opportunities for Improvement</w:t>
      </w:r>
      <w:bookmarkEnd w:id="225"/>
      <w:bookmarkEnd w:id="226"/>
      <w:bookmarkEnd w:id="227"/>
      <w:r w:rsidRPr="00411D9E">
        <w:t xml:space="preserve"> </w:t>
      </w:r>
    </w:p>
    <w:p w14:paraId="683CE230" w14:textId="49B50575" w:rsidR="00EE64BA" w:rsidRPr="00411D9E" w:rsidRDefault="00EE64BA" w:rsidP="00EE64BA">
      <w:pPr>
        <w:pStyle w:val="ListParagraph"/>
        <w:numPr>
          <w:ilvl w:val="0"/>
          <w:numId w:val="10"/>
        </w:numPr>
      </w:pPr>
      <w:r w:rsidRPr="00411D9E">
        <w:t xml:space="preserve">Highmark PPO was found to be partially compliant on two elements reviewed for the Developmental Screening PIP: </w:t>
      </w:r>
      <w:r w:rsidRPr="00411D9E">
        <w:rPr>
          <w:rFonts w:ascii="Calibri" w:eastAsia="PMingLiU" w:hAnsi="Calibri" w:cs="Times New Roman"/>
        </w:rPr>
        <w:t>Element 1. Project Topic/</w:t>
      </w:r>
      <w:r w:rsidR="00411D9E" w:rsidRPr="00411D9E">
        <w:rPr>
          <w:rFonts w:ascii="Calibri" w:eastAsia="PMingLiU" w:hAnsi="Calibri" w:cs="Times New Roman"/>
        </w:rPr>
        <w:t>Rationale</w:t>
      </w:r>
      <w:r w:rsidR="00411D9E" w:rsidRPr="00411D9E">
        <w:t xml:space="preserve"> and</w:t>
      </w:r>
      <w:r w:rsidRPr="00411D9E">
        <w:t xml:space="preserve"> Element 5. Robust Interventions. Highmark PPO was found to be partially compliant on three elements reviewed for the Lead Screening PIP: </w:t>
      </w:r>
      <w:r w:rsidRPr="00411D9E">
        <w:rPr>
          <w:rFonts w:ascii="Calibri" w:eastAsia="PMingLiU" w:hAnsi="Calibri" w:cs="Times New Roman"/>
        </w:rPr>
        <w:t>Element 1. Project Topic/Rationale</w:t>
      </w:r>
      <w:r w:rsidRPr="00411D9E">
        <w:t xml:space="preserve">, Element 5. Robust Interventions, and </w:t>
      </w:r>
      <w:r w:rsidRPr="00411D9E">
        <w:rPr>
          <w:rFonts w:ascii="Calibri" w:eastAsia="PMingLiU" w:hAnsi="Calibri" w:cs="Times New Roman"/>
        </w:rPr>
        <w:t>Element 6. Results Table.</w:t>
      </w:r>
    </w:p>
    <w:p w14:paraId="1BFC452B" w14:textId="77777777" w:rsidR="00EE64BA" w:rsidRPr="00411D9E" w:rsidRDefault="00EE64BA" w:rsidP="00EE64BA">
      <w:pPr>
        <w:ind w:left="720"/>
        <w:contextualSpacing/>
        <w:rPr>
          <w:rFonts w:eastAsiaTheme="minorHAnsi"/>
          <w:lang w:bidi="ar-SA"/>
        </w:rPr>
      </w:pPr>
    </w:p>
    <w:p w14:paraId="656F9ECE" w14:textId="37F64D53" w:rsidR="00A0110E" w:rsidRPr="00411D9E" w:rsidRDefault="00A0110E" w:rsidP="00EE64BA">
      <w:pPr>
        <w:numPr>
          <w:ilvl w:val="0"/>
          <w:numId w:val="10"/>
        </w:numPr>
        <w:contextualSpacing/>
        <w:rPr>
          <w:rFonts w:eastAsiaTheme="minorHAnsi"/>
          <w:lang w:bidi="ar-SA"/>
        </w:rPr>
      </w:pPr>
      <w:r w:rsidRPr="00411D9E">
        <w:rPr>
          <w:rFonts w:eastAsiaTheme="minorHAnsi"/>
          <w:lang w:bidi="ar-SA"/>
        </w:rPr>
        <w:t>The MCO’s performance was statistically significantly below/worse than the MMC rate in 2021 (MY 2020) as indicated by the following measures:</w:t>
      </w:r>
    </w:p>
    <w:p w14:paraId="062C41D2"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Immunizations for Adolescents—HPV;</w:t>
      </w:r>
    </w:p>
    <w:p w14:paraId="6AE5C7DD"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Immunizations for Adolescents—Combination 2;</w:t>
      </w:r>
    </w:p>
    <w:p w14:paraId="0C315A6E"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Lead Screening in Children (2 years);</w:t>
      </w:r>
    </w:p>
    <w:p w14:paraId="5C66EC3A"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Chlamydia Screening in Women (16–20 years);</w:t>
      </w:r>
    </w:p>
    <w:p w14:paraId="4136CE11" w14:textId="77777777"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AMBA: Outpatient Visits/1000 MM Ages &lt;1 year; and</w:t>
      </w:r>
    </w:p>
    <w:p w14:paraId="6E8C400F" w14:textId="1010BED1" w:rsidR="00A0110E" w:rsidRPr="00411D9E" w:rsidRDefault="00A0110E" w:rsidP="00A0110E">
      <w:pPr>
        <w:numPr>
          <w:ilvl w:val="1"/>
          <w:numId w:val="10"/>
        </w:numPr>
        <w:contextualSpacing/>
        <w:rPr>
          <w:rFonts w:eastAsiaTheme="minorHAnsi"/>
          <w:lang w:bidi="ar-SA"/>
        </w:rPr>
      </w:pPr>
      <w:r w:rsidRPr="00411D9E">
        <w:rPr>
          <w:rFonts w:eastAsiaTheme="minorHAnsi"/>
          <w:lang w:bidi="ar-SA"/>
        </w:rPr>
        <w:t>AMBA: Emergency Department Visits/1000 MM Ages &lt;1 year.</w:t>
      </w:r>
    </w:p>
    <w:p w14:paraId="673272A0" w14:textId="674D3535" w:rsidR="00A0110E" w:rsidRPr="00411D9E" w:rsidRDefault="00045E05" w:rsidP="00DE51E7">
      <w:pPr>
        <w:pStyle w:val="tableheading"/>
      </w:pPr>
      <w:bookmarkStart w:id="228" w:name="_Toc99026999"/>
      <w:r w:rsidRPr="00411D9E">
        <w:t>Table 5.1: EQR</w:t>
      </w:r>
      <w:r w:rsidR="00A0110E" w:rsidRPr="00411D9E">
        <w:t xml:space="preserve"> Recommendations</w:t>
      </w:r>
      <w:bookmarkEnd w:id="228"/>
    </w:p>
    <w:tbl>
      <w:tblPr>
        <w:tblStyle w:val="TableGrid1"/>
        <w:tblW w:w="5000" w:type="pct"/>
        <w:tblLook w:val="04A0" w:firstRow="1" w:lastRow="0" w:firstColumn="1" w:lastColumn="0" w:noHBand="0" w:noVBand="1"/>
      </w:tblPr>
      <w:tblGrid>
        <w:gridCol w:w="3414"/>
        <w:gridCol w:w="5941"/>
        <w:gridCol w:w="1435"/>
      </w:tblGrid>
      <w:tr w:rsidR="00A0110E" w:rsidRPr="00411D9E" w14:paraId="2D44CF95" w14:textId="77777777" w:rsidTr="00756652">
        <w:trPr>
          <w:cantSplit/>
          <w:trHeight w:val="341"/>
          <w:tblHeader/>
        </w:trPr>
        <w:tc>
          <w:tcPr>
            <w:tcW w:w="1582" w:type="pct"/>
            <w:shd w:val="clear" w:color="auto" w:fill="5F497A" w:themeFill="accent4" w:themeFillShade="BF"/>
          </w:tcPr>
          <w:p w14:paraId="156457E4" w14:textId="77777777" w:rsidR="00A0110E" w:rsidRPr="00411D9E" w:rsidRDefault="00A0110E" w:rsidP="00A0110E">
            <w:pPr>
              <w:jc w:val="both"/>
              <w:rPr>
                <w:color w:val="FFFFFF" w:themeColor="background1"/>
              </w:rPr>
            </w:pPr>
            <w:r w:rsidRPr="00411D9E">
              <w:rPr>
                <w:color w:val="FFFFFF" w:themeColor="background1"/>
              </w:rPr>
              <w:t>Measure/Project</w:t>
            </w:r>
          </w:p>
        </w:tc>
        <w:tc>
          <w:tcPr>
            <w:tcW w:w="2753" w:type="pct"/>
            <w:shd w:val="clear" w:color="auto" w:fill="5F497A" w:themeFill="accent4" w:themeFillShade="BF"/>
          </w:tcPr>
          <w:p w14:paraId="458C91A8" w14:textId="77777777" w:rsidR="00A0110E" w:rsidRPr="00411D9E" w:rsidRDefault="00A0110E" w:rsidP="00A0110E">
            <w:pPr>
              <w:jc w:val="both"/>
              <w:rPr>
                <w:color w:val="FFFFFF" w:themeColor="background1"/>
              </w:rPr>
            </w:pPr>
            <w:r w:rsidRPr="00411D9E">
              <w:rPr>
                <w:color w:val="FFFFFF" w:themeColor="background1"/>
              </w:rPr>
              <w:t>IPRO’s Recommendation</w:t>
            </w:r>
          </w:p>
        </w:tc>
        <w:tc>
          <w:tcPr>
            <w:tcW w:w="665" w:type="pct"/>
            <w:shd w:val="clear" w:color="auto" w:fill="5F497A" w:themeFill="accent4" w:themeFillShade="BF"/>
          </w:tcPr>
          <w:p w14:paraId="3CBCACFA" w14:textId="77777777" w:rsidR="00A0110E" w:rsidRPr="00411D9E" w:rsidRDefault="00A0110E" w:rsidP="00A0110E">
            <w:pPr>
              <w:jc w:val="both"/>
              <w:rPr>
                <w:color w:val="FFFFFF" w:themeColor="background1"/>
              </w:rPr>
            </w:pPr>
            <w:r w:rsidRPr="00411D9E">
              <w:rPr>
                <w:color w:val="FFFFFF" w:themeColor="background1"/>
              </w:rPr>
              <w:t>Standards</w:t>
            </w:r>
          </w:p>
        </w:tc>
      </w:tr>
      <w:tr w:rsidR="00A0110E" w:rsidRPr="00411D9E" w14:paraId="14547AD0" w14:textId="77777777" w:rsidTr="0047009F">
        <w:trPr>
          <w:cantSplit/>
          <w:trHeight w:val="188"/>
        </w:trPr>
        <w:tc>
          <w:tcPr>
            <w:tcW w:w="4335" w:type="pct"/>
            <w:gridSpan w:val="2"/>
            <w:shd w:val="clear" w:color="auto" w:fill="CCC0D9" w:themeFill="accent4" w:themeFillTint="66"/>
          </w:tcPr>
          <w:p w14:paraId="43DC5C06" w14:textId="77777777" w:rsidR="00A0110E" w:rsidRPr="00411D9E" w:rsidRDefault="00A0110E" w:rsidP="00A0110E">
            <w:pPr>
              <w:jc w:val="both"/>
              <w:rPr>
                <w:b/>
                <w:bCs/>
              </w:rPr>
            </w:pPr>
            <w:r w:rsidRPr="00411D9E">
              <w:rPr>
                <w:b/>
                <w:bCs/>
              </w:rPr>
              <w:t>Performance Improvement Projects (PIPs)</w:t>
            </w:r>
          </w:p>
        </w:tc>
        <w:tc>
          <w:tcPr>
            <w:tcW w:w="665" w:type="pct"/>
            <w:shd w:val="clear" w:color="auto" w:fill="CCC0D9" w:themeFill="accent4" w:themeFillTint="66"/>
          </w:tcPr>
          <w:p w14:paraId="77C3244C" w14:textId="77777777" w:rsidR="00A0110E" w:rsidRPr="00411D9E" w:rsidRDefault="00A0110E" w:rsidP="00A0110E">
            <w:pPr>
              <w:jc w:val="both"/>
              <w:rPr>
                <w:b/>
                <w:bCs/>
              </w:rPr>
            </w:pPr>
          </w:p>
        </w:tc>
      </w:tr>
      <w:tr w:rsidR="00A0110E" w:rsidRPr="00411D9E" w14:paraId="23ECC67A" w14:textId="77777777" w:rsidTr="0047009F">
        <w:trPr>
          <w:cantSplit/>
          <w:trHeight w:val="535"/>
        </w:trPr>
        <w:tc>
          <w:tcPr>
            <w:tcW w:w="1582" w:type="pct"/>
            <w:vMerge w:val="restart"/>
            <w:vAlign w:val="center"/>
          </w:tcPr>
          <w:p w14:paraId="07F83324" w14:textId="77777777" w:rsidR="00A0110E" w:rsidRPr="00411D9E" w:rsidRDefault="00A0110E" w:rsidP="00A0110E">
            <w:r w:rsidRPr="00411D9E">
              <w:t>Improving Developmental Screening Rate in Children Ages 1, 2, and 3 Years</w:t>
            </w:r>
          </w:p>
        </w:tc>
        <w:tc>
          <w:tcPr>
            <w:tcW w:w="2753" w:type="pct"/>
          </w:tcPr>
          <w:p w14:paraId="57CE9AAF" w14:textId="3817C209" w:rsidR="00A0110E" w:rsidRPr="00411D9E" w:rsidRDefault="00A0110E" w:rsidP="00A0110E">
            <w:pPr>
              <w:jc w:val="both"/>
            </w:pPr>
            <w:r w:rsidRPr="00411D9E">
              <w:rPr>
                <w:rFonts w:cs="Arial"/>
              </w:rPr>
              <w:t xml:space="preserve">It </w:t>
            </w:r>
            <w:r w:rsidR="00163995">
              <w:rPr>
                <w:rFonts w:cs="Arial"/>
              </w:rPr>
              <w:t>is</w:t>
            </w:r>
            <w:r w:rsidR="00163995" w:rsidRPr="00411D9E">
              <w:rPr>
                <w:rFonts w:cs="Arial"/>
              </w:rPr>
              <w:t xml:space="preserve"> </w:t>
            </w:r>
            <w:r w:rsidRPr="00411D9E">
              <w:rPr>
                <w:rFonts w:cs="Arial"/>
              </w:rPr>
              <w:t xml:space="preserve">recommended that </w:t>
            </w:r>
            <w:r w:rsidR="009D4B09">
              <w:rPr>
                <w:rFonts w:cs="Arial"/>
              </w:rPr>
              <w:t>the MCO</w:t>
            </w:r>
            <w:r w:rsidR="009D4B09" w:rsidRPr="00411D9E">
              <w:rPr>
                <w:rFonts w:cs="Arial"/>
              </w:rPr>
              <w:t xml:space="preserve"> </w:t>
            </w:r>
            <w:r w:rsidRPr="00411D9E">
              <w:rPr>
                <w:rFonts w:cs="Arial"/>
              </w:rPr>
              <w:t>confirm the data and correct the numerators and denominators as applicable for the developmental screening indicator and all indicators across MYs.</w:t>
            </w:r>
          </w:p>
        </w:tc>
        <w:tc>
          <w:tcPr>
            <w:tcW w:w="665" w:type="pct"/>
          </w:tcPr>
          <w:p w14:paraId="2C1104AA" w14:textId="77777777" w:rsidR="00A0110E" w:rsidRPr="00411D9E" w:rsidRDefault="00A0110E" w:rsidP="00A0110E">
            <w:pPr>
              <w:jc w:val="both"/>
            </w:pPr>
            <w:r w:rsidRPr="00411D9E">
              <w:t>Quality</w:t>
            </w:r>
          </w:p>
        </w:tc>
      </w:tr>
      <w:tr w:rsidR="00A0110E" w:rsidRPr="00411D9E" w14:paraId="6D253312" w14:textId="77777777" w:rsidTr="0047009F">
        <w:trPr>
          <w:cantSplit/>
          <w:trHeight w:val="737"/>
        </w:trPr>
        <w:tc>
          <w:tcPr>
            <w:tcW w:w="1582" w:type="pct"/>
            <w:vMerge/>
            <w:vAlign w:val="center"/>
          </w:tcPr>
          <w:p w14:paraId="4D86EC31" w14:textId="77777777" w:rsidR="00A0110E" w:rsidRPr="00411D9E" w:rsidRDefault="00A0110E" w:rsidP="00A0110E"/>
        </w:tc>
        <w:tc>
          <w:tcPr>
            <w:tcW w:w="2753" w:type="pct"/>
          </w:tcPr>
          <w:p w14:paraId="4C2004A4" w14:textId="77777777" w:rsidR="00A0110E" w:rsidRPr="00411D9E" w:rsidRDefault="00A0110E" w:rsidP="00A0110E">
            <w:pPr>
              <w:jc w:val="both"/>
              <w:rPr>
                <w:rFonts w:cs="Arial"/>
              </w:rPr>
            </w:pPr>
            <w:r w:rsidRPr="00411D9E">
              <w:rPr>
                <w:rFonts w:cs="Arial"/>
              </w:rPr>
              <w:t>It is recommended that the MCO update the abstract to acknowledge the change in the developmental screening indicator to only include the CPT code 96110</w:t>
            </w:r>
          </w:p>
        </w:tc>
        <w:tc>
          <w:tcPr>
            <w:tcW w:w="665" w:type="pct"/>
          </w:tcPr>
          <w:p w14:paraId="035EF68D" w14:textId="77777777" w:rsidR="00A0110E" w:rsidRPr="00411D9E" w:rsidRDefault="00A0110E" w:rsidP="00A0110E">
            <w:pPr>
              <w:jc w:val="both"/>
            </w:pPr>
            <w:r w:rsidRPr="00411D9E">
              <w:t>Quality</w:t>
            </w:r>
          </w:p>
        </w:tc>
      </w:tr>
      <w:tr w:rsidR="00A0110E" w:rsidRPr="00411D9E" w14:paraId="3A6356B8" w14:textId="77777777" w:rsidTr="0047009F">
        <w:trPr>
          <w:cantSplit/>
          <w:trHeight w:val="638"/>
        </w:trPr>
        <w:tc>
          <w:tcPr>
            <w:tcW w:w="1582" w:type="pct"/>
            <w:vAlign w:val="center"/>
          </w:tcPr>
          <w:p w14:paraId="47252E0D" w14:textId="77777777" w:rsidR="00A0110E" w:rsidRPr="00411D9E" w:rsidRDefault="00A0110E" w:rsidP="00A0110E">
            <w:r w:rsidRPr="00411D9E">
              <w:t>Improving Blood Lead Screening Rate in Children 2 Years of Age</w:t>
            </w:r>
          </w:p>
        </w:tc>
        <w:tc>
          <w:tcPr>
            <w:tcW w:w="2753" w:type="pct"/>
          </w:tcPr>
          <w:p w14:paraId="786493F1" w14:textId="027BB07C" w:rsidR="00A0110E" w:rsidRPr="00411D9E" w:rsidRDefault="00A0110E" w:rsidP="00A0110E">
            <w:pPr>
              <w:jc w:val="both"/>
            </w:pPr>
            <w:r w:rsidRPr="00411D9E">
              <w:rPr>
                <w:rFonts w:cs="Arial"/>
              </w:rPr>
              <w:t xml:space="preserve">It </w:t>
            </w:r>
            <w:r w:rsidR="00163995">
              <w:rPr>
                <w:rFonts w:cs="Arial"/>
              </w:rPr>
              <w:t>is</w:t>
            </w:r>
            <w:r w:rsidR="00163995" w:rsidRPr="00411D9E">
              <w:rPr>
                <w:rFonts w:cs="Arial"/>
              </w:rPr>
              <w:t xml:space="preserve"> </w:t>
            </w:r>
            <w:r w:rsidRPr="00411D9E">
              <w:rPr>
                <w:rFonts w:cs="Arial"/>
              </w:rPr>
              <w:t xml:space="preserve">recommended that </w:t>
            </w:r>
            <w:r w:rsidR="009D4B09">
              <w:rPr>
                <w:rFonts w:cs="Arial"/>
              </w:rPr>
              <w:t>the MCO</w:t>
            </w:r>
            <w:r w:rsidR="009D4B09" w:rsidRPr="00411D9E">
              <w:rPr>
                <w:rFonts w:cs="Arial"/>
              </w:rPr>
              <w:t xml:space="preserve"> </w:t>
            </w:r>
            <w:r w:rsidRPr="00411D9E">
              <w:rPr>
                <w:rFonts w:cs="Arial"/>
              </w:rPr>
              <w:t>confirm the data and correct the numerators and denominators as applicable for all indicators across MYs</w:t>
            </w:r>
          </w:p>
        </w:tc>
        <w:tc>
          <w:tcPr>
            <w:tcW w:w="665" w:type="pct"/>
          </w:tcPr>
          <w:p w14:paraId="458C81FB" w14:textId="77777777" w:rsidR="00A0110E" w:rsidRPr="00411D9E" w:rsidRDefault="00A0110E" w:rsidP="00A0110E">
            <w:pPr>
              <w:jc w:val="both"/>
            </w:pPr>
            <w:r w:rsidRPr="00411D9E">
              <w:t>Quality</w:t>
            </w:r>
          </w:p>
        </w:tc>
      </w:tr>
      <w:tr w:rsidR="00A0110E" w:rsidRPr="00411D9E" w14:paraId="136FD705" w14:textId="77777777" w:rsidTr="0047009F">
        <w:trPr>
          <w:cantSplit/>
          <w:trHeight w:val="341"/>
        </w:trPr>
        <w:tc>
          <w:tcPr>
            <w:tcW w:w="4335" w:type="pct"/>
            <w:gridSpan w:val="2"/>
            <w:shd w:val="clear" w:color="auto" w:fill="CCC0D9" w:themeFill="accent4" w:themeFillTint="66"/>
          </w:tcPr>
          <w:p w14:paraId="1002B733" w14:textId="77777777" w:rsidR="00A0110E" w:rsidRPr="00411D9E" w:rsidRDefault="00A0110E" w:rsidP="0047009F">
            <w:pPr>
              <w:keepNext/>
              <w:jc w:val="both"/>
              <w:rPr>
                <w:b/>
                <w:bCs/>
              </w:rPr>
            </w:pPr>
            <w:r w:rsidRPr="00411D9E">
              <w:rPr>
                <w:b/>
                <w:bCs/>
              </w:rPr>
              <w:lastRenderedPageBreak/>
              <w:t>Performance Measures and CAHPS Survey</w:t>
            </w:r>
          </w:p>
        </w:tc>
        <w:tc>
          <w:tcPr>
            <w:tcW w:w="665" w:type="pct"/>
            <w:shd w:val="clear" w:color="auto" w:fill="CCC0D9" w:themeFill="accent4" w:themeFillTint="66"/>
          </w:tcPr>
          <w:p w14:paraId="533AD7A6" w14:textId="77777777" w:rsidR="00A0110E" w:rsidRPr="00411D9E" w:rsidRDefault="00A0110E" w:rsidP="0047009F">
            <w:pPr>
              <w:keepNext/>
              <w:jc w:val="both"/>
              <w:rPr>
                <w:b/>
                <w:bCs/>
              </w:rPr>
            </w:pPr>
          </w:p>
        </w:tc>
      </w:tr>
      <w:tr w:rsidR="00A0110E" w:rsidRPr="00411D9E" w14:paraId="528DFCEB" w14:textId="77777777" w:rsidTr="0047009F">
        <w:trPr>
          <w:cantSplit/>
          <w:trHeight w:val="980"/>
        </w:trPr>
        <w:tc>
          <w:tcPr>
            <w:tcW w:w="1582" w:type="pct"/>
            <w:vAlign w:val="center"/>
          </w:tcPr>
          <w:p w14:paraId="44989AE1" w14:textId="77777777" w:rsidR="00A0110E" w:rsidRPr="00411D9E" w:rsidRDefault="00A0110E" w:rsidP="00A0110E">
            <w:r w:rsidRPr="00411D9E">
              <w:t>Women’s Health Screenings</w:t>
            </w:r>
          </w:p>
        </w:tc>
        <w:tc>
          <w:tcPr>
            <w:tcW w:w="2753" w:type="pct"/>
          </w:tcPr>
          <w:p w14:paraId="51D42264" w14:textId="5E2E3706" w:rsidR="00A0110E" w:rsidRPr="00411D9E" w:rsidRDefault="00A0110E" w:rsidP="00A0110E">
            <w:pPr>
              <w:jc w:val="both"/>
            </w:pPr>
            <w:r w:rsidRPr="00411D9E">
              <w:t xml:space="preserve">It is recommended that </w:t>
            </w:r>
            <w:r w:rsidR="009D4B09">
              <w:rPr>
                <w:rFonts w:cs="Arial"/>
              </w:rPr>
              <w:t>the MCO</w:t>
            </w:r>
            <w:r w:rsidR="009D4B09" w:rsidRPr="00411D9E">
              <w:rPr>
                <w:rFonts w:cs="Arial"/>
              </w:rPr>
              <w:t xml:space="preserve"> </w:t>
            </w:r>
            <w:r w:rsidRPr="00411D9E">
              <w:t xml:space="preserve">improve screening access for its members. Chlamydia Screening in Women was an opportunity in </w:t>
            </w:r>
            <w:r w:rsidR="00411D9E" w:rsidRPr="00411D9E">
              <w:t>2020 and</w:t>
            </w:r>
            <w:r w:rsidRPr="00411D9E">
              <w:t xml:space="preserve"> in 2021 was agai</w:t>
            </w:r>
            <w:r w:rsidR="00756652" w:rsidRPr="00411D9E">
              <w:t>n identified as an opportunity.</w:t>
            </w:r>
          </w:p>
        </w:tc>
        <w:tc>
          <w:tcPr>
            <w:tcW w:w="665" w:type="pct"/>
          </w:tcPr>
          <w:p w14:paraId="52383D21" w14:textId="77777777" w:rsidR="00A0110E" w:rsidRPr="00411D9E" w:rsidRDefault="00A0110E" w:rsidP="00A0110E">
            <w:pPr>
              <w:jc w:val="both"/>
            </w:pPr>
            <w:r w:rsidRPr="00411D9E">
              <w:t>Access</w:t>
            </w:r>
          </w:p>
        </w:tc>
      </w:tr>
      <w:tr w:rsidR="000240AD" w:rsidRPr="00411D9E" w14:paraId="239B99E1" w14:textId="77777777" w:rsidTr="0047009F">
        <w:trPr>
          <w:cantSplit/>
          <w:trHeight w:val="350"/>
        </w:trPr>
        <w:tc>
          <w:tcPr>
            <w:tcW w:w="4335" w:type="pct"/>
            <w:gridSpan w:val="2"/>
            <w:shd w:val="clear" w:color="auto" w:fill="CCC0D9"/>
          </w:tcPr>
          <w:p w14:paraId="5A2CD115" w14:textId="1320F5CF" w:rsidR="000240AD" w:rsidRPr="00411D9E" w:rsidRDefault="000240AD" w:rsidP="000240AD">
            <w:r w:rsidRPr="00411D9E">
              <w:rPr>
                <w:b/>
                <w:bCs/>
              </w:rPr>
              <w:t xml:space="preserve">Compliance with Medicaid and CHIP Managed Care Regulations  </w:t>
            </w:r>
          </w:p>
        </w:tc>
        <w:tc>
          <w:tcPr>
            <w:tcW w:w="665" w:type="pct"/>
            <w:shd w:val="clear" w:color="auto" w:fill="CCC0D9"/>
          </w:tcPr>
          <w:p w14:paraId="045DF563" w14:textId="77777777" w:rsidR="000240AD" w:rsidRPr="00411D9E" w:rsidRDefault="000240AD" w:rsidP="000240AD"/>
        </w:tc>
      </w:tr>
      <w:tr w:rsidR="000240AD" w:rsidRPr="00411D9E" w14:paraId="2EF7046F" w14:textId="77777777" w:rsidTr="0047009F">
        <w:trPr>
          <w:cantSplit/>
          <w:trHeight w:val="620"/>
        </w:trPr>
        <w:tc>
          <w:tcPr>
            <w:tcW w:w="4335" w:type="pct"/>
            <w:gridSpan w:val="2"/>
            <w:vAlign w:val="center"/>
          </w:tcPr>
          <w:p w14:paraId="17031C47" w14:textId="2E4C74D2" w:rsidR="000240AD" w:rsidRPr="00411D9E" w:rsidRDefault="00B25314" w:rsidP="000240AD">
            <w:r w:rsidRPr="00411D9E">
              <w:t>There are no recommendations related to compliance with Medicaid and CHIP Managed Care Regulations for the MCO for the current review year.</w:t>
            </w:r>
          </w:p>
        </w:tc>
        <w:tc>
          <w:tcPr>
            <w:tcW w:w="665" w:type="pct"/>
          </w:tcPr>
          <w:p w14:paraId="6D60A06A" w14:textId="2468E560" w:rsidR="000240AD" w:rsidRPr="00411D9E" w:rsidRDefault="0047009F" w:rsidP="000240AD">
            <w:r w:rsidRPr="00411D9E">
              <w:t>N/A</w:t>
            </w:r>
          </w:p>
        </w:tc>
      </w:tr>
    </w:tbl>
    <w:p w14:paraId="05BB8E1E" w14:textId="095FF349" w:rsidR="00A0110E" w:rsidRPr="00411D9E" w:rsidRDefault="0047009F" w:rsidP="0047009F">
      <w:pPr>
        <w:jc w:val="left"/>
        <w:rPr>
          <w:sz w:val="20"/>
          <w:szCs w:val="20"/>
        </w:rPr>
      </w:pPr>
      <w:r w:rsidRPr="00411D9E">
        <w:rPr>
          <w:sz w:val="20"/>
          <w:szCs w:val="20"/>
        </w:rPr>
        <w:t>EQR: external quality review; PIP: performance improvement project; MCO: managed care organization; CAHPS: Consumer Assessment of Healthcare Providers and Systems; N/A: not applicable.</w:t>
      </w:r>
    </w:p>
    <w:p w14:paraId="61B9F59A" w14:textId="77777777" w:rsidR="00784036" w:rsidRPr="00411D9E" w:rsidRDefault="00784036">
      <w:pPr>
        <w:rPr>
          <w:rFonts w:asciiTheme="majorHAnsi" w:eastAsiaTheme="majorEastAsia" w:hAnsiTheme="majorHAnsi" w:cstheme="majorBidi"/>
          <w:b/>
          <w:bCs/>
          <w:color w:val="365F91" w:themeColor="accent1" w:themeShade="BF"/>
          <w:sz w:val="28"/>
          <w:szCs w:val="28"/>
        </w:rPr>
      </w:pPr>
      <w:bookmarkStart w:id="229" w:name="_Toc35593614"/>
      <w:bookmarkStart w:id="230" w:name="_Hlk98082428"/>
      <w:r w:rsidRPr="00411D9E">
        <w:br w:type="page"/>
      </w:r>
    </w:p>
    <w:p w14:paraId="5554648F" w14:textId="2DDF11C8" w:rsidR="00A0110E" w:rsidRPr="00411D9E" w:rsidRDefault="00A0110E" w:rsidP="00A0110E">
      <w:pPr>
        <w:pStyle w:val="Heading1"/>
        <w:spacing w:before="0"/>
      </w:pPr>
      <w:bookmarkStart w:id="231" w:name="_Toc99026974"/>
      <w:r w:rsidRPr="00411D9E">
        <w:lastRenderedPageBreak/>
        <w:t>VI: Summary of Activities</w:t>
      </w:r>
      <w:bookmarkEnd w:id="229"/>
      <w:bookmarkEnd w:id="231"/>
    </w:p>
    <w:p w14:paraId="21A292CD" w14:textId="77777777" w:rsidR="00A0110E" w:rsidRPr="00411D9E" w:rsidRDefault="00A0110E" w:rsidP="00A0110E">
      <w:pPr>
        <w:pStyle w:val="Heading2"/>
      </w:pPr>
      <w:bookmarkStart w:id="232" w:name="_Toc442196298"/>
      <w:bookmarkStart w:id="233" w:name="_Toc447022742"/>
      <w:bookmarkStart w:id="234" w:name="_Toc447022877"/>
      <w:bookmarkStart w:id="235" w:name="_Toc447034836"/>
      <w:bookmarkStart w:id="236" w:name="_Toc447725865"/>
      <w:bookmarkStart w:id="237" w:name="_Toc449099984"/>
      <w:bookmarkStart w:id="238" w:name="_Toc35593616"/>
      <w:bookmarkStart w:id="239" w:name="_Toc99026975"/>
      <w:r w:rsidRPr="00411D9E">
        <w:t>Performance Improvement Projects</w:t>
      </w:r>
      <w:bookmarkEnd w:id="232"/>
      <w:bookmarkEnd w:id="233"/>
      <w:bookmarkEnd w:id="234"/>
      <w:bookmarkEnd w:id="235"/>
      <w:bookmarkEnd w:id="236"/>
      <w:bookmarkEnd w:id="237"/>
      <w:bookmarkEnd w:id="238"/>
      <w:bookmarkEnd w:id="239"/>
      <w:r w:rsidRPr="00411D9E">
        <w:t xml:space="preserve"> </w:t>
      </w:r>
    </w:p>
    <w:p w14:paraId="74E67592" w14:textId="77777777" w:rsidR="00A0110E" w:rsidRPr="00411D9E" w:rsidRDefault="00A0110E" w:rsidP="00A0110E">
      <w:pPr>
        <w:numPr>
          <w:ilvl w:val="0"/>
          <w:numId w:val="11"/>
        </w:numPr>
      </w:pPr>
      <w:r w:rsidRPr="00411D9E">
        <w:t>Highmark PPO’s Lead Screening and Developmental Screening PIP 2021 Final Reports were both validated. The MCO received feedback and subsequent information related to these activities from IPRO and CHIP in 2022.</w:t>
      </w:r>
    </w:p>
    <w:p w14:paraId="48395D98" w14:textId="77777777" w:rsidR="00A0110E" w:rsidRPr="00411D9E" w:rsidRDefault="00A0110E" w:rsidP="00A0110E">
      <w:pPr>
        <w:pStyle w:val="Heading2"/>
      </w:pPr>
      <w:bookmarkStart w:id="240" w:name="_Toc442196299"/>
      <w:bookmarkStart w:id="241" w:name="_Toc447022743"/>
      <w:bookmarkStart w:id="242" w:name="_Toc447022878"/>
      <w:bookmarkStart w:id="243" w:name="_Toc447034837"/>
      <w:bookmarkStart w:id="244" w:name="_Toc447725866"/>
      <w:bookmarkStart w:id="245" w:name="_Toc449099985"/>
      <w:bookmarkStart w:id="246" w:name="_Toc35593617"/>
      <w:bookmarkStart w:id="247" w:name="_Toc99026976"/>
      <w:r w:rsidRPr="00411D9E">
        <w:t>Performance Measures</w:t>
      </w:r>
      <w:bookmarkEnd w:id="240"/>
      <w:bookmarkEnd w:id="241"/>
      <w:bookmarkEnd w:id="242"/>
      <w:bookmarkEnd w:id="243"/>
      <w:bookmarkEnd w:id="244"/>
      <w:bookmarkEnd w:id="245"/>
      <w:bookmarkEnd w:id="246"/>
      <w:bookmarkEnd w:id="247"/>
    </w:p>
    <w:p w14:paraId="5BC87E49" w14:textId="77777777" w:rsidR="00A0110E" w:rsidRPr="00411D9E" w:rsidRDefault="00A0110E" w:rsidP="00A0110E">
      <w:pPr>
        <w:numPr>
          <w:ilvl w:val="0"/>
          <w:numId w:val="11"/>
        </w:numPr>
      </w:pPr>
      <w:r w:rsidRPr="00411D9E">
        <w:t>Highmark PPO reported all HEDIS, PA-Specific, and CAHPS Survey performance measures in 2021 for which the MCO had a sufficient denominator.</w:t>
      </w:r>
    </w:p>
    <w:p w14:paraId="35A1B034" w14:textId="77777777" w:rsidR="00A0110E" w:rsidRPr="00411D9E" w:rsidRDefault="00A0110E" w:rsidP="00A0110E">
      <w:pPr>
        <w:pStyle w:val="Heading2"/>
      </w:pPr>
      <w:bookmarkStart w:id="248" w:name="_Toc442196297"/>
      <w:bookmarkStart w:id="249" w:name="_Toc447022741"/>
      <w:bookmarkStart w:id="250" w:name="_Toc447022876"/>
      <w:bookmarkStart w:id="251" w:name="_Toc447034835"/>
      <w:bookmarkStart w:id="252" w:name="_Toc447725864"/>
      <w:bookmarkStart w:id="253" w:name="_Toc449099983"/>
      <w:bookmarkStart w:id="254" w:name="_Toc35593615"/>
      <w:bookmarkStart w:id="255" w:name="_Toc99026977"/>
      <w:r w:rsidRPr="00411D9E">
        <w:t>Structure and Operations Standards</w:t>
      </w:r>
      <w:bookmarkEnd w:id="248"/>
      <w:bookmarkEnd w:id="249"/>
      <w:bookmarkEnd w:id="250"/>
      <w:bookmarkEnd w:id="251"/>
      <w:bookmarkEnd w:id="252"/>
      <w:bookmarkEnd w:id="253"/>
      <w:bookmarkEnd w:id="254"/>
      <w:bookmarkEnd w:id="255"/>
      <w:r w:rsidRPr="00411D9E">
        <w:t xml:space="preserve"> </w:t>
      </w:r>
    </w:p>
    <w:p w14:paraId="16F19422" w14:textId="77777777" w:rsidR="00A0110E" w:rsidRPr="00411D9E" w:rsidRDefault="00A0110E" w:rsidP="00A0110E">
      <w:pPr>
        <w:numPr>
          <w:ilvl w:val="0"/>
          <w:numId w:val="12"/>
        </w:numPr>
      </w:pPr>
      <w:r w:rsidRPr="00411D9E">
        <w:t>Highmark PPO was found to be fully compliant on all subparts.  Items that were not reviewed for 2021 will be reviewed during the 2022 review cycle. Compliance review findings from the RY 2021 SMART database populated by PA CHIP were used to make the determinations for Highmark PPO.</w:t>
      </w:r>
    </w:p>
    <w:p w14:paraId="4CCC9CA4" w14:textId="77777777" w:rsidR="00A0110E" w:rsidRPr="00411D9E" w:rsidRDefault="00A0110E" w:rsidP="00A0110E">
      <w:pPr>
        <w:pStyle w:val="Heading2"/>
      </w:pPr>
      <w:bookmarkStart w:id="256" w:name="_Toc442196300"/>
      <w:bookmarkStart w:id="257" w:name="_Toc447022744"/>
      <w:bookmarkStart w:id="258" w:name="_Toc447022879"/>
      <w:bookmarkStart w:id="259" w:name="_Toc447034838"/>
      <w:bookmarkStart w:id="260" w:name="_Toc447725867"/>
      <w:bookmarkStart w:id="261" w:name="_Toc449099986"/>
      <w:bookmarkStart w:id="262" w:name="_Toc35593618"/>
      <w:bookmarkStart w:id="263" w:name="_Toc99026978"/>
      <w:r w:rsidRPr="00411D9E">
        <w:t>2020 Opportunities for Improvement MCO Response</w:t>
      </w:r>
      <w:bookmarkEnd w:id="256"/>
      <w:bookmarkEnd w:id="257"/>
      <w:bookmarkEnd w:id="258"/>
      <w:bookmarkEnd w:id="259"/>
      <w:bookmarkEnd w:id="260"/>
      <w:bookmarkEnd w:id="261"/>
      <w:bookmarkEnd w:id="262"/>
      <w:bookmarkEnd w:id="263"/>
    </w:p>
    <w:p w14:paraId="60A21392" w14:textId="77777777" w:rsidR="00A0110E" w:rsidRPr="00411D9E" w:rsidRDefault="00A0110E" w:rsidP="00A0110E">
      <w:pPr>
        <w:numPr>
          <w:ilvl w:val="0"/>
          <w:numId w:val="11"/>
        </w:numPr>
      </w:pPr>
      <w:r w:rsidRPr="00411D9E">
        <w:t>Highmark PPO provided a response to the opportunities for improvement issued in the 2020 annual technical report for those measures that were identified as statistically significantly below or worse than the MMC weighted average.</w:t>
      </w:r>
    </w:p>
    <w:p w14:paraId="44D5B9A1" w14:textId="77777777" w:rsidR="00A0110E" w:rsidRPr="00411D9E" w:rsidRDefault="00A0110E" w:rsidP="00A0110E">
      <w:pPr>
        <w:pStyle w:val="Heading2"/>
      </w:pPr>
      <w:bookmarkStart w:id="264" w:name="_Toc442196301"/>
      <w:bookmarkStart w:id="265" w:name="_Toc447022745"/>
      <w:bookmarkStart w:id="266" w:name="_Toc447022880"/>
      <w:bookmarkStart w:id="267" w:name="_Toc447034839"/>
      <w:bookmarkStart w:id="268" w:name="_Toc447725868"/>
      <w:bookmarkStart w:id="269" w:name="_Toc449099987"/>
      <w:bookmarkStart w:id="270" w:name="_Toc35593619"/>
      <w:bookmarkStart w:id="271" w:name="_Toc99026979"/>
      <w:r w:rsidRPr="00411D9E">
        <w:t>2021 Strengths and Opportunities for Improvement</w:t>
      </w:r>
      <w:bookmarkEnd w:id="264"/>
      <w:bookmarkEnd w:id="265"/>
      <w:bookmarkEnd w:id="266"/>
      <w:bookmarkEnd w:id="267"/>
      <w:bookmarkEnd w:id="268"/>
      <w:bookmarkEnd w:id="269"/>
      <w:bookmarkEnd w:id="270"/>
      <w:bookmarkEnd w:id="271"/>
    </w:p>
    <w:p w14:paraId="563F3D6A" w14:textId="77777777" w:rsidR="00A0110E" w:rsidRPr="00411D9E" w:rsidRDefault="00A0110E" w:rsidP="00A0110E">
      <w:pPr>
        <w:numPr>
          <w:ilvl w:val="0"/>
          <w:numId w:val="11"/>
        </w:numPr>
        <w:rPr>
          <w:b/>
          <w:bCs/>
        </w:rPr>
      </w:pPr>
      <w:r w:rsidRPr="00411D9E">
        <w:rPr>
          <w:bCs/>
        </w:rPr>
        <w:t>Both strengths and opportunities for improvement have been noted for Highmark PPO in 2021. A response will be required by the MCO for the noted opportunities for improvement in 2022.</w:t>
      </w:r>
    </w:p>
    <w:p w14:paraId="3139988E" w14:textId="77777777" w:rsidR="00857CFF" w:rsidRPr="00411D9E" w:rsidRDefault="00857CFF">
      <w:pPr>
        <w:rPr>
          <w:rFonts w:asciiTheme="majorHAnsi" w:eastAsiaTheme="majorEastAsia" w:hAnsiTheme="majorHAnsi" w:cstheme="majorBidi"/>
          <w:b/>
          <w:bCs/>
          <w:color w:val="365F91" w:themeColor="accent1" w:themeShade="BF"/>
          <w:sz w:val="28"/>
          <w:szCs w:val="28"/>
        </w:rPr>
      </w:pPr>
      <w:bookmarkStart w:id="272" w:name="_Toc98067737"/>
      <w:bookmarkStart w:id="273" w:name="_Toc98153566"/>
      <w:bookmarkStart w:id="274" w:name="_Toc64633770"/>
      <w:bookmarkStart w:id="275" w:name="_Toc67387376"/>
      <w:bookmarkStart w:id="276" w:name="_Toc68527471"/>
      <w:bookmarkEnd w:id="230"/>
      <w:r w:rsidRPr="00411D9E">
        <w:br w:type="page"/>
      </w:r>
    </w:p>
    <w:p w14:paraId="393A6F14" w14:textId="08549DE2" w:rsidR="00A0110E" w:rsidRPr="00411D9E" w:rsidRDefault="00A0110E" w:rsidP="00DE51E7">
      <w:pPr>
        <w:pStyle w:val="Heading1"/>
      </w:pPr>
      <w:bookmarkStart w:id="277" w:name="_Toc99026980"/>
      <w:r w:rsidRPr="00411D9E">
        <w:lastRenderedPageBreak/>
        <w:t>Appendix</w:t>
      </w:r>
      <w:bookmarkEnd w:id="272"/>
      <w:bookmarkEnd w:id="273"/>
      <w:bookmarkEnd w:id="277"/>
    </w:p>
    <w:p w14:paraId="11C42D28" w14:textId="77777777" w:rsidR="00A0110E" w:rsidRPr="00411D9E" w:rsidRDefault="00A0110E" w:rsidP="00A0110E">
      <w:pPr>
        <w:rPr>
          <w:rFonts w:ascii="Calibri" w:eastAsia="PMingLiU" w:hAnsi="Calibri" w:cs="Times New Roman"/>
        </w:rPr>
      </w:pPr>
    </w:p>
    <w:p w14:paraId="2E0517AC" w14:textId="77777777" w:rsidR="00A0110E" w:rsidRPr="00411D9E" w:rsidRDefault="00A0110E" w:rsidP="00DE51E7">
      <w:pPr>
        <w:pStyle w:val="Heading2"/>
      </w:pPr>
      <w:bookmarkStart w:id="278" w:name="_Toc98153567"/>
      <w:bookmarkStart w:id="279" w:name="_Toc99026981"/>
      <w:bookmarkStart w:id="280" w:name="_Hlk98235756"/>
      <w:r w:rsidRPr="00411D9E">
        <w:t>A.1.1. Performance Improvement Project Interventions</w:t>
      </w:r>
      <w:bookmarkEnd w:id="278"/>
      <w:bookmarkEnd w:id="279"/>
      <w:r w:rsidRPr="00411D9E">
        <w:t xml:space="preserve"> </w:t>
      </w:r>
    </w:p>
    <w:p w14:paraId="1469E78C" w14:textId="77777777" w:rsidR="00A0110E" w:rsidRPr="00411D9E" w:rsidRDefault="00A0110E" w:rsidP="00A0110E">
      <w:pPr>
        <w:rPr>
          <w:rFonts w:ascii="Calibri" w:eastAsia="PMingLiU" w:hAnsi="Calibri" w:cs="Times New Roman"/>
        </w:rPr>
      </w:pPr>
    </w:p>
    <w:p w14:paraId="3DE492F7" w14:textId="37EFADAB" w:rsidR="00A0110E" w:rsidRPr="00411D9E" w:rsidRDefault="00A0110E" w:rsidP="00A0110E">
      <w:pPr>
        <w:rPr>
          <w:rFonts w:ascii="Calibri" w:eastAsia="PMingLiU" w:hAnsi="Calibri" w:cs="Times New Roman"/>
        </w:rPr>
      </w:pPr>
      <w:r w:rsidRPr="00411D9E">
        <w:rPr>
          <w:rFonts w:ascii="Calibri" w:eastAsia="PMingLiU" w:hAnsi="Calibri" w:cs="Times New Roman"/>
        </w:rPr>
        <w:t xml:space="preserve">As referenced in </w:t>
      </w:r>
      <w:r w:rsidRPr="00411D9E">
        <w:rPr>
          <w:rFonts w:ascii="Calibri" w:eastAsia="PMingLiU" w:hAnsi="Calibri" w:cs="Times New Roman"/>
          <w:b/>
        </w:rPr>
        <w:t>Section I: Validation of Performance Improvement Projects</w:t>
      </w:r>
      <w:r w:rsidRPr="00411D9E">
        <w:rPr>
          <w:rFonts w:ascii="Calibri" w:eastAsia="PMingLiU" w:hAnsi="Calibri" w:cs="Times New Roman"/>
        </w:rPr>
        <w:t xml:space="preserve">, </w:t>
      </w:r>
      <w:r w:rsidR="00D266AC" w:rsidRPr="00411D9E">
        <w:rPr>
          <w:rFonts w:ascii="Calibri" w:eastAsia="PMingLiU" w:hAnsi="Calibri" w:cs="Times New Roman"/>
          <w:b/>
          <w:bCs/>
        </w:rPr>
        <w:t>Table A.1.1</w:t>
      </w:r>
      <w:r w:rsidRPr="00411D9E">
        <w:rPr>
          <w:rFonts w:ascii="Calibri" w:eastAsia="PMingLiU" w:hAnsi="Calibri" w:cs="Times New Roman"/>
        </w:rPr>
        <w:t xml:space="preserve"> lists all of the interventions outlined in the MCO’s most recent PIP submission for the review year.</w:t>
      </w:r>
    </w:p>
    <w:p w14:paraId="04E6F4E9" w14:textId="77777777" w:rsidR="00A0110E" w:rsidRPr="00411D9E" w:rsidRDefault="00A0110E" w:rsidP="00A0110E">
      <w:pPr>
        <w:keepNext/>
        <w:keepLines/>
        <w:spacing w:before="200"/>
        <w:outlineLvl w:val="3"/>
        <w:rPr>
          <w:rFonts w:ascii="Cambria" w:eastAsia="Times New Roman" w:hAnsi="Cambria" w:cs="Times New Roman"/>
          <w:bCs/>
          <w:iCs/>
          <w:color w:val="244061"/>
        </w:rPr>
      </w:pPr>
      <w:r w:rsidRPr="00411D9E">
        <w:rPr>
          <w:rFonts w:ascii="Cambria" w:eastAsia="Times New Roman" w:hAnsi="Cambria" w:cs="Times New Roman"/>
          <w:bCs/>
          <w:iCs/>
          <w:color w:val="244061"/>
        </w:rPr>
        <w:t xml:space="preserve">Table A.1.1: PIP Interventions </w:t>
      </w:r>
      <w:bookmarkEnd w:id="274"/>
      <w:bookmarkEnd w:id="275"/>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A0110E" w:rsidRPr="00411D9E" w14:paraId="74FAC90B" w14:textId="77777777" w:rsidTr="00D266AC">
        <w:trPr>
          <w:trHeight w:val="302"/>
          <w:tblHeader/>
        </w:trPr>
        <w:tc>
          <w:tcPr>
            <w:tcW w:w="5000" w:type="pct"/>
            <w:tcBorders>
              <w:bottom w:val="single" w:sz="4" w:space="0" w:color="auto"/>
            </w:tcBorders>
            <w:shd w:val="clear" w:color="auto" w:fill="5F497A"/>
            <w:vAlign w:val="center"/>
          </w:tcPr>
          <w:p w14:paraId="2B4E46B1" w14:textId="00E64840" w:rsidR="00A0110E" w:rsidRPr="00411D9E" w:rsidRDefault="00A0110E" w:rsidP="00FF262E">
            <w:pPr>
              <w:rPr>
                <w:rFonts w:ascii="Calibri" w:eastAsia="PMingLiU" w:hAnsi="Calibri" w:cs="Times New Roman"/>
                <w:b/>
                <w:bCs/>
                <w:color w:val="FFFFFF"/>
              </w:rPr>
            </w:pPr>
            <w:bookmarkStart w:id="281" w:name="_Hlk95314185"/>
            <w:r w:rsidRPr="00411D9E">
              <w:rPr>
                <w:rFonts w:ascii="Calibri" w:eastAsia="PMingLiU" w:hAnsi="Calibri" w:cs="Times New Roman"/>
                <w:b/>
                <w:bCs/>
                <w:color w:val="FFFFFF"/>
              </w:rPr>
              <w:t>Summary of Intervention</w:t>
            </w:r>
            <w:r w:rsidR="00D266AC" w:rsidRPr="00411D9E">
              <w:rPr>
                <w:rFonts w:ascii="Calibri" w:eastAsia="PMingLiU" w:hAnsi="Calibri" w:cs="Times New Roman"/>
                <w:b/>
                <w:bCs/>
                <w:color w:val="FFFFFF"/>
              </w:rPr>
              <w:t>s</w:t>
            </w:r>
          </w:p>
        </w:tc>
      </w:tr>
      <w:tr w:rsidR="00A0110E" w:rsidRPr="00411D9E" w14:paraId="0F18DABA" w14:textId="77777777" w:rsidTr="00D266AC">
        <w:trPr>
          <w:trHeight w:val="302"/>
        </w:trPr>
        <w:tc>
          <w:tcPr>
            <w:tcW w:w="5000" w:type="pct"/>
            <w:shd w:val="clear" w:color="auto" w:fill="CCC0D9"/>
            <w:vAlign w:val="center"/>
          </w:tcPr>
          <w:p w14:paraId="53FF958B" w14:textId="77777777" w:rsidR="00A0110E" w:rsidRPr="00411D9E" w:rsidRDefault="00A0110E" w:rsidP="00FF262E">
            <w:pPr>
              <w:rPr>
                <w:rFonts w:ascii="Calibri" w:eastAsia="PMingLiU" w:hAnsi="Calibri" w:cs="Times New Roman"/>
                <w:b/>
                <w:bCs/>
              </w:rPr>
            </w:pPr>
            <w:bookmarkStart w:id="282" w:name="_Hlk95381705"/>
            <w:bookmarkStart w:id="283" w:name="_Hlk95299610"/>
            <w:bookmarkEnd w:id="281"/>
            <w:r w:rsidRPr="00411D9E">
              <w:rPr>
                <w:rFonts w:ascii="Calibri" w:eastAsia="PMingLiU" w:hAnsi="Calibri" w:cs="Times New Roman"/>
                <w:b/>
                <w:bCs/>
              </w:rPr>
              <w:t>Highmark PPO – Developmental Screening</w:t>
            </w:r>
          </w:p>
        </w:tc>
      </w:tr>
      <w:tr w:rsidR="00A0110E" w:rsidRPr="00411D9E" w14:paraId="5A5AB4C7" w14:textId="77777777" w:rsidTr="00D266AC">
        <w:trPr>
          <w:trHeight w:val="701"/>
        </w:trPr>
        <w:bookmarkEnd w:id="283" w:displacedByCustomXml="next"/>
        <w:bookmarkEnd w:id="282" w:displacedByCustomXml="next"/>
        <w:sdt>
          <w:sdtPr>
            <w:rPr>
              <w:rStyle w:val="Style10-Arial10"/>
              <w:rFonts w:asciiTheme="minorHAnsi" w:hAnsiTheme="minorHAnsi" w:cstheme="minorHAnsi"/>
              <w:sz w:val="22"/>
            </w:rPr>
            <w:id w:val="1413818454"/>
          </w:sdtPr>
          <w:sdtEndPr>
            <w:rPr>
              <w:rStyle w:val="Style10-Arial10"/>
            </w:rPr>
          </w:sdtEndPr>
          <w:sdtContent>
            <w:tc>
              <w:tcPr>
                <w:tcW w:w="5000" w:type="pct"/>
                <w:vAlign w:val="center"/>
              </w:tcPr>
              <w:p w14:paraId="478BD442" w14:textId="714314FA"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1. In 2017 we added Developmental Screening in the First Three Years as part of our scored True Performance Measures (Value Based reimbursement program). In 2018 it become</w:t>
                </w:r>
                <w:r w:rsidR="00411D9E">
                  <w:rPr>
                    <w:rStyle w:val="Style10-Arial10"/>
                    <w:rFonts w:asciiTheme="minorHAnsi" w:hAnsiTheme="minorHAnsi" w:cstheme="minorHAnsi"/>
                    <w:sz w:val="22"/>
                  </w:rPr>
                  <w:t>s</w:t>
                </w:r>
                <w:r w:rsidRPr="00411D9E">
                  <w:rPr>
                    <w:rStyle w:val="Style10-Arial10"/>
                    <w:rFonts w:asciiTheme="minorHAnsi" w:hAnsiTheme="minorHAnsi" w:cstheme="minorHAnsi"/>
                    <w:sz w:val="22"/>
                  </w:rPr>
                  <w:t xml:space="preserve"> a paid incentive under the True Performance Measures Program (Value Based reimbursement program). Success is measured by the True Performance providers’ DEV rate exceeding significantly the DEV rate for Non-True Performance providers.</w:t>
                </w:r>
              </w:p>
            </w:tc>
          </w:sdtContent>
        </w:sdt>
      </w:tr>
      <w:tr w:rsidR="00A0110E" w:rsidRPr="00411D9E" w14:paraId="414365C6" w14:textId="77777777" w:rsidTr="00D266AC">
        <w:trPr>
          <w:trHeight w:val="629"/>
        </w:trPr>
        <w:tc>
          <w:tcPr>
            <w:tcW w:w="5000" w:type="pct"/>
            <w:vAlign w:val="center"/>
          </w:tcPr>
          <w:p w14:paraId="64D61719"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 xml:space="preserve">2. Telephonic outreach to parents of 1-3 year </w:t>
            </w:r>
            <w:proofErr w:type="spellStart"/>
            <w:r w:rsidRPr="00411D9E">
              <w:rPr>
                <w:rStyle w:val="Style10-Arial10"/>
                <w:rFonts w:asciiTheme="minorHAnsi" w:hAnsiTheme="minorHAnsi" w:cstheme="minorHAnsi"/>
                <w:sz w:val="22"/>
              </w:rPr>
              <w:t>olds</w:t>
            </w:r>
            <w:proofErr w:type="spellEnd"/>
            <w:r w:rsidRPr="00411D9E">
              <w:rPr>
                <w:rStyle w:val="Style10-Arial10"/>
                <w:rFonts w:asciiTheme="minorHAnsi" w:hAnsiTheme="minorHAnsi" w:cstheme="minorHAnsi"/>
                <w:sz w:val="22"/>
              </w:rPr>
              <w:t xml:space="preserve"> with no codes for developmental screenings to:</w:t>
            </w:r>
          </w:p>
          <w:p w14:paraId="04410E00"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 xml:space="preserve">          1. Educate on the benefits of early developmental screening.</w:t>
            </w:r>
          </w:p>
          <w:p w14:paraId="4EC2C966"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 xml:space="preserve">          2. Assist them with scheduling well visit.</w:t>
            </w:r>
          </w:p>
          <w:p w14:paraId="21B53F20"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Success is measured by the rate of reached families Highmark can engage in a telephonic educational conversation in regards to the importance of DEV screening and its effects on the child’s future health and wellbeing and the importance of early detection and intervention.</w:t>
            </w:r>
          </w:p>
        </w:tc>
      </w:tr>
      <w:tr w:rsidR="00A0110E" w:rsidRPr="00411D9E" w14:paraId="220A09EF" w14:textId="77777777" w:rsidTr="00D266AC">
        <w:trPr>
          <w:trHeight w:val="302"/>
        </w:trPr>
        <w:tc>
          <w:tcPr>
            <w:tcW w:w="5000" w:type="pct"/>
            <w:shd w:val="clear" w:color="auto" w:fill="CCC0D9"/>
            <w:vAlign w:val="center"/>
          </w:tcPr>
          <w:p w14:paraId="51A42AC8" w14:textId="77777777" w:rsidR="00A0110E" w:rsidRPr="00411D9E" w:rsidRDefault="00A0110E" w:rsidP="00FF262E">
            <w:pPr>
              <w:rPr>
                <w:rFonts w:ascii="Calibri" w:eastAsia="PMingLiU" w:hAnsi="Calibri" w:cs="Times New Roman"/>
                <w:b/>
                <w:bCs/>
              </w:rPr>
            </w:pPr>
            <w:r w:rsidRPr="00411D9E">
              <w:rPr>
                <w:rFonts w:ascii="Calibri" w:eastAsia="PMingLiU" w:hAnsi="Calibri" w:cs="Times New Roman"/>
                <w:b/>
                <w:bCs/>
              </w:rPr>
              <w:t>Highmark PPO – Lead Screening</w:t>
            </w:r>
          </w:p>
        </w:tc>
      </w:tr>
      <w:tr w:rsidR="00A0110E" w:rsidRPr="00411D9E" w14:paraId="09D91502" w14:textId="77777777" w:rsidTr="00D266AC">
        <w:trPr>
          <w:trHeight w:val="935"/>
        </w:trPr>
        <w:tc>
          <w:tcPr>
            <w:tcW w:w="5000" w:type="pct"/>
            <w:vAlign w:val="center"/>
          </w:tcPr>
          <w:p w14:paraId="762BD00A"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1. Provider Intervention: In 2019 we added lead as part of our scored True Performance Measures (Value Based reimbursement program). Moving forward in 2020 it will become a paid incentive under the True Performance Measures Program (Value Based reimbursement program). Success is measured by the True Performance providers’ Lead rate exceeding significantly the Lead rate for Non-True Performance providers.</w:t>
            </w:r>
          </w:p>
        </w:tc>
      </w:tr>
      <w:tr w:rsidR="00A0110E" w:rsidRPr="00411D9E" w14:paraId="7FF4CEAA" w14:textId="77777777" w:rsidTr="00D266AC">
        <w:trPr>
          <w:trHeight w:val="890"/>
        </w:trPr>
        <w:tc>
          <w:tcPr>
            <w:tcW w:w="5000" w:type="pct"/>
            <w:shd w:val="clear" w:color="auto" w:fill="auto"/>
            <w:vAlign w:val="center"/>
          </w:tcPr>
          <w:p w14:paraId="6807AD7D"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2. Family Intervention: Telephonic outreach to parents of CHP children with no claims for lead screening:</w:t>
            </w:r>
          </w:p>
          <w:p w14:paraId="0997845B"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 xml:space="preserve">         1. Educate on the benefits of early lead screening.</w:t>
            </w:r>
          </w:p>
          <w:p w14:paraId="14BD58C6"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 xml:space="preserve">         2. Assist them with scheduling well visit or obtaining script for lead.</w:t>
            </w:r>
          </w:p>
          <w:p w14:paraId="3F0362DF" w14:textId="77777777" w:rsidR="00A0110E" w:rsidRPr="00411D9E" w:rsidRDefault="00A0110E" w:rsidP="00FF262E">
            <w:pPr>
              <w:rPr>
                <w:rStyle w:val="Style10-Arial10"/>
                <w:rFonts w:asciiTheme="minorHAnsi" w:hAnsiTheme="minorHAnsi" w:cstheme="minorHAnsi"/>
                <w:sz w:val="22"/>
              </w:rPr>
            </w:pPr>
            <w:r w:rsidRPr="00411D9E">
              <w:rPr>
                <w:rStyle w:val="Style10-Arial10"/>
                <w:rFonts w:asciiTheme="minorHAnsi" w:hAnsiTheme="minorHAnsi" w:cstheme="minorHAnsi"/>
                <w:sz w:val="22"/>
              </w:rPr>
              <w:t>Success is measured by the rate of reached families Highmark can engage in a telephonic educational conversation regarding the importance of Lead screening and its effects on the child’s future health and wellbeing and the importance of early detection and intervention.</w:t>
            </w:r>
          </w:p>
        </w:tc>
      </w:tr>
    </w:tbl>
    <w:bookmarkEnd w:id="280"/>
    <w:p w14:paraId="1A01F0A0" w14:textId="47165690" w:rsidR="00A0110E" w:rsidRPr="00411D9E" w:rsidRDefault="00857CFF" w:rsidP="00857CFF">
      <w:pPr>
        <w:spacing w:after="480"/>
        <w:rPr>
          <w:rFonts w:eastAsiaTheme="majorEastAsia"/>
          <w:sz w:val="20"/>
          <w:szCs w:val="20"/>
        </w:rPr>
      </w:pPr>
      <w:r w:rsidRPr="00411D9E">
        <w:rPr>
          <w:rFonts w:eastAsiaTheme="majorEastAsia"/>
          <w:sz w:val="20"/>
          <w:szCs w:val="20"/>
        </w:rPr>
        <w:t>PIP: performance improvement project.</w:t>
      </w:r>
    </w:p>
    <w:p w14:paraId="5778F354" w14:textId="77777777" w:rsidR="00A0110E" w:rsidRPr="00411D9E" w:rsidRDefault="00A0110E" w:rsidP="00DE51E7">
      <w:pPr>
        <w:pStyle w:val="Heading2"/>
      </w:pPr>
      <w:bookmarkStart w:id="284" w:name="_Toc98153568"/>
      <w:bookmarkStart w:id="285" w:name="_Toc99026982"/>
      <w:r w:rsidRPr="00411D9E">
        <w:t>A.2.1. Comprehensive Compliance Standards List</w:t>
      </w:r>
      <w:bookmarkEnd w:id="284"/>
      <w:bookmarkEnd w:id="285"/>
    </w:p>
    <w:p w14:paraId="561BC91D" w14:textId="77777777" w:rsidR="00A0110E" w:rsidRPr="00411D9E" w:rsidRDefault="00A0110E" w:rsidP="00A0110E">
      <w:pPr>
        <w:rPr>
          <w:rFonts w:ascii="Calibri" w:eastAsia="PMingLiU" w:hAnsi="Calibri" w:cs="Times New Roman"/>
        </w:rPr>
      </w:pPr>
    </w:p>
    <w:p w14:paraId="02FF3116" w14:textId="77777777" w:rsidR="00A0110E" w:rsidRPr="00411D9E" w:rsidRDefault="00A0110E" w:rsidP="00A0110E">
      <w:pPr>
        <w:rPr>
          <w:rFonts w:ascii="Calibri" w:eastAsia="PMingLiU" w:hAnsi="Calibri" w:cs="Times New Roman"/>
        </w:rPr>
      </w:pPr>
      <w:r w:rsidRPr="00411D9E">
        <w:rPr>
          <w:rFonts w:ascii="Calibri" w:eastAsia="PMingLiU" w:hAnsi="Calibri" w:cs="Times New Roman"/>
        </w:rPr>
        <w:t xml:space="preserve">Revised CMS protocols include updates to the structure and compliance standards, including which standards are required for compliance review. Under the most recent protocols, there are 11 standards that CMS has now designated as required to be subject to compliance review. Several previously required standards have been deemed by CMS as incorporated into the compliance review through interaction with the new required standards, and appear to assess items that are related to the required standards. </w:t>
      </w:r>
      <w:r w:rsidRPr="00411D9E">
        <w:rPr>
          <w:rFonts w:ascii="Calibri" w:eastAsia="PMingLiU" w:hAnsi="Calibri" w:cs="Times New Roman"/>
          <w:b/>
        </w:rPr>
        <w:t>Table A.2.1</w:t>
      </w:r>
      <w:r w:rsidRPr="00411D9E">
        <w:rPr>
          <w:rFonts w:ascii="Calibri" w:eastAsia="PMingLiU" w:hAnsi="Calibri" w:cs="Times New Roman"/>
        </w:rPr>
        <w:t xml:space="preserve"> lists the standards in the updated protocol, designated as one of the 11 required standards or one of those deemed as a related standard.</w:t>
      </w:r>
    </w:p>
    <w:p w14:paraId="130ABA6A" w14:textId="77777777" w:rsidR="00A0110E" w:rsidRPr="00411D9E" w:rsidRDefault="00A0110E" w:rsidP="00A0110E">
      <w:pPr>
        <w:keepNext/>
        <w:keepLines/>
        <w:spacing w:before="200"/>
        <w:outlineLvl w:val="3"/>
        <w:rPr>
          <w:rFonts w:ascii="Cambria" w:eastAsia="Times New Roman" w:hAnsi="Cambria" w:cs="Times New Roman"/>
          <w:color w:val="244061"/>
        </w:rPr>
      </w:pPr>
      <w:r w:rsidRPr="00411D9E">
        <w:rPr>
          <w:rFonts w:ascii="Cambria" w:eastAsia="Times New Roman" w:hAnsi="Cambria" w:cs="Times New Roman"/>
          <w:bCs/>
          <w:iCs/>
          <w:color w:val="244061"/>
        </w:rPr>
        <w:t>Table A.2.1: Required and Related Structure and Compliance Standards</w:t>
      </w:r>
    </w:p>
    <w:tbl>
      <w:tblPr>
        <w:tblW w:w="90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1350"/>
        <w:gridCol w:w="1350"/>
      </w:tblGrid>
      <w:tr w:rsidR="00A0110E" w:rsidRPr="00411D9E" w14:paraId="106FC12D" w14:textId="77777777" w:rsidTr="00FF262E">
        <w:trPr>
          <w:trHeight w:val="302"/>
          <w:tblHeader/>
        </w:trPr>
        <w:tc>
          <w:tcPr>
            <w:tcW w:w="6390" w:type="dxa"/>
            <w:tcBorders>
              <w:bottom w:val="single" w:sz="4" w:space="0" w:color="auto"/>
            </w:tcBorders>
            <w:shd w:val="clear" w:color="auto" w:fill="5F497A"/>
            <w:vAlign w:val="center"/>
          </w:tcPr>
          <w:p w14:paraId="1D9E2870" w14:textId="77777777" w:rsidR="00A0110E" w:rsidRPr="00411D9E" w:rsidRDefault="00A0110E" w:rsidP="00FF262E">
            <w:pPr>
              <w:rPr>
                <w:rFonts w:ascii="Calibri" w:eastAsia="PMingLiU" w:hAnsi="Calibri" w:cs="Times New Roman"/>
                <w:b/>
                <w:bCs/>
                <w:color w:val="FFFFFF"/>
              </w:rPr>
            </w:pPr>
            <w:smartTag w:uri="urn:schemas-microsoft-com:office:smarttags" w:element="stockticker">
              <w:r w:rsidRPr="00411D9E">
                <w:rPr>
                  <w:rFonts w:ascii="Calibri" w:eastAsia="PMingLiU" w:hAnsi="Calibri" w:cs="Times New Roman"/>
                  <w:b/>
                  <w:bCs/>
                  <w:color w:val="FFFFFF"/>
                </w:rPr>
                <w:t>BBA</w:t>
              </w:r>
            </w:smartTag>
            <w:r w:rsidRPr="00411D9E">
              <w:rPr>
                <w:rFonts w:ascii="Calibri" w:eastAsia="PMingLiU" w:hAnsi="Calibri" w:cs="Times New Roman"/>
                <w:b/>
                <w:bCs/>
                <w:color w:val="FFFFFF"/>
              </w:rPr>
              <w:t xml:space="preserve"> Regulation</w:t>
            </w:r>
          </w:p>
        </w:tc>
        <w:tc>
          <w:tcPr>
            <w:tcW w:w="1350" w:type="dxa"/>
            <w:tcBorders>
              <w:bottom w:val="single" w:sz="4" w:space="0" w:color="auto"/>
            </w:tcBorders>
            <w:shd w:val="clear" w:color="auto" w:fill="5F497A"/>
          </w:tcPr>
          <w:p w14:paraId="57821672" w14:textId="77777777" w:rsidR="00A0110E" w:rsidRPr="00411D9E" w:rsidRDefault="00A0110E" w:rsidP="00FF262E">
            <w:pPr>
              <w:jc w:val="center"/>
              <w:rPr>
                <w:rFonts w:ascii="Calibri" w:eastAsia="PMingLiU" w:hAnsi="Calibri" w:cs="Times New Roman"/>
                <w:b/>
                <w:bCs/>
                <w:color w:val="FFFFFF"/>
              </w:rPr>
            </w:pPr>
            <w:r w:rsidRPr="00411D9E">
              <w:rPr>
                <w:rFonts w:ascii="Calibri" w:eastAsia="PMingLiU" w:hAnsi="Calibri" w:cs="Times New Roman"/>
                <w:b/>
                <w:bCs/>
                <w:color w:val="FFFFFF"/>
              </w:rPr>
              <w:t>Required</w:t>
            </w:r>
          </w:p>
        </w:tc>
        <w:tc>
          <w:tcPr>
            <w:tcW w:w="1350" w:type="dxa"/>
            <w:tcBorders>
              <w:bottom w:val="single" w:sz="4" w:space="0" w:color="auto"/>
            </w:tcBorders>
            <w:shd w:val="clear" w:color="auto" w:fill="5F497A"/>
          </w:tcPr>
          <w:p w14:paraId="34A3F160" w14:textId="77777777" w:rsidR="00A0110E" w:rsidRPr="00411D9E" w:rsidRDefault="00A0110E" w:rsidP="00FF262E">
            <w:pPr>
              <w:jc w:val="center"/>
              <w:rPr>
                <w:rFonts w:ascii="Calibri" w:eastAsia="PMingLiU" w:hAnsi="Calibri" w:cs="Times New Roman"/>
                <w:b/>
                <w:bCs/>
                <w:color w:val="FFFFFF"/>
              </w:rPr>
            </w:pPr>
            <w:r w:rsidRPr="00411D9E">
              <w:rPr>
                <w:rFonts w:ascii="Calibri" w:eastAsia="PMingLiU" w:hAnsi="Calibri" w:cs="Times New Roman"/>
                <w:b/>
                <w:bCs/>
                <w:color w:val="FFFFFF"/>
              </w:rPr>
              <w:t>Related</w:t>
            </w:r>
          </w:p>
        </w:tc>
      </w:tr>
      <w:tr w:rsidR="00A0110E" w:rsidRPr="00411D9E" w14:paraId="3CB3E106" w14:textId="77777777" w:rsidTr="00FF262E">
        <w:trPr>
          <w:trHeight w:val="302"/>
        </w:trPr>
        <w:tc>
          <w:tcPr>
            <w:tcW w:w="9090" w:type="dxa"/>
            <w:gridSpan w:val="3"/>
            <w:shd w:val="clear" w:color="auto" w:fill="CCC0D9"/>
            <w:vAlign w:val="center"/>
          </w:tcPr>
          <w:p w14:paraId="2A5291E6" w14:textId="77777777" w:rsidR="00A0110E" w:rsidRPr="00411D9E" w:rsidRDefault="00A0110E" w:rsidP="00FF262E">
            <w:pPr>
              <w:rPr>
                <w:rFonts w:ascii="Calibri" w:eastAsia="PMingLiU" w:hAnsi="Calibri" w:cs="Times New Roman"/>
                <w:b/>
                <w:bCs/>
              </w:rPr>
            </w:pPr>
            <w:r w:rsidRPr="00411D9E">
              <w:rPr>
                <w:rFonts w:ascii="Calibri" w:eastAsia="PMingLiU" w:hAnsi="Calibri" w:cs="Times New Roman"/>
                <w:b/>
                <w:bCs/>
              </w:rPr>
              <w:t>Subpart C: Enrollee Rights and Protections</w:t>
            </w:r>
          </w:p>
        </w:tc>
      </w:tr>
      <w:tr w:rsidR="00A0110E" w:rsidRPr="00411D9E" w14:paraId="6B77D982" w14:textId="77777777" w:rsidTr="00FF262E">
        <w:trPr>
          <w:trHeight w:val="302"/>
        </w:trPr>
        <w:tc>
          <w:tcPr>
            <w:tcW w:w="6390" w:type="dxa"/>
            <w:vAlign w:val="center"/>
          </w:tcPr>
          <w:p w14:paraId="5BCC6D0F"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Enrollee Rights</w:t>
            </w:r>
          </w:p>
        </w:tc>
        <w:tc>
          <w:tcPr>
            <w:tcW w:w="1350" w:type="dxa"/>
            <w:vAlign w:val="center"/>
          </w:tcPr>
          <w:p w14:paraId="4C80B609" w14:textId="77777777" w:rsidR="00A0110E" w:rsidRPr="00411D9E" w:rsidRDefault="00A0110E" w:rsidP="00FF262E">
            <w:pPr>
              <w:jc w:val="center"/>
              <w:rPr>
                <w:rFonts w:ascii="Calibri" w:eastAsia="PMingLiU" w:hAnsi="Calibri" w:cs="Times New Roman"/>
              </w:rPr>
            </w:pPr>
          </w:p>
        </w:tc>
        <w:tc>
          <w:tcPr>
            <w:tcW w:w="1350" w:type="dxa"/>
            <w:vAlign w:val="center"/>
          </w:tcPr>
          <w:p w14:paraId="00D44C18"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2E1EAC3B" w14:textId="77777777" w:rsidTr="00FF262E">
        <w:trPr>
          <w:trHeight w:val="302"/>
        </w:trPr>
        <w:tc>
          <w:tcPr>
            <w:tcW w:w="6390" w:type="dxa"/>
            <w:vAlign w:val="center"/>
          </w:tcPr>
          <w:p w14:paraId="6FE0312F"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Provider-Enrollee Communication</w:t>
            </w:r>
          </w:p>
        </w:tc>
        <w:tc>
          <w:tcPr>
            <w:tcW w:w="1350" w:type="dxa"/>
            <w:vAlign w:val="center"/>
          </w:tcPr>
          <w:p w14:paraId="06CBBF1B" w14:textId="77777777" w:rsidR="00A0110E" w:rsidRPr="00411D9E" w:rsidRDefault="00A0110E" w:rsidP="00FF262E">
            <w:pPr>
              <w:jc w:val="center"/>
              <w:rPr>
                <w:rFonts w:ascii="Calibri" w:eastAsia="PMingLiU" w:hAnsi="Calibri" w:cs="Times New Roman"/>
              </w:rPr>
            </w:pPr>
          </w:p>
        </w:tc>
        <w:tc>
          <w:tcPr>
            <w:tcW w:w="1350" w:type="dxa"/>
            <w:vAlign w:val="center"/>
          </w:tcPr>
          <w:p w14:paraId="516F18FE"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2381E631" w14:textId="77777777" w:rsidTr="00FF262E">
        <w:trPr>
          <w:trHeight w:val="302"/>
        </w:trPr>
        <w:tc>
          <w:tcPr>
            <w:tcW w:w="6390" w:type="dxa"/>
            <w:vAlign w:val="center"/>
          </w:tcPr>
          <w:p w14:paraId="69C212BF"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Marketing Activities</w:t>
            </w:r>
          </w:p>
        </w:tc>
        <w:tc>
          <w:tcPr>
            <w:tcW w:w="1350" w:type="dxa"/>
            <w:vAlign w:val="center"/>
          </w:tcPr>
          <w:p w14:paraId="555615E2" w14:textId="77777777" w:rsidR="00A0110E" w:rsidRPr="00411D9E" w:rsidRDefault="00A0110E" w:rsidP="00FF262E">
            <w:pPr>
              <w:jc w:val="center"/>
              <w:rPr>
                <w:rFonts w:ascii="Calibri" w:eastAsia="PMingLiU" w:hAnsi="Calibri" w:cs="Times New Roman"/>
              </w:rPr>
            </w:pPr>
          </w:p>
        </w:tc>
        <w:tc>
          <w:tcPr>
            <w:tcW w:w="1350" w:type="dxa"/>
            <w:vAlign w:val="center"/>
          </w:tcPr>
          <w:p w14:paraId="6292598A"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00295F60" w14:textId="77777777" w:rsidTr="00FF262E">
        <w:trPr>
          <w:trHeight w:val="302"/>
        </w:trPr>
        <w:tc>
          <w:tcPr>
            <w:tcW w:w="6390" w:type="dxa"/>
            <w:vAlign w:val="center"/>
          </w:tcPr>
          <w:p w14:paraId="49689E39"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Emergency and Post-Stabilization Services – Definition</w:t>
            </w:r>
          </w:p>
        </w:tc>
        <w:tc>
          <w:tcPr>
            <w:tcW w:w="1350" w:type="dxa"/>
            <w:vAlign w:val="center"/>
          </w:tcPr>
          <w:p w14:paraId="4D8AC1EE" w14:textId="77777777" w:rsidR="00A0110E" w:rsidRPr="00411D9E" w:rsidRDefault="00A0110E" w:rsidP="00FF262E">
            <w:pPr>
              <w:jc w:val="center"/>
              <w:rPr>
                <w:rFonts w:ascii="Calibri" w:eastAsia="PMingLiU" w:hAnsi="Calibri" w:cs="Times New Roman"/>
              </w:rPr>
            </w:pPr>
          </w:p>
        </w:tc>
        <w:tc>
          <w:tcPr>
            <w:tcW w:w="1350" w:type="dxa"/>
            <w:vAlign w:val="center"/>
          </w:tcPr>
          <w:p w14:paraId="5F3E9D67"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05842554" w14:textId="77777777" w:rsidTr="00FF262E">
        <w:trPr>
          <w:trHeight w:val="302"/>
        </w:trPr>
        <w:tc>
          <w:tcPr>
            <w:tcW w:w="6390" w:type="dxa"/>
            <w:vAlign w:val="center"/>
          </w:tcPr>
          <w:p w14:paraId="4E3C8904"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Emergency Services: Coverage and Payment</w:t>
            </w:r>
          </w:p>
        </w:tc>
        <w:tc>
          <w:tcPr>
            <w:tcW w:w="1350" w:type="dxa"/>
            <w:vAlign w:val="center"/>
          </w:tcPr>
          <w:p w14:paraId="03613F91" w14:textId="77777777" w:rsidR="00A0110E" w:rsidRPr="00411D9E" w:rsidRDefault="00A0110E" w:rsidP="00FF262E">
            <w:pPr>
              <w:jc w:val="center"/>
              <w:rPr>
                <w:rFonts w:ascii="Calibri" w:eastAsia="PMingLiU" w:hAnsi="Calibri" w:cs="Times New Roman"/>
              </w:rPr>
            </w:pPr>
          </w:p>
        </w:tc>
        <w:tc>
          <w:tcPr>
            <w:tcW w:w="1350" w:type="dxa"/>
            <w:vAlign w:val="center"/>
          </w:tcPr>
          <w:p w14:paraId="44D048C2"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336732A7" w14:textId="77777777" w:rsidTr="00FF262E">
        <w:trPr>
          <w:trHeight w:val="302"/>
        </w:trPr>
        <w:tc>
          <w:tcPr>
            <w:tcW w:w="9090" w:type="dxa"/>
            <w:gridSpan w:val="3"/>
            <w:shd w:val="clear" w:color="auto" w:fill="CCC0D9"/>
            <w:vAlign w:val="center"/>
          </w:tcPr>
          <w:p w14:paraId="3998BBBE" w14:textId="77777777" w:rsidR="00A0110E" w:rsidRPr="00411D9E" w:rsidRDefault="00A0110E" w:rsidP="00FF262E">
            <w:pPr>
              <w:rPr>
                <w:rFonts w:ascii="Calibri" w:eastAsia="PMingLiU" w:hAnsi="Calibri" w:cs="Times New Roman"/>
                <w:b/>
                <w:bCs/>
              </w:rPr>
            </w:pPr>
            <w:r w:rsidRPr="00411D9E">
              <w:rPr>
                <w:rFonts w:ascii="Calibri" w:eastAsia="PMingLiU" w:hAnsi="Calibri" w:cs="Times New Roman"/>
                <w:b/>
                <w:bCs/>
              </w:rPr>
              <w:lastRenderedPageBreak/>
              <w:t>Subpart D: MCO, PIHP and PAHP Standards</w:t>
            </w:r>
          </w:p>
        </w:tc>
      </w:tr>
      <w:tr w:rsidR="00A0110E" w:rsidRPr="00411D9E" w14:paraId="43B6374B" w14:textId="77777777" w:rsidTr="00FF262E">
        <w:trPr>
          <w:trHeight w:val="302"/>
        </w:trPr>
        <w:tc>
          <w:tcPr>
            <w:tcW w:w="6390" w:type="dxa"/>
            <w:vAlign w:val="center"/>
          </w:tcPr>
          <w:p w14:paraId="190F0736"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Availability of Services</w:t>
            </w:r>
          </w:p>
        </w:tc>
        <w:tc>
          <w:tcPr>
            <w:tcW w:w="1350" w:type="dxa"/>
            <w:vAlign w:val="center"/>
          </w:tcPr>
          <w:p w14:paraId="70947496"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0A4993C2" w14:textId="77777777" w:rsidR="00A0110E" w:rsidRPr="00411D9E" w:rsidRDefault="00A0110E" w:rsidP="00FF262E">
            <w:pPr>
              <w:jc w:val="center"/>
              <w:rPr>
                <w:rFonts w:ascii="Calibri" w:eastAsia="PMingLiU" w:hAnsi="Calibri" w:cs="Times New Roman"/>
              </w:rPr>
            </w:pPr>
          </w:p>
        </w:tc>
      </w:tr>
      <w:tr w:rsidR="00A0110E" w:rsidRPr="00411D9E" w14:paraId="3F5946D3" w14:textId="77777777" w:rsidTr="00FF262E">
        <w:trPr>
          <w:trHeight w:val="302"/>
        </w:trPr>
        <w:tc>
          <w:tcPr>
            <w:tcW w:w="6390" w:type="dxa"/>
            <w:vAlign w:val="center"/>
          </w:tcPr>
          <w:p w14:paraId="40740C77"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Assurances of adequate capacity and services</w:t>
            </w:r>
          </w:p>
        </w:tc>
        <w:tc>
          <w:tcPr>
            <w:tcW w:w="1350" w:type="dxa"/>
            <w:vAlign w:val="center"/>
          </w:tcPr>
          <w:p w14:paraId="3F0F115D"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4019F859" w14:textId="77777777" w:rsidR="00A0110E" w:rsidRPr="00411D9E" w:rsidRDefault="00A0110E" w:rsidP="00FF262E">
            <w:pPr>
              <w:jc w:val="center"/>
              <w:rPr>
                <w:rFonts w:ascii="Calibri" w:eastAsia="PMingLiU" w:hAnsi="Calibri" w:cs="Times New Roman"/>
              </w:rPr>
            </w:pPr>
          </w:p>
        </w:tc>
      </w:tr>
      <w:tr w:rsidR="00A0110E" w:rsidRPr="00411D9E" w14:paraId="0872CA22" w14:textId="77777777" w:rsidTr="00FF262E">
        <w:trPr>
          <w:trHeight w:val="302"/>
        </w:trPr>
        <w:tc>
          <w:tcPr>
            <w:tcW w:w="6390" w:type="dxa"/>
            <w:vAlign w:val="center"/>
          </w:tcPr>
          <w:p w14:paraId="5EFED3FC"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Coordination and Continuity of Care</w:t>
            </w:r>
          </w:p>
        </w:tc>
        <w:tc>
          <w:tcPr>
            <w:tcW w:w="1350" w:type="dxa"/>
            <w:vAlign w:val="center"/>
          </w:tcPr>
          <w:p w14:paraId="71174163"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243460D0" w14:textId="77777777" w:rsidR="00A0110E" w:rsidRPr="00411D9E" w:rsidRDefault="00A0110E" w:rsidP="00FF262E">
            <w:pPr>
              <w:jc w:val="center"/>
              <w:rPr>
                <w:rFonts w:ascii="Calibri" w:eastAsia="PMingLiU" w:hAnsi="Calibri" w:cs="Times New Roman"/>
              </w:rPr>
            </w:pPr>
          </w:p>
        </w:tc>
      </w:tr>
      <w:tr w:rsidR="00A0110E" w:rsidRPr="00411D9E" w14:paraId="5C1BCE79" w14:textId="77777777" w:rsidTr="00FF262E">
        <w:trPr>
          <w:trHeight w:val="302"/>
        </w:trPr>
        <w:tc>
          <w:tcPr>
            <w:tcW w:w="6390" w:type="dxa"/>
            <w:vAlign w:val="center"/>
          </w:tcPr>
          <w:p w14:paraId="36C1212A"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Coverage and Authorization of Services</w:t>
            </w:r>
          </w:p>
        </w:tc>
        <w:tc>
          <w:tcPr>
            <w:tcW w:w="1350" w:type="dxa"/>
            <w:vAlign w:val="center"/>
          </w:tcPr>
          <w:p w14:paraId="2A22258C"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7B0724CD" w14:textId="77777777" w:rsidR="00A0110E" w:rsidRPr="00411D9E" w:rsidRDefault="00A0110E" w:rsidP="00FF262E">
            <w:pPr>
              <w:jc w:val="center"/>
              <w:rPr>
                <w:rFonts w:ascii="Calibri" w:eastAsia="PMingLiU" w:hAnsi="Calibri" w:cs="Times New Roman"/>
              </w:rPr>
            </w:pPr>
          </w:p>
        </w:tc>
      </w:tr>
      <w:tr w:rsidR="00A0110E" w:rsidRPr="00411D9E" w14:paraId="48E083FF" w14:textId="77777777" w:rsidTr="00FF262E">
        <w:trPr>
          <w:trHeight w:val="302"/>
        </w:trPr>
        <w:tc>
          <w:tcPr>
            <w:tcW w:w="6390" w:type="dxa"/>
            <w:vAlign w:val="center"/>
          </w:tcPr>
          <w:p w14:paraId="31CCD77E"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Provider Selection</w:t>
            </w:r>
          </w:p>
        </w:tc>
        <w:tc>
          <w:tcPr>
            <w:tcW w:w="1350" w:type="dxa"/>
            <w:vAlign w:val="center"/>
          </w:tcPr>
          <w:p w14:paraId="1A73C6F4"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66A451BC" w14:textId="77777777" w:rsidR="00A0110E" w:rsidRPr="00411D9E" w:rsidRDefault="00A0110E" w:rsidP="00FF262E">
            <w:pPr>
              <w:jc w:val="center"/>
              <w:rPr>
                <w:rFonts w:ascii="Calibri" w:eastAsia="PMingLiU" w:hAnsi="Calibri" w:cs="Times New Roman"/>
              </w:rPr>
            </w:pPr>
          </w:p>
        </w:tc>
      </w:tr>
      <w:tr w:rsidR="00A0110E" w:rsidRPr="00411D9E" w14:paraId="7F22AD4B" w14:textId="77777777" w:rsidTr="00FF262E">
        <w:trPr>
          <w:trHeight w:val="302"/>
        </w:trPr>
        <w:tc>
          <w:tcPr>
            <w:tcW w:w="6390" w:type="dxa"/>
            <w:vAlign w:val="center"/>
          </w:tcPr>
          <w:p w14:paraId="68349A49"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Provider Discrimination Prohibited</w:t>
            </w:r>
          </w:p>
        </w:tc>
        <w:tc>
          <w:tcPr>
            <w:tcW w:w="1350" w:type="dxa"/>
            <w:vAlign w:val="center"/>
          </w:tcPr>
          <w:p w14:paraId="450FDBC1" w14:textId="77777777" w:rsidR="00A0110E" w:rsidRPr="00411D9E" w:rsidRDefault="00A0110E" w:rsidP="00FF262E">
            <w:pPr>
              <w:jc w:val="center"/>
              <w:rPr>
                <w:rFonts w:ascii="Calibri" w:eastAsia="PMingLiU" w:hAnsi="Calibri" w:cs="Times New Roman"/>
              </w:rPr>
            </w:pPr>
          </w:p>
        </w:tc>
        <w:tc>
          <w:tcPr>
            <w:tcW w:w="1350" w:type="dxa"/>
            <w:vAlign w:val="center"/>
          </w:tcPr>
          <w:p w14:paraId="0C6E50E9"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4072F7B6" w14:textId="77777777" w:rsidTr="00FF262E">
        <w:trPr>
          <w:trHeight w:val="302"/>
        </w:trPr>
        <w:tc>
          <w:tcPr>
            <w:tcW w:w="6390" w:type="dxa"/>
            <w:vAlign w:val="center"/>
          </w:tcPr>
          <w:p w14:paraId="705F0E5B"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Confidentiality</w:t>
            </w:r>
          </w:p>
        </w:tc>
        <w:tc>
          <w:tcPr>
            <w:tcW w:w="1350" w:type="dxa"/>
            <w:vAlign w:val="center"/>
          </w:tcPr>
          <w:p w14:paraId="09B6997F"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3D2B47EC" w14:textId="77777777" w:rsidR="00A0110E" w:rsidRPr="00411D9E" w:rsidRDefault="00A0110E" w:rsidP="00FF262E">
            <w:pPr>
              <w:jc w:val="center"/>
              <w:rPr>
                <w:rFonts w:ascii="Calibri" w:eastAsia="PMingLiU" w:hAnsi="Calibri" w:cs="Times New Roman"/>
              </w:rPr>
            </w:pPr>
          </w:p>
        </w:tc>
      </w:tr>
      <w:tr w:rsidR="00A0110E" w:rsidRPr="00411D9E" w14:paraId="27089135" w14:textId="77777777" w:rsidTr="00FF262E">
        <w:trPr>
          <w:trHeight w:val="302"/>
        </w:trPr>
        <w:tc>
          <w:tcPr>
            <w:tcW w:w="6390" w:type="dxa"/>
            <w:vAlign w:val="center"/>
          </w:tcPr>
          <w:p w14:paraId="1595C5D4"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Enrollment and Disenrollment</w:t>
            </w:r>
          </w:p>
        </w:tc>
        <w:tc>
          <w:tcPr>
            <w:tcW w:w="1350" w:type="dxa"/>
            <w:vAlign w:val="center"/>
          </w:tcPr>
          <w:p w14:paraId="2DD31F26" w14:textId="77777777" w:rsidR="00A0110E" w:rsidRPr="00411D9E" w:rsidRDefault="00A0110E" w:rsidP="00FF262E">
            <w:pPr>
              <w:jc w:val="center"/>
              <w:rPr>
                <w:rFonts w:ascii="Calibri" w:eastAsia="PMingLiU" w:hAnsi="Calibri" w:cs="Times New Roman"/>
              </w:rPr>
            </w:pPr>
          </w:p>
        </w:tc>
        <w:tc>
          <w:tcPr>
            <w:tcW w:w="1350" w:type="dxa"/>
            <w:vAlign w:val="center"/>
          </w:tcPr>
          <w:p w14:paraId="175EB313"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66084230" w14:textId="77777777" w:rsidTr="00FF262E">
        <w:trPr>
          <w:trHeight w:val="302"/>
        </w:trPr>
        <w:tc>
          <w:tcPr>
            <w:tcW w:w="6390" w:type="dxa"/>
            <w:vAlign w:val="center"/>
          </w:tcPr>
          <w:p w14:paraId="0EB765AA"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Grievance and appeal Systems</w:t>
            </w:r>
          </w:p>
        </w:tc>
        <w:tc>
          <w:tcPr>
            <w:tcW w:w="1350" w:type="dxa"/>
            <w:vAlign w:val="center"/>
          </w:tcPr>
          <w:p w14:paraId="2CC3E235"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71C9CE9D" w14:textId="77777777" w:rsidR="00A0110E" w:rsidRPr="00411D9E" w:rsidRDefault="00A0110E" w:rsidP="00FF262E">
            <w:pPr>
              <w:jc w:val="center"/>
              <w:rPr>
                <w:rFonts w:ascii="Calibri" w:eastAsia="PMingLiU" w:hAnsi="Calibri" w:cs="Times New Roman"/>
              </w:rPr>
            </w:pPr>
          </w:p>
        </w:tc>
      </w:tr>
      <w:tr w:rsidR="00A0110E" w:rsidRPr="00411D9E" w14:paraId="7694E4B2" w14:textId="77777777" w:rsidTr="00FF262E">
        <w:trPr>
          <w:trHeight w:val="302"/>
        </w:trPr>
        <w:tc>
          <w:tcPr>
            <w:tcW w:w="6390" w:type="dxa"/>
            <w:vAlign w:val="center"/>
          </w:tcPr>
          <w:p w14:paraId="65E00DAB"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Subcontractual Relationships and Delegations</w:t>
            </w:r>
          </w:p>
        </w:tc>
        <w:tc>
          <w:tcPr>
            <w:tcW w:w="1350" w:type="dxa"/>
            <w:vAlign w:val="center"/>
          </w:tcPr>
          <w:p w14:paraId="5F7937FB"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48657060" w14:textId="77777777" w:rsidR="00A0110E" w:rsidRPr="00411D9E" w:rsidRDefault="00A0110E" w:rsidP="00FF262E">
            <w:pPr>
              <w:jc w:val="center"/>
              <w:rPr>
                <w:rFonts w:ascii="Calibri" w:eastAsia="PMingLiU" w:hAnsi="Calibri" w:cs="Times New Roman"/>
              </w:rPr>
            </w:pPr>
          </w:p>
        </w:tc>
      </w:tr>
      <w:tr w:rsidR="00A0110E" w:rsidRPr="00411D9E" w14:paraId="1E9396A9" w14:textId="77777777" w:rsidTr="00FF262E">
        <w:trPr>
          <w:trHeight w:val="302"/>
        </w:trPr>
        <w:tc>
          <w:tcPr>
            <w:tcW w:w="6390" w:type="dxa"/>
            <w:vAlign w:val="center"/>
          </w:tcPr>
          <w:p w14:paraId="491667FD"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Practice Guidelines</w:t>
            </w:r>
          </w:p>
        </w:tc>
        <w:tc>
          <w:tcPr>
            <w:tcW w:w="1350" w:type="dxa"/>
            <w:vAlign w:val="center"/>
          </w:tcPr>
          <w:p w14:paraId="7BA04154"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4DF72D59" w14:textId="77777777" w:rsidR="00A0110E" w:rsidRPr="00411D9E" w:rsidRDefault="00A0110E" w:rsidP="00FF262E">
            <w:pPr>
              <w:jc w:val="center"/>
              <w:rPr>
                <w:rFonts w:ascii="Calibri" w:eastAsia="PMingLiU" w:hAnsi="Calibri" w:cs="Times New Roman"/>
              </w:rPr>
            </w:pPr>
          </w:p>
        </w:tc>
      </w:tr>
      <w:tr w:rsidR="00A0110E" w:rsidRPr="00411D9E" w14:paraId="778F6E09" w14:textId="77777777" w:rsidTr="00FF262E">
        <w:trPr>
          <w:trHeight w:val="302"/>
        </w:trPr>
        <w:tc>
          <w:tcPr>
            <w:tcW w:w="6390" w:type="dxa"/>
            <w:vAlign w:val="center"/>
          </w:tcPr>
          <w:p w14:paraId="1F079761"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Health Information Systems</w:t>
            </w:r>
          </w:p>
        </w:tc>
        <w:tc>
          <w:tcPr>
            <w:tcW w:w="1350" w:type="dxa"/>
            <w:vAlign w:val="center"/>
          </w:tcPr>
          <w:p w14:paraId="014730BF"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c>
          <w:tcPr>
            <w:tcW w:w="1350" w:type="dxa"/>
            <w:vAlign w:val="center"/>
          </w:tcPr>
          <w:p w14:paraId="2325ADF6" w14:textId="77777777" w:rsidR="00A0110E" w:rsidRPr="00411D9E" w:rsidRDefault="00A0110E" w:rsidP="00FF262E">
            <w:pPr>
              <w:jc w:val="center"/>
              <w:rPr>
                <w:rFonts w:ascii="Calibri" w:eastAsia="PMingLiU" w:hAnsi="Calibri" w:cs="Times New Roman"/>
              </w:rPr>
            </w:pPr>
          </w:p>
        </w:tc>
      </w:tr>
      <w:tr w:rsidR="00A0110E" w:rsidRPr="00411D9E" w14:paraId="67DB8587" w14:textId="77777777" w:rsidTr="00FF262E">
        <w:trPr>
          <w:trHeight w:val="302"/>
        </w:trPr>
        <w:tc>
          <w:tcPr>
            <w:tcW w:w="9090" w:type="dxa"/>
            <w:gridSpan w:val="3"/>
            <w:shd w:val="clear" w:color="auto" w:fill="CCC0D9"/>
            <w:vAlign w:val="center"/>
          </w:tcPr>
          <w:p w14:paraId="547D5966" w14:textId="77777777" w:rsidR="00A0110E" w:rsidRPr="00411D9E" w:rsidRDefault="00A0110E" w:rsidP="00FF262E">
            <w:pPr>
              <w:rPr>
                <w:rFonts w:ascii="Calibri" w:eastAsia="PMingLiU" w:hAnsi="Calibri" w:cs="Times New Roman"/>
                <w:b/>
                <w:bCs/>
              </w:rPr>
            </w:pPr>
            <w:r w:rsidRPr="00411D9E">
              <w:rPr>
                <w:rFonts w:ascii="Calibri" w:eastAsia="PMingLiU" w:hAnsi="Calibri" w:cs="Times New Roman"/>
                <w:b/>
                <w:bCs/>
              </w:rPr>
              <w:t>Subpart E: Quality Measurement and Improvement; External Quality Review</w:t>
            </w:r>
          </w:p>
        </w:tc>
      </w:tr>
      <w:tr w:rsidR="00A0110E" w:rsidRPr="00411D9E" w14:paraId="553A50AF" w14:textId="77777777" w:rsidTr="00FF262E">
        <w:trPr>
          <w:trHeight w:val="302"/>
        </w:trPr>
        <w:tc>
          <w:tcPr>
            <w:tcW w:w="6390" w:type="dxa"/>
            <w:tcBorders>
              <w:bottom w:val="single" w:sz="4" w:space="0" w:color="auto"/>
            </w:tcBorders>
            <w:shd w:val="clear" w:color="auto" w:fill="auto"/>
            <w:vAlign w:val="center"/>
          </w:tcPr>
          <w:p w14:paraId="6B9E8653" w14:textId="77777777" w:rsidR="00A0110E" w:rsidRPr="00411D9E" w:rsidRDefault="00A0110E" w:rsidP="00FF262E">
            <w:pPr>
              <w:rPr>
                <w:rFonts w:ascii="Calibri" w:eastAsia="PMingLiU" w:hAnsi="Calibri" w:cs="Times New Roman"/>
                <w:bCs/>
              </w:rPr>
            </w:pPr>
            <w:r w:rsidRPr="00411D9E">
              <w:rPr>
                <w:rFonts w:ascii="Calibri" w:eastAsia="PMingLiU" w:hAnsi="Calibri" w:cs="Times New Roman"/>
                <w:bCs/>
              </w:rPr>
              <w:t>Quality assessment and performance improvement program (QAPI)</w:t>
            </w:r>
          </w:p>
        </w:tc>
        <w:tc>
          <w:tcPr>
            <w:tcW w:w="1350" w:type="dxa"/>
            <w:tcBorders>
              <w:bottom w:val="single" w:sz="4" w:space="0" w:color="auto"/>
            </w:tcBorders>
            <w:vAlign w:val="center"/>
          </w:tcPr>
          <w:p w14:paraId="3B9408C7" w14:textId="77777777" w:rsidR="00A0110E" w:rsidRPr="00411D9E" w:rsidRDefault="00A0110E" w:rsidP="00FF262E">
            <w:pPr>
              <w:jc w:val="center"/>
              <w:rPr>
                <w:rFonts w:ascii="Calibri" w:eastAsia="PMingLiU" w:hAnsi="Calibri" w:cs="Times New Roman"/>
                <w:b/>
                <w:bCs/>
              </w:rPr>
            </w:pPr>
            <w:r w:rsidRPr="00411D9E">
              <w:rPr>
                <w:rFonts w:ascii="Calibri" w:eastAsia="PMingLiU" w:hAnsi="Calibri" w:cs="Times New Roman"/>
              </w:rPr>
              <w:sym w:font="Wingdings" w:char="F0FC"/>
            </w:r>
          </w:p>
        </w:tc>
        <w:tc>
          <w:tcPr>
            <w:tcW w:w="1350" w:type="dxa"/>
            <w:tcBorders>
              <w:bottom w:val="single" w:sz="4" w:space="0" w:color="auto"/>
            </w:tcBorders>
            <w:vAlign w:val="center"/>
          </w:tcPr>
          <w:p w14:paraId="3921800D" w14:textId="77777777" w:rsidR="00A0110E" w:rsidRPr="00411D9E" w:rsidRDefault="00A0110E" w:rsidP="00FF262E">
            <w:pPr>
              <w:jc w:val="center"/>
              <w:rPr>
                <w:rFonts w:ascii="Calibri" w:eastAsia="PMingLiU" w:hAnsi="Calibri" w:cs="Times New Roman"/>
                <w:b/>
                <w:bCs/>
              </w:rPr>
            </w:pPr>
          </w:p>
        </w:tc>
      </w:tr>
      <w:tr w:rsidR="00A0110E" w:rsidRPr="00411D9E" w14:paraId="6BB1B9EC" w14:textId="77777777" w:rsidTr="00FF262E">
        <w:trPr>
          <w:trHeight w:val="302"/>
        </w:trPr>
        <w:tc>
          <w:tcPr>
            <w:tcW w:w="9090" w:type="dxa"/>
            <w:gridSpan w:val="3"/>
            <w:shd w:val="clear" w:color="auto" w:fill="CCC0D9"/>
            <w:vAlign w:val="center"/>
          </w:tcPr>
          <w:p w14:paraId="39361ADF" w14:textId="77777777" w:rsidR="00A0110E" w:rsidRPr="00411D9E" w:rsidRDefault="00A0110E" w:rsidP="00FF262E">
            <w:pPr>
              <w:rPr>
                <w:rFonts w:ascii="Calibri" w:eastAsia="PMingLiU" w:hAnsi="Calibri" w:cs="Times New Roman"/>
                <w:b/>
                <w:bCs/>
              </w:rPr>
            </w:pPr>
            <w:r w:rsidRPr="00411D9E">
              <w:rPr>
                <w:rFonts w:ascii="Calibri" w:eastAsia="PMingLiU" w:hAnsi="Calibri" w:cs="Times New Roman"/>
                <w:b/>
                <w:bCs/>
              </w:rPr>
              <w:t>Subpart F: Grievance and Appeal System</w:t>
            </w:r>
          </w:p>
        </w:tc>
      </w:tr>
      <w:tr w:rsidR="00A0110E" w:rsidRPr="00411D9E" w14:paraId="434534D8" w14:textId="77777777" w:rsidTr="00FF262E">
        <w:trPr>
          <w:trHeight w:val="302"/>
        </w:trPr>
        <w:tc>
          <w:tcPr>
            <w:tcW w:w="6390" w:type="dxa"/>
            <w:vAlign w:val="center"/>
          </w:tcPr>
          <w:p w14:paraId="1C367591"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General Requirements</w:t>
            </w:r>
          </w:p>
        </w:tc>
        <w:tc>
          <w:tcPr>
            <w:tcW w:w="1350" w:type="dxa"/>
            <w:vAlign w:val="center"/>
          </w:tcPr>
          <w:p w14:paraId="704905A1" w14:textId="77777777" w:rsidR="00A0110E" w:rsidRPr="00411D9E" w:rsidRDefault="00A0110E" w:rsidP="00FF262E">
            <w:pPr>
              <w:jc w:val="center"/>
              <w:rPr>
                <w:rFonts w:ascii="Calibri" w:eastAsia="PMingLiU" w:hAnsi="Calibri" w:cs="Times New Roman"/>
              </w:rPr>
            </w:pPr>
          </w:p>
        </w:tc>
        <w:tc>
          <w:tcPr>
            <w:tcW w:w="1350" w:type="dxa"/>
            <w:vAlign w:val="center"/>
          </w:tcPr>
          <w:p w14:paraId="3C69D60B"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0217F022" w14:textId="77777777" w:rsidTr="00FF262E">
        <w:trPr>
          <w:trHeight w:val="302"/>
        </w:trPr>
        <w:tc>
          <w:tcPr>
            <w:tcW w:w="6390" w:type="dxa"/>
            <w:vAlign w:val="center"/>
          </w:tcPr>
          <w:p w14:paraId="51091BEF"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Notice of Action</w:t>
            </w:r>
          </w:p>
        </w:tc>
        <w:tc>
          <w:tcPr>
            <w:tcW w:w="1350" w:type="dxa"/>
            <w:vAlign w:val="center"/>
          </w:tcPr>
          <w:p w14:paraId="65817504" w14:textId="77777777" w:rsidR="00A0110E" w:rsidRPr="00411D9E" w:rsidRDefault="00A0110E" w:rsidP="00FF262E">
            <w:pPr>
              <w:jc w:val="center"/>
              <w:rPr>
                <w:rFonts w:ascii="Calibri" w:eastAsia="PMingLiU" w:hAnsi="Calibri" w:cs="Times New Roman"/>
              </w:rPr>
            </w:pPr>
          </w:p>
        </w:tc>
        <w:tc>
          <w:tcPr>
            <w:tcW w:w="1350" w:type="dxa"/>
            <w:vAlign w:val="center"/>
          </w:tcPr>
          <w:p w14:paraId="32730873"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2A0FF8A5" w14:textId="77777777" w:rsidTr="00FF262E">
        <w:trPr>
          <w:trHeight w:val="302"/>
        </w:trPr>
        <w:tc>
          <w:tcPr>
            <w:tcW w:w="6390" w:type="dxa"/>
            <w:vAlign w:val="center"/>
          </w:tcPr>
          <w:p w14:paraId="6B63FF59"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Handling of Grievances and Appeals</w:t>
            </w:r>
          </w:p>
        </w:tc>
        <w:tc>
          <w:tcPr>
            <w:tcW w:w="1350" w:type="dxa"/>
            <w:vAlign w:val="center"/>
          </w:tcPr>
          <w:p w14:paraId="7647DF9C" w14:textId="77777777" w:rsidR="00A0110E" w:rsidRPr="00411D9E" w:rsidRDefault="00A0110E" w:rsidP="00FF262E">
            <w:pPr>
              <w:jc w:val="center"/>
              <w:rPr>
                <w:rFonts w:ascii="Calibri" w:eastAsia="PMingLiU" w:hAnsi="Calibri" w:cs="Times New Roman"/>
              </w:rPr>
            </w:pPr>
          </w:p>
        </w:tc>
        <w:tc>
          <w:tcPr>
            <w:tcW w:w="1350" w:type="dxa"/>
            <w:vAlign w:val="center"/>
          </w:tcPr>
          <w:p w14:paraId="3E5A5231"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02FE14D5" w14:textId="77777777" w:rsidTr="00FF262E">
        <w:trPr>
          <w:trHeight w:val="302"/>
        </w:trPr>
        <w:tc>
          <w:tcPr>
            <w:tcW w:w="6390" w:type="dxa"/>
            <w:vAlign w:val="center"/>
          </w:tcPr>
          <w:p w14:paraId="41C2996C"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Resolution and Notification</w:t>
            </w:r>
          </w:p>
        </w:tc>
        <w:tc>
          <w:tcPr>
            <w:tcW w:w="1350" w:type="dxa"/>
            <w:vAlign w:val="center"/>
          </w:tcPr>
          <w:p w14:paraId="6184A903" w14:textId="77777777" w:rsidR="00A0110E" w:rsidRPr="00411D9E" w:rsidRDefault="00A0110E" w:rsidP="00FF262E">
            <w:pPr>
              <w:jc w:val="center"/>
              <w:rPr>
                <w:rFonts w:ascii="Calibri" w:eastAsia="PMingLiU" w:hAnsi="Calibri" w:cs="Times New Roman"/>
              </w:rPr>
            </w:pPr>
          </w:p>
        </w:tc>
        <w:tc>
          <w:tcPr>
            <w:tcW w:w="1350" w:type="dxa"/>
            <w:vAlign w:val="center"/>
          </w:tcPr>
          <w:p w14:paraId="3954BDB1"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6B5CF705" w14:textId="77777777" w:rsidTr="00FF262E">
        <w:trPr>
          <w:trHeight w:val="302"/>
        </w:trPr>
        <w:tc>
          <w:tcPr>
            <w:tcW w:w="6390" w:type="dxa"/>
            <w:vAlign w:val="center"/>
          </w:tcPr>
          <w:p w14:paraId="6871E793"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Expedited Resolution</w:t>
            </w:r>
          </w:p>
        </w:tc>
        <w:tc>
          <w:tcPr>
            <w:tcW w:w="1350" w:type="dxa"/>
            <w:vAlign w:val="center"/>
          </w:tcPr>
          <w:p w14:paraId="74CDD515" w14:textId="77777777" w:rsidR="00A0110E" w:rsidRPr="00411D9E" w:rsidRDefault="00A0110E" w:rsidP="00FF262E">
            <w:pPr>
              <w:jc w:val="center"/>
              <w:rPr>
                <w:rFonts w:ascii="Calibri" w:eastAsia="PMingLiU" w:hAnsi="Calibri" w:cs="Times New Roman"/>
              </w:rPr>
            </w:pPr>
          </w:p>
        </w:tc>
        <w:tc>
          <w:tcPr>
            <w:tcW w:w="1350" w:type="dxa"/>
            <w:vAlign w:val="center"/>
          </w:tcPr>
          <w:p w14:paraId="17747FF1"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3F74D3F4" w14:textId="77777777" w:rsidTr="00FF262E">
        <w:trPr>
          <w:trHeight w:val="302"/>
        </w:trPr>
        <w:tc>
          <w:tcPr>
            <w:tcW w:w="6390" w:type="dxa"/>
            <w:vAlign w:val="center"/>
          </w:tcPr>
          <w:p w14:paraId="687D7D0A"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Information to Providers and Subcontractors</w:t>
            </w:r>
          </w:p>
        </w:tc>
        <w:tc>
          <w:tcPr>
            <w:tcW w:w="1350" w:type="dxa"/>
            <w:vAlign w:val="center"/>
          </w:tcPr>
          <w:p w14:paraId="3132DD26" w14:textId="77777777" w:rsidR="00A0110E" w:rsidRPr="00411D9E" w:rsidRDefault="00A0110E" w:rsidP="00FF262E">
            <w:pPr>
              <w:jc w:val="center"/>
              <w:rPr>
                <w:rFonts w:ascii="Calibri" w:eastAsia="PMingLiU" w:hAnsi="Calibri" w:cs="Times New Roman"/>
              </w:rPr>
            </w:pPr>
          </w:p>
        </w:tc>
        <w:tc>
          <w:tcPr>
            <w:tcW w:w="1350" w:type="dxa"/>
            <w:vAlign w:val="center"/>
          </w:tcPr>
          <w:p w14:paraId="075ABF98"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55856CEB" w14:textId="77777777" w:rsidTr="00FF262E">
        <w:trPr>
          <w:trHeight w:val="302"/>
        </w:trPr>
        <w:tc>
          <w:tcPr>
            <w:tcW w:w="6390" w:type="dxa"/>
            <w:vAlign w:val="center"/>
          </w:tcPr>
          <w:p w14:paraId="7FF41825"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Recordkeeping and Recording</w:t>
            </w:r>
          </w:p>
        </w:tc>
        <w:tc>
          <w:tcPr>
            <w:tcW w:w="1350" w:type="dxa"/>
            <w:vAlign w:val="center"/>
          </w:tcPr>
          <w:p w14:paraId="524F41D8" w14:textId="77777777" w:rsidR="00A0110E" w:rsidRPr="00411D9E" w:rsidRDefault="00A0110E" w:rsidP="00FF262E">
            <w:pPr>
              <w:jc w:val="center"/>
              <w:rPr>
                <w:rFonts w:ascii="Calibri" w:eastAsia="PMingLiU" w:hAnsi="Calibri" w:cs="Times New Roman"/>
              </w:rPr>
            </w:pPr>
          </w:p>
        </w:tc>
        <w:tc>
          <w:tcPr>
            <w:tcW w:w="1350" w:type="dxa"/>
            <w:vAlign w:val="center"/>
          </w:tcPr>
          <w:p w14:paraId="459DE5CB"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7BB3F28E" w14:textId="77777777" w:rsidTr="00FF262E">
        <w:trPr>
          <w:trHeight w:val="302"/>
        </w:trPr>
        <w:tc>
          <w:tcPr>
            <w:tcW w:w="6390" w:type="dxa"/>
            <w:vAlign w:val="center"/>
          </w:tcPr>
          <w:p w14:paraId="7AB05AD8"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Continuation of Benefits Pending Appeal and State Fair Hearings</w:t>
            </w:r>
          </w:p>
        </w:tc>
        <w:tc>
          <w:tcPr>
            <w:tcW w:w="1350" w:type="dxa"/>
            <w:vAlign w:val="center"/>
          </w:tcPr>
          <w:p w14:paraId="5A9A0AC0" w14:textId="77777777" w:rsidR="00A0110E" w:rsidRPr="00411D9E" w:rsidRDefault="00A0110E" w:rsidP="00FF262E">
            <w:pPr>
              <w:jc w:val="center"/>
              <w:rPr>
                <w:rFonts w:ascii="Calibri" w:eastAsia="PMingLiU" w:hAnsi="Calibri" w:cs="Times New Roman"/>
              </w:rPr>
            </w:pPr>
          </w:p>
        </w:tc>
        <w:tc>
          <w:tcPr>
            <w:tcW w:w="1350" w:type="dxa"/>
            <w:vAlign w:val="center"/>
          </w:tcPr>
          <w:p w14:paraId="629B525F"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r w:rsidR="00A0110E" w:rsidRPr="00411D9E" w14:paraId="5EA586BB" w14:textId="77777777" w:rsidTr="00FF262E">
        <w:trPr>
          <w:trHeight w:val="302"/>
        </w:trPr>
        <w:tc>
          <w:tcPr>
            <w:tcW w:w="6390" w:type="dxa"/>
            <w:vAlign w:val="center"/>
          </w:tcPr>
          <w:p w14:paraId="416D2EF1" w14:textId="77777777" w:rsidR="00A0110E" w:rsidRPr="00411D9E" w:rsidRDefault="00A0110E" w:rsidP="00FF262E">
            <w:pPr>
              <w:rPr>
                <w:rFonts w:ascii="Calibri" w:eastAsia="PMingLiU" w:hAnsi="Calibri" w:cs="Times New Roman"/>
              </w:rPr>
            </w:pPr>
            <w:r w:rsidRPr="00411D9E">
              <w:rPr>
                <w:rFonts w:ascii="Calibri" w:eastAsia="PMingLiU" w:hAnsi="Calibri" w:cs="Times New Roman"/>
              </w:rPr>
              <w:t>Effectuation of Reversed Resolutions</w:t>
            </w:r>
          </w:p>
        </w:tc>
        <w:tc>
          <w:tcPr>
            <w:tcW w:w="1350" w:type="dxa"/>
            <w:vAlign w:val="center"/>
          </w:tcPr>
          <w:p w14:paraId="14AEA90C" w14:textId="77777777" w:rsidR="00A0110E" w:rsidRPr="00411D9E" w:rsidRDefault="00A0110E" w:rsidP="00FF262E">
            <w:pPr>
              <w:jc w:val="center"/>
              <w:rPr>
                <w:rFonts w:ascii="Calibri" w:eastAsia="PMingLiU" w:hAnsi="Calibri" w:cs="Times New Roman"/>
              </w:rPr>
            </w:pPr>
          </w:p>
        </w:tc>
        <w:tc>
          <w:tcPr>
            <w:tcW w:w="1350" w:type="dxa"/>
            <w:vAlign w:val="center"/>
          </w:tcPr>
          <w:p w14:paraId="0B97EE81" w14:textId="77777777" w:rsidR="00A0110E" w:rsidRPr="00411D9E" w:rsidRDefault="00A0110E" w:rsidP="00FF262E">
            <w:pPr>
              <w:jc w:val="center"/>
              <w:rPr>
                <w:rFonts w:ascii="Calibri" w:eastAsia="PMingLiU" w:hAnsi="Calibri" w:cs="Times New Roman"/>
              </w:rPr>
            </w:pPr>
            <w:r w:rsidRPr="00411D9E">
              <w:rPr>
                <w:rFonts w:ascii="Calibri" w:eastAsia="PMingLiU" w:hAnsi="Calibri" w:cs="Times New Roman"/>
              </w:rPr>
              <w:sym w:font="Wingdings" w:char="F0FC"/>
            </w:r>
          </w:p>
        </w:tc>
      </w:tr>
    </w:tbl>
    <w:p w14:paraId="0003AE0F" w14:textId="15599EF7" w:rsidR="00A0110E" w:rsidRPr="00411D9E" w:rsidRDefault="00857CFF" w:rsidP="00857CFF">
      <w:pPr>
        <w:spacing w:after="480"/>
        <w:ind w:right="1620"/>
        <w:rPr>
          <w:sz w:val="20"/>
          <w:szCs w:val="20"/>
        </w:rPr>
      </w:pPr>
      <w:r w:rsidRPr="00411D9E">
        <w:rPr>
          <w:sz w:val="20"/>
          <w:szCs w:val="20"/>
        </w:rPr>
        <w:t xml:space="preserve">BBA: Balanced Budget Act; MCO: managed care organization; PIHP: prepaid inpatient health plan; PAHP: prepaid ambulatory health plan. </w:t>
      </w:r>
    </w:p>
    <w:p w14:paraId="2A341E1B" w14:textId="2C73CA60" w:rsidR="00857CFF" w:rsidRPr="00411D9E" w:rsidRDefault="00857CFF">
      <w:pPr>
        <w:rPr>
          <w:sz w:val="20"/>
          <w:szCs w:val="20"/>
        </w:rPr>
      </w:pPr>
      <w:r w:rsidRPr="00411D9E">
        <w:rPr>
          <w:sz w:val="20"/>
          <w:szCs w:val="20"/>
        </w:rPr>
        <w:br w:type="page"/>
      </w:r>
    </w:p>
    <w:p w14:paraId="30EA200B" w14:textId="77777777" w:rsidR="00A0110E" w:rsidRPr="00411D9E" w:rsidRDefault="00A0110E" w:rsidP="00DE51E7">
      <w:pPr>
        <w:pStyle w:val="Heading2"/>
      </w:pPr>
      <w:bookmarkStart w:id="286" w:name="_Toc98153569"/>
      <w:bookmarkStart w:id="287" w:name="_Toc99026983"/>
      <w:r w:rsidRPr="00411D9E">
        <w:lastRenderedPageBreak/>
        <w:t>A.3.1. Performance Measure Graphs</w:t>
      </w:r>
      <w:bookmarkEnd w:id="286"/>
      <w:bookmarkEnd w:id="287"/>
    </w:p>
    <w:p w14:paraId="20DC18C2" w14:textId="77777777" w:rsidR="00A0110E" w:rsidRPr="00411D9E" w:rsidRDefault="00A0110E" w:rsidP="00A0110E">
      <w:pPr>
        <w:pStyle w:val="tableheading"/>
      </w:pPr>
      <w:bookmarkStart w:id="288" w:name="_Toc66955619"/>
      <w:bookmarkStart w:id="289" w:name="_Toc98153221"/>
      <w:bookmarkStart w:id="290" w:name="_Toc99027000"/>
      <w:r w:rsidRPr="00411D9E">
        <w:t>Figure A.3.</w:t>
      </w:r>
      <w:r w:rsidR="00D32450">
        <w:fldChar w:fldCharType="begin"/>
      </w:r>
      <w:r w:rsidR="00D32450">
        <w:instrText xml:space="preserve"> SEQ Figure \* ARABIC </w:instrText>
      </w:r>
      <w:r w:rsidR="00D32450">
        <w:fldChar w:fldCharType="separate"/>
      </w:r>
      <w:r w:rsidRPr="00411D9E">
        <w:t>1</w:t>
      </w:r>
      <w:r w:rsidR="00D32450">
        <w:fldChar w:fldCharType="end"/>
      </w:r>
      <w:r w:rsidRPr="00411D9E">
        <w:t>: Access to Care</w:t>
      </w:r>
      <w:bookmarkEnd w:id="288"/>
      <w:bookmarkEnd w:id="289"/>
      <w:bookmarkEnd w:id="290"/>
    </w:p>
    <w:p w14:paraId="36AE82A3" w14:textId="77777777" w:rsidR="00A0110E" w:rsidRPr="00411D9E" w:rsidRDefault="00A0110E" w:rsidP="00857CFF">
      <w:pPr>
        <w:spacing w:after="120"/>
        <w:rPr>
          <w:rFonts w:asciiTheme="majorHAnsi" w:eastAsiaTheme="majorEastAsia" w:hAnsiTheme="majorHAnsi" w:cstheme="majorBidi"/>
          <w:b/>
          <w:bCs/>
          <w:color w:val="365F91" w:themeColor="accent1" w:themeShade="BF"/>
          <w:sz w:val="28"/>
          <w:szCs w:val="28"/>
        </w:rPr>
      </w:pPr>
      <w:r w:rsidRPr="00411D9E">
        <w:rPr>
          <w:noProof/>
          <w:lang w:bidi="ar-SA"/>
        </w:rPr>
        <w:drawing>
          <wp:inline distT="0" distB="0" distL="0" distR="0" wp14:anchorId="04C209C2" wp14:editId="22FD0F3A">
            <wp:extent cx="6400800" cy="3657600"/>
            <wp:effectExtent l="0" t="0" r="0" b="0"/>
            <wp:docPr id="62" name="Chart 6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45F812" w14:textId="77777777" w:rsidR="00857CFF" w:rsidRPr="00411D9E" w:rsidRDefault="00857CFF" w:rsidP="00857CFF">
      <w:pPr>
        <w:spacing w:after="120"/>
        <w:rPr>
          <w:rFonts w:asciiTheme="majorHAnsi" w:eastAsiaTheme="majorEastAsia" w:hAnsiTheme="majorHAnsi" w:cstheme="majorBidi"/>
          <w:b/>
          <w:bCs/>
          <w:color w:val="365F91" w:themeColor="accent1" w:themeShade="BF"/>
          <w:sz w:val="28"/>
          <w:szCs w:val="28"/>
        </w:rPr>
      </w:pPr>
    </w:p>
    <w:p w14:paraId="68DF0DF2" w14:textId="77777777" w:rsidR="00857CFF" w:rsidRPr="00411D9E" w:rsidRDefault="00857CFF" w:rsidP="00857CFF">
      <w:pPr>
        <w:spacing w:after="120"/>
        <w:rPr>
          <w:rFonts w:asciiTheme="majorHAnsi" w:eastAsiaTheme="majorEastAsia" w:hAnsiTheme="majorHAnsi" w:cstheme="majorBidi"/>
          <w:b/>
          <w:bCs/>
          <w:color w:val="365F91" w:themeColor="accent1" w:themeShade="BF"/>
          <w:sz w:val="28"/>
          <w:szCs w:val="28"/>
        </w:rPr>
      </w:pPr>
    </w:p>
    <w:p w14:paraId="5FD6733A" w14:textId="77777777" w:rsidR="00A0110E" w:rsidRPr="00411D9E" w:rsidRDefault="00A0110E" w:rsidP="00A0110E">
      <w:pPr>
        <w:pStyle w:val="tableheading"/>
      </w:pPr>
      <w:bookmarkStart w:id="291" w:name="_Toc66955621"/>
      <w:bookmarkStart w:id="292" w:name="_Toc98153222"/>
      <w:bookmarkStart w:id="293" w:name="_Toc99027001"/>
      <w:r w:rsidRPr="00411D9E">
        <w:t>Figure A.3.2: Dental Care for Children I</w:t>
      </w:r>
      <w:bookmarkEnd w:id="291"/>
      <w:bookmarkEnd w:id="292"/>
      <w:bookmarkEnd w:id="293"/>
    </w:p>
    <w:p w14:paraId="410F6FA8" w14:textId="4BE0D47F" w:rsidR="00A0110E" w:rsidRPr="00411D9E" w:rsidRDefault="00163995" w:rsidP="00857CFF">
      <w:pPr>
        <w:spacing w:after="120"/>
        <w:rPr>
          <w:rFonts w:asciiTheme="majorHAnsi" w:eastAsiaTheme="majorEastAsia" w:hAnsiTheme="majorHAnsi" w:cstheme="majorBidi"/>
          <w:b/>
          <w:bCs/>
          <w:color w:val="365F91" w:themeColor="accent1" w:themeShade="BF"/>
          <w:sz w:val="28"/>
          <w:szCs w:val="28"/>
        </w:rPr>
      </w:pPr>
      <w:r>
        <w:rPr>
          <w:noProof/>
        </w:rPr>
        <w:drawing>
          <wp:inline distT="0" distB="0" distL="0" distR="0" wp14:anchorId="0B44DDAA" wp14:editId="261AA2B1">
            <wp:extent cx="6400800" cy="3657600"/>
            <wp:effectExtent l="0" t="0" r="0" b="0"/>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3B55FA" w14:textId="77777777" w:rsidR="00A0110E" w:rsidRPr="00411D9E" w:rsidRDefault="00A0110E" w:rsidP="00A0110E">
      <w:pPr>
        <w:rPr>
          <w:rFonts w:asciiTheme="majorHAnsi" w:eastAsiaTheme="majorEastAsia" w:hAnsiTheme="majorHAnsi" w:cstheme="majorBidi"/>
          <w:b/>
          <w:bCs/>
          <w:color w:val="365F91" w:themeColor="accent1" w:themeShade="BF"/>
          <w:sz w:val="28"/>
          <w:szCs w:val="28"/>
        </w:rPr>
      </w:pPr>
    </w:p>
    <w:p w14:paraId="38D8EA6A" w14:textId="017608D6" w:rsidR="00A0110E" w:rsidRPr="00411D9E" w:rsidRDefault="00A0110E" w:rsidP="00857CFF">
      <w:pPr>
        <w:pStyle w:val="tableheading"/>
      </w:pPr>
      <w:bookmarkStart w:id="294" w:name="_Toc99027002"/>
      <w:r w:rsidRPr="00411D9E">
        <w:lastRenderedPageBreak/>
        <w:t>Figure A.3.3: Dental Care for Children II</w:t>
      </w:r>
      <w:bookmarkEnd w:id="294"/>
    </w:p>
    <w:p w14:paraId="74A5A791" w14:textId="77777777" w:rsidR="00A0110E" w:rsidRPr="00411D9E" w:rsidRDefault="00A0110E" w:rsidP="00857CFF">
      <w:pPr>
        <w:spacing w:after="120"/>
      </w:pPr>
      <w:r w:rsidRPr="00411D9E">
        <w:rPr>
          <w:noProof/>
          <w:lang w:bidi="ar-SA"/>
        </w:rPr>
        <w:drawing>
          <wp:inline distT="0" distB="0" distL="0" distR="0" wp14:anchorId="68C6EDEC" wp14:editId="32A25FEF">
            <wp:extent cx="6400800" cy="3657600"/>
            <wp:effectExtent l="0" t="0" r="0" b="0"/>
            <wp:docPr id="63" name="Chart 6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1A5552" w14:textId="77777777" w:rsidR="00A0110E" w:rsidRPr="00411D9E" w:rsidRDefault="00A0110E" w:rsidP="00A0110E">
      <w:pPr>
        <w:rPr>
          <w:rFonts w:asciiTheme="majorHAnsi" w:eastAsiaTheme="majorEastAsia" w:hAnsiTheme="majorHAnsi" w:cstheme="majorBidi"/>
          <w:bCs/>
          <w:iCs/>
          <w:color w:val="244061" w:themeColor="accent1" w:themeShade="80"/>
        </w:rPr>
      </w:pPr>
    </w:p>
    <w:p w14:paraId="5F3CA542" w14:textId="77777777" w:rsidR="00857CFF" w:rsidRPr="00411D9E" w:rsidRDefault="00857CFF" w:rsidP="00A0110E">
      <w:pPr>
        <w:rPr>
          <w:rFonts w:asciiTheme="majorHAnsi" w:eastAsiaTheme="majorEastAsia" w:hAnsiTheme="majorHAnsi" w:cstheme="majorBidi"/>
          <w:bCs/>
          <w:iCs/>
          <w:color w:val="244061" w:themeColor="accent1" w:themeShade="80"/>
        </w:rPr>
      </w:pPr>
    </w:p>
    <w:p w14:paraId="349CCC27" w14:textId="77777777" w:rsidR="00857CFF" w:rsidRPr="00411D9E" w:rsidRDefault="00857CFF" w:rsidP="00A0110E">
      <w:pPr>
        <w:rPr>
          <w:rFonts w:asciiTheme="majorHAnsi" w:eastAsiaTheme="majorEastAsia" w:hAnsiTheme="majorHAnsi" w:cstheme="majorBidi"/>
          <w:bCs/>
          <w:iCs/>
          <w:color w:val="244061" w:themeColor="accent1" w:themeShade="80"/>
        </w:rPr>
      </w:pPr>
    </w:p>
    <w:p w14:paraId="3EE0FD70" w14:textId="283DA055" w:rsidR="00A0110E" w:rsidRPr="00411D9E" w:rsidRDefault="00A0110E" w:rsidP="00857CFF">
      <w:pPr>
        <w:pStyle w:val="tableheading"/>
      </w:pPr>
      <w:bookmarkStart w:id="295" w:name="_Toc99027003"/>
      <w:r w:rsidRPr="00411D9E">
        <w:t>Figure A.3.4: EPSDT: Screenings and Follow-Up I</w:t>
      </w:r>
      <w:bookmarkEnd w:id="295"/>
    </w:p>
    <w:p w14:paraId="586797F7" w14:textId="77777777" w:rsidR="00A0110E" w:rsidRPr="00411D9E" w:rsidRDefault="00A0110E" w:rsidP="00857CFF">
      <w:pPr>
        <w:spacing w:after="120"/>
      </w:pPr>
      <w:r w:rsidRPr="00411D9E">
        <w:rPr>
          <w:noProof/>
          <w:lang w:bidi="ar-SA"/>
        </w:rPr>
        <w:drawing>
          <wp:inline distT="0" distB="0" distL="0" distR="0" wp14:anchorId="1A472E91" wp14:editId="25E7AAB2">
            <wp:extent cx="6400800" cy="3657600"/>
            <wp:effectExtent l="0" t="0" r="0" b="0"/>
            <wp:docPr id="64" name="Chart 64">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3DB640" w14:textId="77777777" w:rsidR="00A0110E" w:rsidRPr="00411D9E" w:rsidRDefault="00A0110E" w:rsidP="00A0110E"/>
    <w:p w14:paraId="6F856EB8" w14:textId="77777777" w:rsidR="00A0110E" w:rsidRPr="00411D9E" w:rsidRDefault="00A0110E" w:rsidP="00A0110E">
      <w:r w:rsidRPr="00411D9E">
        <w:br w:type="page"/>
      </w:r>
    </w:p>
    <w:p w14:paraId="1EAC3051" w14:textId="2FD64FD0" w:rsidR="00A0110E" w:rsidRPr="00411D9E" w:rsidRDefault="00A0110E" w:rsidP="00857CFF">
      <w:pPr>
        <w:pStyle w:val="tableheading"/>
      </w:pPr>
      <w:bookmarkStart w:id="296" w:name="_Toc99027004"/>
      <w:r w:rsidRPr="00411D9E">
        <w:lastRenderedPageBreak/>
        <w:t>Figure A.3.5: EPSDT: Screenings and Follow-Up II</w:t>
      </w:r>
      <w:bookmarkEnd w:id="296"/>
    </w:p>
    <w:p w14:paraId="4EC66745" w14:textId="77777777" w:rsidR="00A0110E" w:rsidRPr="00411D9E" w:rsidRDefault="00A0110E" w:rsidP="00857CFF">
      <w:pPr>
        <w:spacing w:after="120"/>
      </w:pPr>
      <w:r w:rsidRPr="00411D9E">
        <w:rPr>
          <w:noProof/>
          <w:lang w:bidi="ar-SA"/>
        </w:rPr>
        <w:drawing>
          <wp:inline distT="0" distB="0" distL="0" distR="0" wp14:anchorId="1390E00B" wp14:editId="37EFB25B">
            <wp:extent cx="6400800" cy="3657600"/>
            <wp:effectExtent l="0" t="0" r="0" b="0"/>
            <wp:docPr id="65" name="Chart 65">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74A5B9" w14:textId="77777777" w:rsidR="00A0110E" w:rsidRPr="00411D9E" w:rsidRDefault="00A0110E" w:rsidP="00A0110E"/>
    <w:p w14:paraId="382D7E98" w14:textId="77777777" w:rsidR="00857CFF" w:rsidRPr="00411D9E" w:rsidRDefault="00857CFF" w:rsidP="00A0110E"/>
    <w:p w14:paraId="445E6C74" w14:textId="77777777" w:rsidR="00857CFF" w:rsidRPr="00411D9E" w:rsidRDefault="00857CFF" w:rsidP="00A0110E"/>
    <w:p w14:paraId="1C9D6DB6" w14:textId="4BC0A2AC" w:rsidR="00A0110E" w:rsidRPr="00411D9E" w:rsidRDefault="00A0110E" w:rsidP="00857CFF">
      <w:pPr>
        <w:pStyle w:val="tableheading"/>
      </w:pPr>
      <w:bookmarkStart w:id="297" w:name="_Toc99027005"/>
      <w:r w:rsidRPr="00411D9E">
        <w:t>Figure A.3.6: Respiratory Conditions</w:t>
      </w:r>
      <w:bookmarkEnd w:id="297"/>
    </w:p>
    <w:p w14:paraId="5E8691B1" w14:textId="77777777" w:rsidR="00A0110E" w:rsidRPr="00411D9E" w:rsidRDefault="00A0110E" w:rsidP="00857CFF">
      <w:pPr>
        <w:spacing w:after="120"/>
      </w:pPr>
      <w:r w:rsidRPr="00411D9E">
        <w:rPr>
          <w:noProof/>
          <w:lang w:bidi="ar-SA"/>
        </w:rPr>
        <w:drawing>
          <wp:inline distT="0" distB="0" distL="0" distR="0" wp14:anchorId="019A14EB" wp14:editId="0F213645">
            <wp:extent cx="6400800" cy="3657600"/>
            <wp:effectExtent l="0" t="0" r="0" b="0"/>
            <wp:docPr id="66" name="Chart 66">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6492BC" w14:textId="77777777" w:rsidR="00A0110E" w:rsidRPr="00411D9E" w:rsidRDefault="00A0110E" w:rsidP="00A0110E"/>
    <w:p w14:paraId="22AB9D0C" w14:textId="77777777" w:rsidR="00857CFF" w:rsidRPr="00411D9E" w:rsidRDefault="00857CFF">
      <w:pPr>
        <w:rPr>
          <w:rFonts w:asciiTheme="majorHAnsi" w:eastAsiaTheme="majorEastAsia" w:hAnsiTheme="majorHAnsi" w:cstheme="majorBidi"/>
          <w:bCs/>
          <w:iCs/>
          <w:color w:val="244061" w:themeColor="accent1" w:themeShade="80"/>
        </w:rPr>
      </w:pPr>
      <w:r w:rsidRPr="00411D9E">
        <w:br w:type="page"/>
      </w:r>
    </w:p>
    <w:p w14:paraId="481BE3B5" w14:textId="2CB4A409" w:rsidR="00A0110E" w:rsidRPr="00411D9E" w:rsidRDefault="00A0110E" w:rsidP="00857CFF">
      <w:pPr>
        <w:pStyle w:val="tableheading"/>
      </w:pPr>
      <w:bookmarkStart w:id="298" w:name="_Toc99027006"/>
      <w:r w:rsidRPr="00411D9E">
        <w:lastRenderedPageBreak/>
        <w:t>Figure A.3.7: Well Care I</w:t>
      </w:r>
      <w:bookmarkEnd w:id="298"/>
    </w:p>
    <w:p w14:paraId="70FB5F6F" w14:textId="77777777" w:rsidR="00A0110E" w:rsidRPr="00411D9E" w:rsidRDefault="00A0110E" w:rsidP="00857CFF">
      <w:pPr>
        <w:spacing w:after="120"/>
      </w:pPr>
      <w:r w:rsidRPr="00411D9E">
        <w:rPr>
          <w:noProof/>
          <w:lang w:bidi="ar-SA"/>
        </w:rPr>
        <w:drawing>
          <wp:inline distT="0" distB="0" distL="0" distR="0" wp14:anchorId="082B9FB5" wp14:editId="0C9A88EF">
            <wp:extent cx="6400800" cy="3657600"/>
            <wp:effectExtent l="0" t="0" r="0" b="0"/>
            <wp:docPr id="67" name="Chart 67">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890681" w14:textId="77777777" w:rsidR="00A0110E" w:rsidRPr="00411D9E" w:rsidRDefault="00A0110E" w:rsidP="00A0110E">
      <w:pPr>
        <w:rPr>
          <w:rFonts w:asciiTheme="majorHAnsi" w:eastAsiaTheme="majorEastAsia" w:hAnsiTheme="majorHAnsi" w:cstheme="majorBidi"/>
          <w:bCs/>
          <w:iCs/>
          <w:color w:val="244061" w:themeColor="accent1" w:themeShade="80"/>
        </w:rPr>
      </w:pPr>
    </w:p>
    <w:p w14:paraId="5C1C2135" w14:textId="77777777" w:rsidR="00857CFF" w:rsidRPr="00411D9E" w:rsidRDefault="00857CFF" w:rsidP="00A0110E">
      <w:pPr>
        <w:rPr>
          <w:rFonts w:asciiTheme="majorHAnsi" w:eastAsiaTheme="majorEastAsia" w:hAnsiTheme="majorHAnsi" w:cstheme="majorBidi"/>
          <w:bCs/>
          <w:iCs/>
          <w:color w:val="244061" w:themeColor="accent1" w:themeShade="80"/>
        </w:rPr>
      </w:pPr>
    </w:p>
    <w:p w14:paraId="3E32D162" w14:textId="77777777" w:rsidR="00857CFF" w:rsidRPr="00411D9E" w:rsidRDefault="00857CFF" w:rsidP="00A0110E">
      <w:pPr>
        <w:rPr>
          <w:rFonts w:asciiTheme="majorHAnsi" w:eastAsiaTheme="majorEastAsia" w:hAnsiTheme="majorHAnsi" w:cstheme="majorBidi"/>
          <w:bCs/>
          <w:iCs/>
          <w:color w:val="244061" w:themeColor="accent1" w:themeShade="80"/>
        </w:rPr>
      </w:pPr>
    </w:p>
    <w:p w14:paraId="75145014" w14:textId="2905BC78" w:rsidR="00A0110E" w:rsidRPr="00411D9E" w:rsidRDefault="00A0110E" w:rsidP="00A0110E">
      <w:pPr>
        <w:pStyle w:val="tableheading"/>
      </w:pPr>
      <w:bookmarkStart w:id="299" w:name="_Toc98153223"/>
      <w:bookmarkStart w:id="300" w:name="_Toc99027007"/>
      <w:r w:rsidRPr="00411D9E">
        <w:t>Figure A.3.8: Well Care II</w:t>
      </w:r>
      <w:bookmarkEnd w:id="299"/>
      <w:bookmarkEnd w:id="300"/>
    </w:p>
    <w:p w14:paraId="31082316" w14:textId="3E97825B" w:rsidR="00A0110E" w:rsidRPr="00411D9E" w:rsidRDefault="00A0110E" w:rsidP="00857CFF">
      <w:pPr>
        <w:spacing w:after="120"/>
        <w:rPr>
          <w:rFonts w:asciiTheme="majorHAnsi" w:eastAsiaTheme="majorEastAsia" w:hAnsiTheme="majorHAnsi" w:cstheme="majorBidi"/>
          <w:b/>
          <w:bCs/>
          <w:color w:val="365F91" w:themeColor="accent1" w:themeShade="BF"/>
          <w:sz w:val="28"/>
          <w:szCs w:val="28"/>
        </w:rPr>
      </w:pPr>
      <w:r w:rsidRPr="00411D9E">
        <w:rPr>
          <w:noProof/>
          <w:lang w:bidi="ar-SA"/>
        </w:rPr>
        <w:drawing>
          <wp:inline distT="0" distB="0" distL="0" distR="0" wp14:anchorId="1F83EE10" wp14:editId="75AC53D4">
            <wp:extent cx="6400800" cy="3657600"/>
            <wp:effectExtent l="0" t="0" r="0" b="0"/>
            <wp:docPr id="68" name="Chart 6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3CBD36" w14:textId="77777777" w:rsidR="00857CFF" w:rsidRPr="00411D9E" w:rsidRDefault="00857CFF">
      <w:pPr>
        <w:rPr>
          <w:rFonts w:asciiTheme="majorHAnsi" w:eastAsiaTheme="majorEastAsia" w:hAnsiTheme="majorHAnsi" w:cstheme="majorBidi"/>
          <w:bCs/>
          <w:iCs/>
          <w:color w:val="244061" w:themeColor="accent1" w:themeShade="80"/>
        </w:rPr>
      </w:pPr>
      <w:bookmarkStart w:id="301" w:name="_Toc98153224"/>
      <w:r w:rsidRPr="00411D9E">
        <w:br w:type="page"/>
      </w:r>
    </w:p>
    <w:p w14:paraId="705030C0" w14:textId="5B33A40C" w:rsidR="00A0110E" w:rsidRPr="00411D9E" w:rsidRDefault="00A0110E" w:rsidP="00A0110E">
      <w:pPr>
        <w:pStyle w:val="tableheading"/>
      </w:pPr>
      <w:bookmarkStart w:id="302" w:name="_Toc99027008"/>
      <w:r w:rsidRPr="00411D9E">
        <w:lastRenderedPageBreak/>
        <w:t>Figure A.3.9: Well Care III</w:t>
      </w:r>
      <w:bookmarkEnd w:id="301"/>
      <w:bookmarkEnd w:id="302"/>
    </w:p>
    <w:p w14:paraId="4F6B34AE" w14:textId="0E78C7E3" w:rsidR="00A0110E" w:rsidRPr="00411D9E" w:rsidRDefault="00DE51E7" w:rsidP="00857CFF">
      <w:pPr>
        <w:spacing w:after="120"/>
        <w:rPr>
          <w:rFonts w:asciiTheme="majorHAnsi" w:eastAsiaTheme="majorEastAsia" w:hAnsiTheme="majorHAnsi" w:cstheme="majorBidi"/>
          <w:b/>
          <w:bCs/>
          <w:color w:val="365F91" w:themeColor="accent1" w:themeShade="BF"/>
          <w:sz w:val="28"/>
          <w:szCs w:val="28"/>
        </w:rPr>
      </w:pPr>
      <w:r w:rsidRPr="00411D9E">
        <w:rPr>
          <w:noProof/>
          <w:lang w:bidi="ar-SA"/>
        </w:rPr>
        <w:drawing>
          <wp:inline distT="0" distB="0" distL="0" distR="0" wp14:anchorId="4A98F681" wp14:editId="69357EB0">
            <wp:extent cx="6400800" cy="3657600"/>
            <wp:effectExtent l="0" t="0" r="0" b="0"/>
            <wp:docPr id="69" name="Chart 69">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3E125BE" w14:textId="77777777" w:rsidR="00857CFF" w:rsidRPr="00411D9E" w:rsidRDefault="00857CFF" w:rsidP="00857CFF">
      <w:pPr>
        <w:spacing w:after="120"/>
        <w:rPr>
          <w:rFonts w:asciiTheme="majorHAnsi" w:eastAsiaTheme="majorEastAsia" w:hAnsiTheme="majorHAnsi" w:cstheme="majorBidi"/>
          <w:b/>
          <w:bCs/>
          <w:color w:val="365F91" w:themeColor="accent1" w:themeShade="BF"/>
          <w:sz w:val="28"/>
          <w:szCs w:val="28"/>
        </w:rPr>
      </w:pPr>
    </w:p>
    <w:p w14:paraId="5F71C1D6" w14:textId="77777777" w:rsidR="00857CFF" w:rsidRPr="00411D9E" w:rsidRDefault="00857CFF" w:rsidP="00857CFF">
      <w:pPr>
        <w:spacing w:after="120"/>
        <w:rPr>
          <w:rFonts w:asciiTheme="majorHAnsi" w:eastAsiaTheme="majorEastAsia" w:hAnsiTheme="majorHAnsi" w:cstheme="majorBidi"/>
          <w:b/>
          <w:bCs/>
          <w:color w:val="365F91" w:themeColor="accent1" w:themeShade="BF"/>
          <w:sz w:val="28"/>
          <w:szCs w:val="28"/>
        </w:rPr>
      </w:pPr>
    </w:p>
    <w:p w14:paraId="2A262A73" w14:textId="77777777" w:rsidR="00857CFF" w:rsidRPr="00411D9E" w:rsidRDefault="00857CFF" w:rsidP="00857CFF">
      <w:pPr>
        <w:spacing w:after="120"/>
        <w:rPr>
          <w:rFonts w:asciiTheme="majorHAnsi" w:eastAsiaTheme="majorEastAsia" w:hAnsiTheme="majorHAnsi" w:cstheme="majorBidi"/>
          <w:b/>
          <w:bCs/>
          <w:color w:val="365F91" w:themeColor="accent1" w:themeShade="BF"/>
          <w:sz w:val="28"/>
          <w:szCs w:val="28"/>
        </w:rPr>
      </w:pPr>
    </w:p>
    <w:p w14:paraId="0A3BC50E" w14:textId="67293B9F" w:rsidR="00A0110E" w:rsidRPr="00411D9E" w:rsidRDefault="00A0110E" w:rsidP="00A0110E">
      <w:pPr>
        <w:pStyle w:val="tableheading"/>
      </w:pPr>
      <w:bookmarkStart w:id="303" w:name="_Toc98153225"/>
      <w:bookmarkStart w:id="304" w:name="_Toc99027009"/>
      <w:r w:rsidRPr="00411D9E">
        <w:t>Figure A.3.10: Well Care IV</w:t>
      </w:r>
      <w:bookmarkEnd w:id="303"/>
      <w:bookmarkEnd w:id="304"/>
    </w:p>
    <w:p w14:paraId="320369B4" w14:textId="77777777" w:rsidR="00A0110E" w:rsidRPr="00411D9E" w:rsidRDefault="00A0110E" w:rsidP="00857CFF">
      <w:pPr>
        <w:spacing w:after="120"/>
        <w:rPr>
          <w:rFonts w:asciiTheme="majorHAnsi" w:eastAsiaTheme="majorEastAsia" w:hAnsiTheme="majorHAnsi" w:cstheme="majorBidi"/>
          <w:b/>
          <w:bCs/>
          <w:color w:val="365F91" w:themeColor="accent1" w:themeShade="BF"/>
          <w:sz w:val="28"/>
          <w:szCs w:val="28"/>
        </w:rPr>
      </w:pPr>
      <w:r w:rsidRPr="00411D9E">
        <w:rPr>
          <w:noProof/>
          <w:lang w:bidi="ar-SA"/>
        </w:rPr>
        <w:drawing>
          <wp:inline distT="0" distB="0" distL="0" distR="0" wp14:anchorId="72FEF9B1" wp14:editId="3ABDF8CE">
            <wp:extent cx="6400800" cy="3657600"/>
            <wp:effectExtent l="0" t="0" r="0" b="0"/>
            <wp:docPr id="70" name="Chart 70">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8B5538" w14:textId="77777777" w:rsidR="00A0110E" w:rsidRPr="00411D9E" w:rsidRDefault="00A0110E" w:rsidP="00A0110E">
      <w:pPr>
        <w:rPr>
          <w:rFonts w:asciiTheme="majorHAnsi" w:eastAsiaTheme="majorEastAsia" w:hAnsiTheme="majorHAnsi" w:cstheme="majorBidi"/>
          <w:b/>
          <w:bCs/>
          <w:color w:val="365F91" w:themeColor="accent1" w:themeShade="BF"/>
          <w:sz w:val="28"/>
          <w:szCs w:val="28"/>
        </w:rPr>
      </w:pPr>
    </w:p>
    <w:p w14:paraId="65515042" w14:textId="77777777" w:rsidR="00A0110E" w:rsidRPr="00411D9E" w:rsidRDefault="00A0110E" w:rsidP="00A0110E">
      <w:pPr>
        <w:rPr>
          <w:rFonts w:asciiTheme="majorHAnsi" w:eastAsiaTheme="majorEastAsia" w:hAnsiTheme="majorHAnsi" w:cstheme="majorBidi"/>
          <w:b/>
          <w:bCs/>
          <w:color w:val="365F91" w:themeColor="accent1" w:themeShade="BF"/>
          <w:sz w:val="28"/>
          <w:szCs w:val="28"/>
        </w:rPr>
      </w:pPr>
      <w:r w:rsidRPr="00411D9E">
        <w:rPr>
          <w:rFonts w:asciiTheme="majorHAnsi" w:eastAsiaTheme="majorEastAsia" w:hAnsiTheme="majorHAnsi" w:cstheme="majorBidi"/>
          <w:b/>
          <w:bCs/>
          <w:color w:val="365F91" w:themeColor="accent1" w:themeShade="BF"/>
          <w:sz w:val="28"/>
          <w:szCs w:val="28"/>
        </w:rPr>
        <w:br w:type="page"/>
      </w:r>
    </w:p>
    <w:p w14:paraId="1BCB69E8" w14:textId="15375359" w:rsidR="00A0110E" w:rsidRPr="00411D9E" w:rsidRDefault="00A0110E" w:rsidP="00857CFF">
      <w:pPr>
        <w:pStyle w:val="tableheading"/>
      </w:pPr>
      <w:bookmarkStart w:id="305" w:name="_Toc99027010"/>
      <w:r w:rsidRPr="00411D9E">
        <w:lastRenderedPageBreak/>
        <w:t>Figure A.3.</w:t>
      </w:r>
      <w:r w:rsidR="00EE64BA" w:rsidRPr="00411D9E">
        <w:t>11</w:t>
      </w:r>
      <w:r w:rsidRPr="00411D9E">
        <w:t>: Well Care V</w:t>
      </w:r>
      <w:bookmarkEnd w:id="305"/>
    </w:p>
    <w:p w14:paraId="65AA9842" w14:textId="77777777" w:rsidR="00A0110E" w:rsidRPr="00411D9E" w:rsidRDefault="00A0110E" w:rsidP="00857CFF">
      <w:pPr>
        <w:spacing w:after="120"/>
      </w:pPr>
      <w:r w:rsidRPr="00411D9E">
        <w:rPr>
          <w:noProof/>
          <w:lang w:bidi="ar-SA"/>
        </w:rPr>
        <w:drawing>
          <wp:inline distT="0" distB="0" distL="0" distR="0" wp14:anchorId="24FEDA45" wp14:editId="3AE22DDF">
            <wp:extent cx="6400800" cy="3657600"/>
            <wp:effectExtent l="0" t="0" r="19050" b="19050"/>
            <wp:docPr id="71" name="Chart 71">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1"/>
    <w:p w14:paraId="2F1F59CC" w14:textId="77777777" w:rsidR="00A0110E" w:rsidRPr="00411D9E" w:rsidRDefault="00A0110E" w:rsidP="00A60B24">
      <w:pPr>
        <w:rPr>
          <w:rFonts w:asciiTheme="majorHAnsi" w:eastAsiaTheme="majorEastAsia" w:hAnsiTheme="majorHAnsi" w:cstheme="majorBidi"/>
          <w:b/>
          <w:bCs/>
          <w:color w:val="365F91" w:themeColor="accent1" w:themeShade="BF"/>
          <w:sz w:val="28"/>
          <w:szCs w:val="28"/>
        </w:rPr>
      </w:pPr>
    </w:p>
    <w:sectPr w:rsidR="00A0110E" w:rsidRPr="00411D9E" w:rsidSect="00B25314">
      <w:footerReference w:type="default" r:id="rId2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49D0" w14:textId="77777777" w:rsidR="0005281D" w:rsidRDefault="0005281D" w:rsidP="00C9378F">
      <w:r>
        <w:separator/>
      </w:r>
    </w:p>
  </w:endnote>
  <w:endnote w:type="continuationSeparator" w:id="0">
    <w:p w14:paraId="37297388" w14:textId="77777777" w:rsidR="0005281D" w:rsidRDefault="0005281D" w:rsidP="00C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2187" w14:textId="7B1F71FF" w:rsidR="00A460D7" w:rsidRPr="00DE51E7" w:rsidRDefault="00A460D7" w:rsidP="00DE51E7">
    <w:pPr>
      <w:pStyle w:val="Footer"/>
      <w:tabs>
        <w:tab w:val="clear" w:pos="4680"/>
        <w:tab w:val="clear" w:pos="9360"/>
        <w:tab w:val="right" w:pos="10800"/>
        <w:tab w:val="right" w:pos="14400"/>
      </w:tabs>
      <w:rPr>
        <w:sz w:val="20"/>
        <w:szCs w:val="20"/>
      </w:rPr>
    </w:pPr>
    <w:r w:rsidRPr="00B41D36">
      <w:rPr>
        <w:sz w:val="20"/>
        <w:szCs w:val="20"/>
      </w:rPr>
      <w:t>202</w:t>
    </w:r>
    <w:r>
      <w:rPr>
        <w:sz w:val="20"/>
        <w:szCs w:val="20"/>
      </w:rPr>
      <w:t>1</w:t>
    </w:r>
    <w:r w:rsidRPr="00B41D36">
      <w:rPr>
        <w:sz w:val="20"/>
        <w:szCs w:val="20"/>
      </w:rPr>
      <w:t xml:space="preserve"> External Quality Review Report: </w:t>
    </w:r>
    <w:r>
      <w:rPr>
        <w:sz w:val="20"/>
        <w:szCs w:val="20"/>
      </w:rPr>
      <w:t>Highmark PPO</w:t>
    </w:r>
    <w:r w:rsidRPr="00B41D36">
      <w:rPr>
        <w:sz w:val="20"/>
        <w:szCs w:val="20"/>
      </w:rPr>
      <w:tab/>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sidR="00E71478">
      <w:rPr>
        <w:noProof/>
        <w:sz w:val="20"/>
        <w:szCs w:val="20"/>
      </w:rPr>
      <w:t>6</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sidR="00E71478">
      <w:rPr>
        <w:noProof/>
        <w:sz w:val="20"/>
        <w:szCs w:val="20"/>
      </w:rPr>
      <w:t>59</w:t>
    </w:r>
    <w:r w:rsidRPr="00B41D3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B924" w14:textId="01CB9380" w:rsidR="00A460D7" w:rsidRPr="00DE51E7" w:rsidRDefault="00A460D7" w:rsidP="00837BD7">
    <w:pPr>
      <w:pStyle w:val="Footer"/>
      <w:tabs>
        <w:tab w:val="clear" w:pos="4680"/>
        <w:tab w:val="clear" w:pos="9360"/>
        <w:tab w:val="right" w:pos="14400"/>
      </w:tabs>
      <w:rPr>
        <w:sz w:val="20"/>
        <w:szCs w:val="20"/>
      </w:rPr>
    </w:pPr>
    <w:r w:rsidRPr="00B41D36">
      <w:rPr>
        <w:sz w:val="20"/>
        <w:szCs w:val="20"/>
      </w:rPr>
      <w:t>202</w:t>
    </w:r>
    <w:r>
      <w:rPr>
        <w:sz w:val="20"/>
        <w:szCs w:val="20"/>
      </w:rPr>
      <w:t>1</w:t>
    </w:r>
    <w:r w:rsidRPr="00B41D36">
      <w:rPr>
        <w:sz w:val="20"/>
        <w:szCs w:val="20"/>
      </w:rPr>
      <w:t xml:space="preserve"> External Quality Review Report: </w:t>
    </w:r>
    <w:r>
      <w:rPr>
        <w:sz w:val="20"/>
        <w:szCs w:val="20"/>
      </w:rPr>
      <w:t>Highmark PPO</w:t>
    </w:r>
    <w:r w:rsidR="00837BD7">
      <w:rPr>
        <w:sz w:val="20"/>
        <w:szCs w:val="20"/>
      </w:rPr>
      <w:tab/>
    </w:r>
    <w:r w:rsidRPr="00B41D36">
      <w:rPr>
        <w:sz w:val="20"/>
        <w:szCs w:val="20"/>
      </w:rPr>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sidR="00E71478">
      <w:rPr>
        <w:noProof/>
        <w:sz w:val="20"/>
        <w:szCs w:val="20"/>
      </w:rPr>
      <w:t>41</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sidR="00E71478">
      <w:rPr>
        <w:noProof/>
        <w:sz w:val="20"/>
        <w:szCs w:val="20"/>
      </w:rPr>
      <w:t>41</w:t>
    </w:r>
    <w:r w:rsidRPr="00B41D3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48C0" w14:textId="7CD4F9DB" w:rsidR="00A460D7" w:rsidRDefault="00A460D7" w:rsidP="00837BD7">
    <w:pPr>
      <w:pStyle w:val="Footer"/>
      <w:tabs>
        <w:tab w:val="clear" w:pos="4680"/>
        <w:tab w:val="clear" w:pos="9360"/>
        <w:tab w:val="right" w:pos="10800"/>
      </w:tabs>
    </w:pPr>
    <w:r w:rsidRPr="00B41D36">
      <w:rPr>
        <w:sz w:val="20"/>
        <w:szCs w:val="20"/>
      </w:rPr>
      <w:t>202</w:t>
    </w:r>
    <w:r>
      <w:rPr>
        <w:sz w:val="20"/>
        <w:szCs w:val="20"/>
      </w:rPr>
      <w:t>1</w:t>
    </w:r>
    <w:r w:rsidRPr="00B41D36">
      <w:rPr>
        <w:sz w:val="20"/>
        <w:szCs w:val="20"/>
      </w:rPr>
      <w:t xml:space="preserve"> External Quality Review Report: </w:t>
    </w:r>
    <w:r>
      <w:rPr>
        <w:sz w:val="20"/>
        <w:szCs w:val="20"/>
      </w:rPr>
      <w:t>Highmark PPO</w:t>
    </w:r>
    <w:r w:rsidR="00837BD7">
      <w:rPr>
        <w:sz w:val="20"/>
        <w:szCs w:val="20"/>
      </w:rPr>
      <w:tab/>
    </w:r>
    <w:r w:rsidRPr="00B41D36">
      <w:rPr>
        <w:sz w:val="20"/>
        <w:szCs w:val="20"/>
      </w:rPr>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sidR="00E71478">
      <w:rPr>
        <w:noProof/>
        <w:sz w:val="20"/>
        <w:szCs w:val="20"/>
      </w:rPr>
      <w:t>59</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sidR="00E71478">
      <w:rPr>
        <w:noProof/>
        <w:sz w:val="20"/>
        <w:szCs w:val="20"/>
      </w:rPr>
      <w:t>59</w:t>
    </w:r>
    <w:r w:rsidRPr="00B41D3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3EF4" w14:textId="77777777" w:rsidR="0005281D" w:rsidRDefault="0005281D" w:rsidP="00C9378F">
      <w:r>
        <w:separator/>
      </w:r>
    </w:p>
  </w:footnote>
  <w:footnote w:type="continuationSeparator" w:id="0">
    <w:p w14:paraId="3A28CB84" w14:textId="77777777" w:rsidR="0005281D" w:rsidRDefault="0005281D" w:rsidP="00C9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E26"/>
    <w:multiLevelType w:val="hybridMultilevel"/>
    <w:tmpl w:val="1CE617B0"/>
    <w:lvl w:ilvl="0" w:tplc="4C50EF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217"/>
    <w:multiLevelType w:val="hybridMultilevel"/>
    <w:tmpl w:val="63AC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985"/>
    <w:multiLevelType w:val="hybridMultilevel"/>
    <w:tmpl w:val="FEF2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B6E"/>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C728E"/>
    <w:multiLevelType w:val="hybridMultilevel"/>
    <w:tmpl w:val="184C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310E1"/>
    <w:multiLevelType w:val="hybridMultilevel"/>
    <w:tmpl w:val="8A58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E70D9"/>
    <w:multiLevelType w:val="hybridMultilevel"/>
    <w:tmpl w:val="9E9E902E"/>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B70D3"/>
    <w:multiLevelType w:val="hybridMultilevel"/>
    <w:tmpl w:val="25C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E25B9"/>
    <w:multiLevelType w:val="hybridMultilevel"/>
    <w:tmpl w:val="C242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52D7F"/>
    <w:multiLevelType w:val="hybridMultilevel"/>
    <w:tmpl w:val="7EB2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57B63"/>
    <w:multiLevelType w:val="hybridMultilevel"/>
    <w:tmpl w:val="87BA634C"/>
    <w:lvl w:ilvl="0" w:tplc="FA0EA4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66C709B"/>
    <w:multiLevelType w:val="hybridMultilevel"/>
    <w:tmpl w:val="1F14AEA8"/>
    <w:lvl w:ilvl="0" w:tplc="D6E259D4">
      <w:start w:val="1"/>
      <w:numFmt w:val="bullet"/>
      <w:pStyle w:val="Process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095F83"/>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105F5"/>
    <w:multiLevelType w:val="hybridMultilevel"/>
    <w:tmpl w:val="22D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5" w15:restartNumberingAfterBreak="0">
    <w:nsid w:val="4B135C02"/>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525D65"/>
    <w:multiLevelType w:val="hybridMultilevel"/>
    <w:tmpl w:val="7ED2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0D5E03"/>
    <w:multiLevelType w:val="hybridMultilevel"/>
    <w:tmpl w:val="B3A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A659E"/>
    <w:multiLevelType w:val="hybridMultilevel"/>
    <w:tmpl w:val="402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E24F0"/>
    <w:multiLevelType w:val="hybridMultilevel"/>
    <w:tmpl w:val="832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17F3E"/>
    <w:multiLevelType w:val="hybridMultilevel"/>
    <w:tmpl w:val="5D8E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B124D"/>
    <w:multiLevelType w:val="hybridMultilevel"/>
    <w:tmpl w:val="82A6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2050A"/>
    <w:multiLevelType w:val="hybridMultilevel"/>
    <w:tmpl w:val="9C3ADBD6"/>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56396C"/>
    <w:multiLevelType w:val="hybridMultilevel"/>
    <w:tmpl w:val="4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05523"/>
    <w:multiLevelType w:val="hybridMultilevel"/>
    <w:tmpl w:val="BD3C2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2FE3F38"/>
    <w:multiLevelType w:val="hybridMultilevel"/>
    <w:tmpl w:val="9CFA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177CE"/>
    <w:multiLevelType w:val="hybridMultilevel"/>
    <w:tmpl w:val="E1507BE6"/>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C632640"/>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15"/>
  </w:num>
  <w:num w:numId="4">
    <w:abstractNumId w:val="27"/>
  </w:num>
  <w:num w:numId="5">
    <w:abstractNumId w:val="3"/>
  </w:num>
  <w:num w:numId="6">
    <w:abstractNumId w:val="13"/>
  </w:num>
  <w:num w:numId="7">
    <w:abstractNumId w:val="0"/>
  </w:num>
  <w:num w:numId="8">
    <w:abstractNumId w:val="18"/>
  </w:num>
  <w:num w:numId="9">
    <w:abstractNumId w:val="6"/>
  </w:num>
  <w:num w:numId="10">
    <w:abstractNumId w:val="14"/>
  </w:num>
  <w:num w:numId="11">
    <w:abstractNumId w:val="7"/>
  </w:num>
  <w:num w:numId="12">
    <w:abstractNumId w:val="16"/>
  </w:num>
  <w:num w:numId="13">
    <w:abstractNumId w:val="22"/>
  </w:num>
  <w:num w:numId="14">
    <w:abstractNumId w:val="12"/>
  </w:num>
  <w:num w:numId="15">
    <w:abstractNumId w:val="4"/>
  </w:num>
  <w:num w:numId="16">
    <w:abstractNumId w:val="25"/>
  </w:num>
  <w:num w:numId="17">
    <w:abstractNumId w:val="20"/>
  </w:num>
  <w:num w:numId="18">
    <w:abstractNumId w:val="17"/>
  </w:num>
  <w:num w:numId="19">
    <w:abstractNumId w:val="8"/>
  </w:num>
  <w:num w:numId="20">
    <w:abstractNumId w:val="10"/>
  </w:num>
  <w:num w:numId="21">
    <w:abstractNumId w:val="2"/>
  </w:num>
  <w:num w:numId="22">
    <w:abstractNumId w:val="5"/>
  </w:num>
  <w:num w:numId="23">
    <w:abstractNumId w:val="19"/>
  </w:num>
  <w:num w:numId="24">
    <w:abstractNumId w:val="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8F"/>
    <w:rsid w:val="000021AD"/>
    <w:rsid w:val="00004A44"/>
    <w:rsid w:val="000240AD"/>
    <w:rsid w:val="00025299"/>
    <w:rsid w:val="00034C30"/>
    <w:rsid w:val="00045E05"/>
    <w:rsid w:val="0005281D"/>
    <w:rsid w:val="000530B4"/>
    <w:rsid w:val="0005713F"/>
    <w:rsid w:val="000573A3"/>
    <w:rsid w:val="000620C2"/>
    <w:rsid w:val="00082B78"/>
    <w:rsid w:val="000950BF"/>
    <w:rsid w:val="0009653E"/>
    <w:rsid w:val="000B4631"/>
    <w:rsid w:val="000B69F5"/>
    <w:rsid w:val="000C006E"/>
    <w:rsid w:val="000D16F4"/>
    <w:rsid w:val="00117621"/>
    <w:rsid w:val="00144294"/>
    <w:rsid w:val="00163995"/>
    <w:rsid w:val="00167E64"/>
    <w:rsid w:val="00185093"/>
    <w:rsid w:val="00195370"/>
    <w:rsid w:val="001A14DD"/>
    <w:rsid w:val="001C293A"/>
    <w:rsid w:val="001E46D7"/>
    <w:rsid w:val="002118E4"/>
    <w:rsid w:val="0021327F"/>
    <w:rsid w:val="00231E75"/>
    <w:rsid w:val="00243D2F"/>
    <w:rsid w:val="00251E10"/>
    <w:rsid w:val="00255428"/>
    <w:rsid w:val="00262249"/>
    <w:rsid w:val="00266CEF"/>
    <w:rsid w:val="00274FFA"/>
    <w:rsid w:val="002D2B38"/>
    <w:rsid w:val="002E2ABC"/>
    <w:rsid w:val="00305651"/>
    <w:rsid w:val="003110EC"/>
    <w:rsid w:val="003138F2"/>
    <w:rsid w:val="00316636"/>
    <w:rsid w:val="00341502"/>
    <w:rsid w:val="0036565C"/>
    <w:rsid w:val="00370E66"/>
    <w:rsid w:val="0039471E"/>
    <w:rsid w:val="003A69DD"/>
    <w:rsid w:val="003B197D"/>
    <w:rsid w:val="003B4463"/>
    <w:rsid w:val="003B4FCF"/>
    <w:rsid w:val="003D6E35"/>
    <w:rsid w:val="003E0369"/>
    <w:rsid w:val="004060F9"/>
    <w:rsid w:val="00411D9E"/>
    <w:rsid w:val="00426F82"/>
    <w:rsid w:val="004333E7"/>
    <w:rsid w:val="00435688"/>
    <w:rsid w:val="004507C2"/>
    <w:rsid w:val="004569B8"/>
    <w:rsid w:val="00464B5A"/>
    <w:rsid w:val="0047009F"/>
    <w:rsid w:val="004742EF"/>
    <w:rsid w:val="00477F54"/>
    <w:rsid w:val="00491D0D"/>
    <w:rsid w:val="00495EA6"/>
    <w:rsid w:val="004A4BA2"/>
    <w:rsid w:val="004B7E4B"/>
    <w:rsid w:val="004E3C5A"/>
    <w:rsid w:val="004F11A7"/>
    <w:rsid w:val="005203C9"/>
    <w:rsid w:val="0052238D"/>
    <w:rsid w:val="005243E4"/>
    <w:rsid w:val="0052798E"/>
    <w:rsid w:val="00535C1F"/>
    <w:rsid w:val="005362FA"/>
    <w:rsid w:val="0053637F"/>
    <w:rsid w:val="00537E1E"/>
    <w:rsid w:val="005642CD"/>
    <w:rsid w:val="005644F1"/>
    <w:rsid w:val="00567868"/>
    <w:rsid w:val="00573F63"/>
    <w:rsid w:val="005947DA"/>
    <w:rsid w:val="005B4203"/>
    <w:rsid w:val="005C3D48"/>
    <w:rsid w:val="005D21DF"/>
    <w:rsid w:val="006026B4"/>
    <w:rsid w:val="00604397"/>
    <w:rsid w:val="00604C5C"/>
    <w:rsid w:val="00613FC4"/>
    <w:rsid w:val="00617FB9"/>
    <w:rsid w:val="00623752"/>
    <w:rsid w:val="0062410C"/>
    <w:rsid w:val="00626262"/>
    <w:rsid w:val="00631840"/>
    <w:rsid w:val="0063393D"/>
    <w:rsid w:val="006348B2"/>
    <w:rsid w:val="00652D79"/>
    <w:rsid w:val="006648D4"/>
    <w:rsid w:val="006655B4"/>
    <w:rsid w:val="006708A6"/>
    <w:rsid w:val="006716F2"/>
    <w:rsid w:val="0068268C"/>
    <w:rsid w:val="006A1D45"/>
    <w:rsid w:val="006A1E5E"/>
    <w:rsid w:val="006A62FB"/>
    <w:rsid w:val="006B1577"/>
    <w:rsid w:val="006C4D77"/>
    <w:rsid w:val="006C5A7A"/>
    <w:rsid w:val="006C620F"/>
    <w:rsid w:val="006C76EA"/>
    <w:rsid w:val="006E143C"/>
    <w:rsid w:val="006E2833"/>
    <w:rsid w:val="006E6EDD"/>
    <w:rsid w:val="006E7541"/>
    <w:rsid w:val="006F1237"/>
    <w:rsid w:val="006F6664"/>
    <w:rsid w:val="0071210D"/>
    <w:rsid w:val="00731066"/>
    <w:rsid w:val="0073742E"/>
    <w:rsid w:val="007550C9"/>
    <w:rsid w:val="00756652"/>
    <w:rsid w:val="00762278"/>
    <w:rsid w:val="00763DBC"/>
    <w:rsid w:val="0077301B"/>
    <w:rsid w:val="00780EBB"/>
    <w:rsid w:val="00784036"/>
    <w:rsid w:val="007A7C7A"/>
    <w:rsid w:val="007C0C90"/>
    <w:rsid w:val="007E1B4C"/>
    <w:rsid w:val="007E4CB7"/>
    <w:rsid w:val="007F43FA"/>
    <w:rsid w:val="00814E5E"/>
    <w:rsid w:val="00827A37"/>
    <w:rsid w:val="00837BD7"/>
    <w:rsid w:val="00844475"/>
    <w:rsid w:val="00853025"/>
    <w:rsid w:val="00853448"/>
    <w:rsid w:val="00853574"/>
    <w:rsid w:val="00857CFF"/>
    <w:rsid w:val="008649F3"/>
    <w:rsid w:val="0087337A"/>
    <w:rsid w:val="00885DB7"/>
    <w:rsid w:val="008A0AEB"/>
    <w:rsid w:val="008A6E74"/>
    <w:rsid w:val="008B452F"/>
    <w:rsid w:val="008C557C"/>
    <w:rsid w:val="008C7B8E"/>
    <w:rsid w:val="008D1FC6"/>
    <w:rsid w:val="008E23A0"/>
    <w:rsid w:val="008E622F"/>
    <w:rsid w:val="009134D9"/>
    <w:rsid w:val="00926A25"/>
    <w:rsid w:val="009433B0"/>
    <w:rsid w:val="00951BBB"/>
    <w:rsid w:val="009526C4"/>
    <w:rsid w:val="009816B4"/>
    <w:rsid w:val="009946F2"/>
    <w:rsid w:val="009973C4"/>
    <w:rsid w:val="009A3AF4"/>
    <w:rsid w:val="009A6ABA"/>
    <w:rsid w:val="009C2899"/>
    <w:rsid w:val="009C340A"/>
    <w:rsid w:val="009C37D1"/>
    <w:rsid w:val="009C432A"/>
    <w:rsid w:val="009D0507"/>
    <w:rsid w:val="009D4B09"/>
    <w:rsid w:val="009D5450"/>
    <w:rsid w:val="009F0844"/>
    <w:rsid w:val="009F11A4"/>
    <w:rsid w:val="00A0110E"/>
    <w:rsid w:val="00A22F42"/>
    <w:rsid w:val="00A2498C"/>
    <w:rsid w:val="00A33987"/>
    <w:rsid w:val="00A43D24"/>
    <w:rsid w:val="00A45664"/>
    <w:rsid w:val="00A460D7"/>
    <w:rsid w:val="00A461AC"/>
    <w:rsid w:val="00A53531"/>
    <w:rsid w:val="00A60B24"/>
    <w:rsid w:val="00A930FD"/>
    <w:rsid w:val="00A96690"/>
    <w:rsid w:val="00AA0192"/>
    <w:rsid w:val="00AA42CF"/>
    <w:rsid w:val="00AA5E61"/>
    <w:rsid w:val="00AA78ED"/>
    <w:rsid w:val="00AC57EF"/>
    <w:rsid w:val="00AC761C"/>
    <w:rsid w:val="00AD3F7D"/>
    <w:rsid w:val="00AD4075"/>
    <w:rsid w:val="00AD5CC6"/>
    <w:rsid w:val="00B10B43"/>
    <w:rsid w:val="00B25314"/>
    <w:rsid w:val="00B2698B"/>
    <w:rsid w:val="00B31D83"/>
    <w:rsid w:val="00B52831"/>
    <w:rsid w:val="00B6334E"/>
    <w:rsid w:val="00B82221"/>
    <w:rsid w:val="00B87328"/>
    <w:rsid w:val="00B90196"/>
    <w:rsid w:val="00BA1101"/>
    <w:rsid w:val="00BA39B8"/>
    <w:rsid w:val="00BA6539"/>
    <w:rsid w:val="00BC297A"/>
    <w:rsid w:val="00BC31AE"/>
    <w:rsid w:val="00BE2F9A"/>
    <w:rsid w:val="00BF0CCC"/>
    <w:rsid w:val="00BF4B7E"/>
    <w:rsid w:val="00C11797"/>
    <w:rsid w:val="00C15DAB"/>
    <w:rsid w:val="00C25471"/>
    <w:rsid w:val="00C268C9"/>
    <w:rsid w:val="00C33B8A"/>
    <w:rsid w:val="00C6308F"/>
    <w:rsid w:val="00C65A5A"/>
    <w:rsid w:val="00C7585D"/>
    <w:rsid w:val="00C8527D"/>
    <w:rsid w:val="00C9378F"/>
    <w:rsid w:val="00C948A9"/>
    <w:rsid w:val="00C96911"/>
    <w:rsid w:val="00CC1A82"/>
    <w:rsid w:val="00CE0E32"/>
    <w:rsid w:val="00CE25FE"/>
    <w:rsid w:val="00CE44A9"/>
    <w:rsid w:val="00CE5C9A"/>
    <w:rsid w:val="00CE5E3D"/>
    <w:rsid w:val="00D06888"/>
    <w:rsid w:val="00D12475"/>
    <w:rsid w:val="00D2194C"/>
    <w:rsid w:val="00D227A1"/>
    <w:rsid w:val="00D266AC"/>
    <w:rsid w:val="00D306F1"/>
    <w:rsid w:val="00D32450"/>
    <w:rsid w:val="00D430D4"/>
    <w:rsid w:val="00D47172"/>
    <w:rsid w:val="00D63804"/>
    <w:rsid w:val="00D66342"/>
    <w:rsid w:val="00D67EFE"/>
    <w:rsid w:val="00D74E22"/>
    <w:rsid w:val="00D9410B"/>
    <w:rsid w:val="00DA1394"/>
    <w:rsid w:val="00DA7DBB"/>
    <w:rsid w:val="00DB3302"/>
    <w:rsid w:val="00DB68CE"/>
    <w:rsid w:val="00DC2476"/>
    <w:rsid w:val="00DD189A"/>
    <w:rsid w:val="00DE270E"/>
    <w:rsid w:val="00DE51E7"/>
    <w:rsid w:val="00DE7CA7"/>
    <w:rsid w:val="00DF1D26"/>
    <w:rsid w:val="00E020FE"/>
    <w:rsid w:val="00E054E8"/>
    <w:rsid w:val="00E0783E"/>
    <w:rsid w:val="00E13A57"/>
    <w:rsid w:val="00E1780A"/>
    <w:rsid w:val="00E31250"/>
    <w:rsid w:val="00E35FEF"/>
    <w:rsid w:val="00E37C5C"/>
    <w:rsid w:val="00E40302"/>
    <w:rsid w:val="00E45825"/>
    <w:rsid w:val="00E45F45"/>
    <w:rsid w:val="00E565C3"/>
    <w:rsid w:val="00E60007"/>
    <w:rsid w:val="00E71478"/>
    <w:rsid w:val="00E85A1A"/>
    <w:rsid w:val="00E96D84"/>
    <w:rsid w:val="00EC4F17"/>
    <w:rsid w:val="00EE4113"/>
    <w:rsid w:val="00EE4A18"/>
    <w:rsid w:val="00EE64BA"/>
    <w:rsid w:val="00EF1A72"/>
    <w:rsid w:val="00EF3D15"/>
    <w:rsid w:val="00EF6184"/>
    <w:rsid w:val="00F03127"/>
    <w:rsid w:val="00F1394D"/>
    <w:rsid w:val="00F17F91"/>
    <w:rsid w:val="00F30934"/>
    <w:rsid w:val="00F34C1E"/>
    <w:rsid w:val="00F4480B"/>
    <w:rsid w:val="00F47D3D"/>
    <w:rsid w:val="00F5545F"/>
    <w:rsid w:val="00F70F4F"/>
    <w:rsid w:val="00F70F8D"/>
    <w:rsid w:val="00F748BD"/>
    <w:rsid w:val="00F75707"/>
    <w:rsid w:val="00F75BA1"/>
    <w:rsid w:val="00F77EDC"/>
    <w:rsid w:val="00FA30AD"/>
    <w:rsid w:val="00FA60E9"/>
    <w:rsid w:val="00FB1EEC"/>
    <w:rsid w:val="00FB2841"/>
    <w:rsid w:val="00FB3977"/>
    <w:rsid w:val="00FB7482"/>
    <w:rsid w:val="00FC2694"/>
    <w:rsid w:val="00FD0859"/>
    <w:rsid w:val="00FD64F2"/>
    <w:rsid w:val="00FE6B98"/>
    <w:rsid w:val="00FF262E"/>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D6F3D77"/>
  <w15:docId w15:val="{FC48BA4B-6AA5-4B98-9CC0-14F4945B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8F"/>
    <w:rPr>
      <w:rFonts w:eastAsiaTheme="minorEastAsia"/>
      <w:lang w:bidi="en-US"/>
    </w:rPr>
  </w:style>
  <w:style w:type="paragraph" w:styleId="Heading1">
    <w:name w:val="heading 1"/>
    <w:basedOn w:val="Normal"/>
    <w:next w:val="Normal"/>
    <w:link w:val="Heading1Char"/>
    <w:qFormat/>
    <w:rsid w:val="00C937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93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7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37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78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378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378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9378F"/>
    <w:pPr>
      <w:tabs>
        <w:tab w:val="right" w:leader="dot" w:pos="10790"/>
      </w:tabs>
      <w:spacing w:before="240"/>
      <w:jc w:val="left"/>
    </w:pPr>
    <w:rPr>
      <w:b/>
      <w:bCs/>
      <w:caps/>
      <w:sz w:val="20"/>
      <w:szCs w:val="20"/>
    </w:rPr>
  </w:style>
  <w:style w:type="paragraph" w:styleId="TOC2">
    <w:name w:val="toc 2"/>
    <w:basedOn w:val="Normal"/>
    <w:next w:val="Normal"/>
    <w:autoRedefine/>
    <w:uiPriority w:val="39"/>
    <w:unhideWhenUsed/>
    <w:qFormat/>
    <w:rsid w:val="00C9378F"/>
    <w:pPr>
      <w:tabs>
        <w:tab w:val="right" w:leader="dot" w:pos="10790"/>
      </w:tabs>
      <w:ind w:left="216"/>
      <w:jc w:val="left"/>
    </w:pPr>
    <w:rPr>
      <w:smallCaps/>
      <w:sz w:val="20"/>
      <w:szCs w:val="20"/>
    </w:rPr>
  </w:style>
  <w:style w:type="character" w:styleId="Hyperlink">
    <w:name w:val="Hyperlink"/>
    <w:basedOn w:val="DefaultParagraphFont"/>
    <w:uiPriority w:val="99"/>
    <w:unhideWhenUsed/>
    <w:rsid w:val="00C9378F"/>
    <w:rPr>
      <w:color w:val="0000FF" w:themeColor="hyperlink"/>
      <w:u w:val="single"/>
    </w:rPr>
  </w:style>
  <w:style w:type="character" w:customStyle="1" w:styleId="Heading1Char">
    <w:name w:val="Heading 1 Char"/>
    <w:basedOn w:val="DefaultParagraphFont"/>
    <w:link w:val="Heading1"/>
    <w:rsid w:val="00C9378F"/>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semiHidden/>
    <w:unhideWhenUsed/>
    <w:qFormat/>
    <w:rsid w:val="00C9378F"/>
    <w:pPr>
      <w:spacing w:line="276" w:lineRule="auto"/>
      <w:jc w:val="left"/>
      <w:outlineLvl w:val="9"/>
    </w:pPr>
    <w:rPr>
      <w:lang w:eastAsia="ja-JP" w:bidi="ar-SA"/>
    </w:rPr>
  </w:style>
  <w:style w:type="paragraph" w:styleId="BalloonText">
    <w:name w:val="Balloon Text"/>
    <w:basedOn w:val="Normal"/>
    <w:link w:val="BalloonTextChar"/>
    <w:uiPriority w:val="99"/>
    <w:semiHidden/>
    <w:unhideWhenUsed/>
    <w:rsid w:val="00C9378F"/>
    <w:rPr>
      <w:rFonts w:ascii="Tahoma" w:hAnsi="Tahoma" w:cs="Tahoma"/>
      <w:sz w:val="16"/>
      <w:szCs w:val="16"/>
    </w:rPr>
  </w:style>
  <w:style w:type="character" w:customStyle="1" w:styleId="BalloonTextChar">
    <w:name w:val="Balloon Text Char"/>
    <w:basedOn w:val="DefaultParagraphFont"/>
    <w:link w:val="BalloonText"/>
    <w:uiPriority w:val="99"/>
    <w:semiHidden/>
    <w:rsid w:val="00C9378F"/>
    <w:rPr>
      <w:rFonts w:ascii="Tahoma" w:eastAsiaTheme="minorEastAsia" w:hAnsi="Tahoma" w:cs="Tahoma"/>
      <w:sz w:val="16"/>
      <w:szCs w:val="16"/>
      <w:lang w:bidi="en-US"/>
    </w:rPr>
  </w:style>
  <w:style w:type="character" w:customStyle="1" w:styleId="Heading2Char">
    <w:name w:val="Heading 2 Char"/>
    <w:basedOn w:val="DefaultParagraphFont"/>
    <w:link w:val="Heading2"/>
    <w:rsid w:val="00C9378F"/>
    <w:rPr>
      <w:rFonts w:asciiTheme="majorHAnsi" w:eastAsiaTheme="majorEastAsia" w:hAnsiTheme="majorHAnsi" w:cstheme="majorBidi"/>
      <w:b/>
      <w:bCs/>
      <w:color w:val="4F81BD" w:themeColor="accent1"/>
      <w:sz w:val="26"/>
      <w:szCs w:val="26"/>
      <w:lang w:bidi="en-US"/>
    </w:rPr>
  </w:style>
  <w:style w:type="paragraph" w:styleId="BodyText3">
    <w:name w:val="Body Text 3"/>
    <w:basedOn w:val="Normal"/>
    <w:link w:val="BodyText3Char"/>
    <w:rsid w:val="00C9378F"/>
    <w:rPr>
      <w:rFonts w:ascii="Times New Roman" w:eastAsia="Times New Roman" w:hAnsi="Times New Roman" w:cs="Times New Roman"/>
      <w:sz w:val="24"/>
      <w:szCs w:val="20"/>
      <w:lang w:bidi="ar-SA"/>
    </w:rPr>
  </w:style>
  <w:style w:type="character" w:customStyle="1" w:styleId="BodyText3Char">
    <w:name w:val="Body Text 3 Char"/>
    <w:basedOn w:val="DefaultParagraphFont"/>
    <w:link w:val="BodyText3"/>
    <w:rsid w:val="00C9378F"/>
    <w:rPr>
      <w:rFonts w:ascii="Times New Roman" w:eastAsia="Times New Roman" w:hAnsi="Times New Roman" w:cs="Times New Roman"/>
      <w:sz w:val="24"/>
      <w:szCs w:val="20"/>
    </w:rPr>
  </w:style>
  <w:style w:type="paragraph" w:styleId="BodyText">
    <w:name w:val="Body Text"/>
    <w:basedOn w:val="Normal"/>
    <w:link w:val="BodyTextChar"/>
    <w:rsid w:val="00C9378F"/>
    <w:pPr>
      <w:spacing w:after="120"/>
      <w:jc w:val="left"/>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C9378F"/>
    <w:rPr>
      <w:rFonts w:ascii="Times New Roman" w:eastAsia="Times New Roman" w:hAnsi="Times New Roman" w:cs="Times New Roman"/>
      <w:sz w:val="24"/>
      <w:szCs w:val="20"/>
    </w:rPr>
  </w:style>
  <w:style w:type="paragraph" w:styleId="FootnoteText">
    <w:name w:val="footnote text"/>
    <w:basedOn w:val="Normal"/>
    <w:link w:val="FootnoteTextChar"/>
    <w:rsid w:val="00C9378F"/>
    <w:pPr>
      <w:jc w:val="left"/>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C9378F"/>
    <w:rPr>
      <w:rFonts w:ascii="Times New Roman" w:eastAsia="Times New Roman" w:hAnsi="Times New Roman" w:cs="Times New Roman"/>
      <w:sz w:val="20"/>
      <w:szCs w:val="20"/>
    </w:rPr>
  </w:style>
  <w:style w:type="character" w:styleId="FootnoteReference">
    <w:name w:val="footnote reference"/>
    <w:basedOn w:val="DefaultParagraphFont"/>
    <w:rsid w:val="00C9378F"/>
    <w:rPr>
      <w:rFonts w:ascii="Times New Roman" w:hAnsi="Times New Roman" w:cs="Times New Roman"/>
      <w:vertAlign w:val="superscript"/>
    </w:rPr>
  </w:style>
  <w:style w:type="paragraph" w:styleId="BodyText2">
    <w:name w:val="Body Text 2"/>
    <w:basedOn w:val="Normal"/>
    <w:link w:val="BodyText2Char1"/>
    <w:uiPriority w:val="99"/>
    <w:rsid w:val="00C9378F"/>
    <w:pPr>
      <w:jc w:val="left"/>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uiPriority w:val="99"/>
    <w:rsid w:val="00C9378F"/>
    <w:rPr>
      <w:rFonts w:eastAsiaTheme="minorEastAsia"/>
      <w:lang w:bidi="en-US"/>
    </w:rPr>
  </w:style>
  <w:style w:type="character" w:customStyle="1" w:styleId="BodyText2Char1">
    <w:name w:val="Body Text 2 Char1"/>
    <w:basedOn w:val="DefaultParagraphFont"/>
    <w:link w:val="BodyText2"/>
    <w:uiPriority w:val="99"/>
    <w:locked/>
    <w:rsid w:val="00C9378F"/>
    <w:rPr>
      <w:rFonts w:ascii="Times New Roman" w:eastAsia="Times New Roman" w:hAnsi="Times New Roman" w:cs="Times New Roman"/>
      <w:b/>
      <w:bCs/>
      <w:sz w:val="24"/>
      <w:szCs w:val="24"/>
    </w:rPr>
  </w:style>
  <w:style w:type="paragraph" w:styleId="ListParagraph">
    <w:name w:val="List Paragraph"/>
    <w:aliases w:val="Bullets,Use in Mgmt Summary,xxxxxxxxxxxx,Alpha List Paragraph,List Paragraph1,alpha List,Response Bullets,Bullet Text,L1"/>
    <w:basedOn w:val="Normal"/>
    <w:link w:val="ListParagraphChar"/>
    <w:uiPriority w:val="34"/>
    <w:qFormat/>
    <w:rsid w:val="00C9378F"/>
    <w:pPr>
      <w:ind w:left="720"/>
      <w:contextualSpacing/>
    </w:pPr>
    <w:rPr>
      <w:rFonts w:eastAsiaTheme="minorHAnsi"/>
      <w:lang w:bidi="ar-SA"/>
    </w:rPr>
  </w:style>
  <w:style w:type="paragraph" w:customStyle="1" w:styleId="tableheading">
    <w:name w:val="table heading"/>
    <w:basedOn w:val="Heading4"/>
    <w:link w:val="tableheadingChar"/>
    <w:qFormat/>
    <w:rsid w:val="00C9378F"/>
    <w:rPr>
      <w:b w:val="0"/>
      <w:i w:val="0"/>
      <w:color w:val="244061" w:themeColor="accent1" w:themeShade="80"/>
    </w:rPr>
  </w:style>
  <w:style w:type="character" w:customStyle="1" w:styleId="tableheadingChar">
    <w:name w:val="table heading Char"/>
    <w:basedOn w:val="Heading4Char"/>
    <w:link w:val="tableheading"/>
    <w:rsid w:val="00C9378F"/>
    <w:rPr>
      <w:rFonts w:asciiTheme="majorHAnsi" w:eastAsiaTheme="majorEastAsia" w:hAnsiTheme="majorHAnsi" w:cstheme="majorBidi"/>
      <w:b w:val="0"/>
      <w:bCs/>
      <w:i w:val="0"/>
      <w:iCs/>
      <w:color w:val="244061" w:themeColor="accent1" w:themeShade="80"/>
      <w:lang w:bidi="en-US"/>
    </w:rPr>
  </w:style>
  <w:style w:type="character" w:customStyle="1" w:styleId="Heading4Char">
    <w:name w:val="Heading 4 Char"/>
    <w:basedOn w:val="DefaultParagraphFont"/>
    <w:link w:val="Heading4"/>
    <w:uiPriority w:val="9"/>
    <w:rsid w:val="00C9378F"/>
    <w:rPr>
      <w:rFonts w:asciiTheme="majorHAnsi" w:eastAsiaTheme="majorEastAsia" w:hAnsiTheme="majorHAnsi" w:cstheme="majorBidi"/>
      <w:b/>
      <w:bCs/>
      <w:i/>
      <w:iCs/>
      <w:color w:val="4F81BD" w:themeColor="accent1"/>
      <w:lang w:bidi="en-US"/>
    </w:rPr>
  </w:style>
  <w:style w:type="character" w:customStyle="1" w:styleId="Heading3Char">
    <w:name w:val="Heading 3 Char"/>
    <w:basedOn w:val="DefaultParagraphFont"/>
    <w:link w:val="Heading3"/>
    <w:uiPriority w:val="9"/>
    <w:rsid w:val="00C9378F"/>
    <w:rPr>
      <w:rFonts w:asciiTheme="majorHAnsi" w:eastAsiaTheme="majorEastAsia" w:hAnsiTheme="majorHAnsi" w:cstheme="majorBidi"/>
      <w:b/>
      <w:bCs/>
      <w:color w:val="4F81BD" w:themeColor="accent1"/>
      <w:lang w:bidi="en-US"/>
    </w:rPr>
  </w:style>
  <w:style w:type="character" w:customStyle="1" w:styleId="Heading5Char">
    <w:name w:val="Heading 5 Char"/>
    <w:basedOn w:val="DefaultParagraphFont"/>
    <w:link w:val="Heading5"/>
    <w:uiPriority w:val="9"/>
    <w:rsid w:val="00C9378F"/>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C9378F"/>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C9378F"/>
    <w:rPr>
      <w:rFonts w:asciiTheme="majorHAnsi" w:eastAsiaTheme="majorEastAsia" w:hAnsiTheme="majorHAnsi" w:cstheme="majorBidi"/>
      <w:color w:val="404040" w:themeColor="text1" w:themeTint="BF"/>
      <w:sz w:val="20"/>
      <w:szCs w:val="20"/>
      <w:lang w:bidi="en-US"/>
    </w:rPr>
  </w:style>
  <w:style w:type="paragraph" w:styleId="Header">
    <w:name w:val="header"/>
    <w:basedOn w:val="Normal"/>
    <w:link w:val="HeaderChar"/>
    <w:unhideWhenUsed/>
    <w:rsid w:val="00C9378F"/>
    <w:pPr>
      <w:tabs>
        <w:tab w:val="center" w:pos="4680"/>
        <w:tab w:val="right" w:pos="9360"/>
      </w:tabs>
    </w:pPr>
  </w:style>
  <w:style w:type="character" w:customStyle="1" w:styleId="HeaderChar">
    <w:name w:val="Header Char"/>
    <w:basedOn w:val="DefaultParagraphFont"/>
    <w:link w:val="Header"/>
    <w:rsid w:val="00C9378F"/>
    <w:rPr>
      <w:rFonts w:eastAsiaTheme="minorEastAsia"/>
      <w:lang w:bidi="en-US"/>
    </w:rPr>
  </w:style>
  <w:style w:type="paragraph" w:styleId="Footer">
    <w:name w:val="footer"/>
    <w:basedOn w:val="Normal"/>
    <w:link w:val="FooterChar"/>
    <w:uiPriority w:val="99"/>
    <w:unhideWhenUsed/>
    <w:rsid w:val="00C9378F"/>
    <w:pPr>
      <w:tabs>
        <w:tab w:val="center" w:pos="4680"/>
        <w:tab w:val="right" w:pos="9360"/>
      </w:tabs>
    </w:pPr>
  </w:style>
  <w:style w:type="character" w:customStyle="1" w:styleId="FooterChar">
    <w:name w:val="Footer Char"/>
    <w:basedOn w:val="DefaultParagraphFont"/>
    <w:link w:val="Footer"/>
    <w:uiPriority w:val="99"/>
    <w:rsid w:val="00C9378F"/>
    <w:rPr>
      <w:rFonts w:eastAsiaTheme="minorEastAsia"/>
      <w:lang w:bidi="en-US"/>
    </w:rPr>
  </w:style>
  <w:style w:type="character" w:styleId="PageNumber">
    <w:name w:val="page number"/>
    <w:basedOn w:val="DefaultParagraphFont"/>
    <w:rsid w:val="00C9378F"/>
    <w:rPr>
      <w:rFonts w:ascii="Times New Roman" w:hAnsi="Times New Roman" w:cs="Times New Roman"/>
    </w:rPr>
  </w:style>
  <w:style w:type="table" w:styleId="TableGrid">
    <w:name w:val="Table Grid"/>
    <w:basedOn w:val="TableNormal"/>
    <w:uiPriority w:val="59"/>
    <w:rsid w:val="00C93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378F"/>
    <w:rPr>
      <w:rFonts w:ascii="Times New Roman" w:eastAsia="Times New Roman" w:hAnsi="Times New Roman" w:cs="Times New Roman"/>
      <w:sz w:val="24"/>
      <w:szCs w:val="24"/>
    </w:rPr>
  </w:style>
  <w:style w:type="paragraph" w:customStyle="1" w:styleId="font8">
    <w:name w:val="font8"/>
    <w:basedOn w:val="Normal"/>
    <w:rsid w:val="00C9378F"/>
    <w:pPr>
      <w:spacing w:before="100" w:beforeAutospacing="1" w:after="100" w:afterAutospacing="1"/>
      <w:jc w:val="left"/>
    </w:pPr>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uiPriority w:val="99"/>
    <w:semiHidden/>
    <w:unhideWhenUsed/>
    <w:rsid w:val="00C9378F"/>
    <w:pPr>
      <w:spacing w:after="120" w:line="480" w:lineRule="auto"/>
      <w:ind w:left="360"/>
    </w:pPr>
  </w:style>
  <w:style w:type="character" w:customStyle="1" w:styleId="BodyTextIndent2Char">
    <w:name w:val="Body Text Indent 2 Char"/>
    <w:basedOn w:val="DefaultParagraphFont"/>
    <w:link w:val="BodyTextIndent2"/>
    <w:uiPriority w:val="99"/>
    <w:semiHidden/>
    <w:rsid w:val="00C9378F"/>
    <w:rPr>
      <w:rFonts w:eastAsiaTheme="minorEastAsia"/>
      <w:lang w:bidi="en-US"/>
    </w:rPr>
  </w:style>
  <w:style w:type="paragraph" w:styleId="BodyTextIndent3">
    <w:name w:val="Body Text Indent 3"/>
    <w:basedOn w:val="Normal"/>
    <w:link w:val="BodyTextIndent3Char"/>
    <w:uiPriority w:val="99"/>
    <w:semiHidden/>
    <w:unhideWhenUsed/>
    <w:rsid w:val="00C93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378F"/>
    <w:rPr>
      <w:rFonts w:eastAsiaTheme="minorEastAsia"/>
      <w:sz w:val="16"/>
      <w:szCs w:val="16"/>
      <w:lang w:bidi="en-US"/>
    </w:rPr>
  </w:style>
  <w:style w:type="paragraph" w:styleId="TOC3">
    <w:name w:val="toc 3"/>
    <w:basedOn w:val="Normal"/>
    <w:next w:val="Normal"/>
    <w:autoRedefine/>
    <w:uiPriority w:val="39"/>
    <w:unhideWhenUsed/>
    <w:qFormat/>
    <w:rsid w:val="00C9378F"/>
    <w:pPr>
      <w:ind w:left="440"/>
      <w:jc w:val="left"/>
    </w:pPr>
    <w:rPr>
      <w:i/>
      <w:iCs/>
      <w:sz w:val="20"/>
      <w:szCs w:val="20"/>
    </w:rPr>
  </w:style>
  <w:style w:type="paragraph" w:styleId="TOC4">
    <w:name w:val="toc 4"/>
    <w:basedOn w:val="Normal"/>
    <w:next w:val="Normal"/>
    <w:autoRedefine/>
    <w:uiPriority w:val="39"/>
    <w:unhideWhenUsed/>
    <w:rsid w:val="00C9378F"/>
    <w:pPr>
      <w:ind w:left="660"/>
      <w:jc w:val="left"/>
    </w:pPr>
    <w:rPr>
      <w:sz w:val="18"/>
      <w:szCs w:val="18"/>
    </w:rPr>
  </w:style>
  <w:style w:type="paragraph" w:styleId="TOC5">
    <w:name w:val="toc 5"/>
    <w:basedOn w:val="Normal"/>
    <w:next w:val="Normal"/>
    <w:autoRedefine/>
    <w:uiPriority w:val="39"/>
    <w:unhideWhenUsed/>
    <w:rsid w:val="00C9378F"/>
    <w:pPr>
      <w:ind w:left="880"/>
      <w:jc w:val="left"/>
    </w:pPr>
    <w:rPr>
      <w:sz w:val="18"/>
      <w:szCs w:val="18"/>
    </w:rPr>
  </w:style>
  <w:style w:type="paragraph" w:styleId="TOC6">
    <w:name w:val="toc 6"/>
    <w:basedOn w:val="Normal"/>
    <w:next w:val="Normal"/>
    <w:autoRedefine/>
    <w:uiPriority w:val="39"/>
    <w:unhideWhenUsed/>
    <w:rsid w:val="00C9378F"/>
    <w:pPr>
      <w:ind w:left="1100"/>
      <w:jc w:val="left"/>
    </w:pPr>
    <w:rPr>
      <w:sz w:val="18"/>
      <w:szCs w:val="18"/>
    </w:rPr>
  </w:style>
  <w:style w:type="paragraph" w:styleId="TOC7">
    <w:name w:val="toc 7"/>
    <w:basedOn w:val="Normal"/>
    <w:next w:val="Normal"/>
    <w:autoRedefine/>
    <w:uiPriority w:val="39"/>
    <w:unhideWhenUsed/>
    <w:rsid w:val="00C9378F"/>
    <w:pPr>
      <w:ind w:left="1320"/>
      <w:jc w:val="left"/>
    </w:pPr>
    <w:rPr>
      <w:sz w:val="18"/>
      <w:szCs w:val="18"/>
    </w:rPr>
  </w:style>
  <w:style w:type="paragraph" w:styleId="TOC8">
    <w:name w:val="toc 8"/>
    <w:basedOn w:val="Normal"/>
    <w:next w:val="Normal"/>
    <w:autoRedefine/>
    <w:uiPriority w:val="39"/>
    <w:unhideWhenUsed/>
    <w:rsid w:val="00C9378F"/>
    <w:pPr>
      <w:ind w:left="1540"/>
      <w:jc w:val="left"/>
    </w:pPr>
    <w:rPr>
      <w:sz w:val="18"/>
      <w:szCs w:val="18"/>
    </w:rPr>
  </w:style>
  <w:style w:type="paragraph" w:styleId="TOC9">
    <w:name w:val="toc 9"/>
    <w:basedOn w:val="Normal"/>
    <w:next w:val="Normal"/>
    <w:autoRedefine/>
    <w:uiPriority w:val="39"/>
    <w:unhideWhenUsed/>
    <w:rsid w:val="00C9378F"/>
    <w:pPr>
      <w:ind w:left="1760"/>
      <w:jc w:val="left"/>
    </w:pPr>
    <w:rPr>
      <w:sz w:val="18"/>
      <w:szCs w:val="18"/>
    </w:rPr>
  </w:style>
  <w:style w:type="paragraph" w:styleId="TableofFigures">
    <w:name w:val="table of figures"/>
    <w:basedOn w:val="Normal"/>
    <w:next w:val="Normal"/>
    <w:autoRedefine/>
    <w:uiPriority w:val="99"/>
    <w:unhideWhenUsed/>
    <w:rsid w:val="00C9378F"/>
  </w:style>
  <w:style w:type="character" w:styleId="CommentReference">
    <w:name w:val="annotation reference"/>
    <w:basedOn w:val="DefaultParagraphFont"/>
    <w:uiPriority w:val="99"/>
    <w:unhideWhenUsed/>
    <w:rsid w:val="00C9378F"/>
    <w:rPr>
      <w:sz w:val="16"/>
      <w:szCs w:val="16"/>
    </w:rPr>
  </w:style>
  <w:style w:type="paragraph" w:styleId="CommentText">
    <w:name w:val="annotation text"/>
    <w:basedOn w:val="Normal"/>
    <w:link w:val="CommentTextChar"/>
    <w:uiPriority w:val="99"/>
    <w:unhideWhenUsed/>
    <w:rsid w:val="00C9378F"/>
    <w:rPr>
      <w:sz w:val="20"/>
      <w:szCs w:val="20"/>
    </w:rPr>
  </w:style>
  <w:style w:type="character" w:customStyle="1" w:styleId="CommentTextChar">
    <w:name w:val="Comment Text Char"/>
    <w:basedOn w:val="DefaultParagraphFont"/>
    <w:link w:val="CommentText"/>
    <w:uiPriority w:val="99"/>
    <w:rsid w:val="00C9378F"/>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C9378F"/>
    <w:rPr>
      <w:b/>
      <w:bCs/>
    </w:rPr>
  </w:style>
  <w:style w:type="character" w:customStyle="1" w:styleId="CommentSubjectChar">
    <w:name w:val="Comment Subject Char"/>
    <w:basedOn w:val="CommentTextChar"/>
    <w:link w:val="CommentSubject"/>
    <w:uiPriority w:val="99"/>
    <w:semiHidden/>
    <w:rsid w:val="00C9378F"/>
    <w:rPr>
      <w:rFonts w:eastAsiaTheme="minorEastAsia"/>
      <w:b/>
      <w:bCs/>
      <w:sz w:val="20"/>
      <w:szCs w:val="20"/>
      <w:lang w:bidi="en-US"/>
    </w:rPr>
  </w:style>
  <w:style w:type="paragraph" w:styleId="Revision">
    <w:name w:val="Revision"/>
    <w:hidden/>
    <w:uiPriority w:val="99"/>
    <w:semiHidden/>
    <w:rsid w:val="00C9378F"/>
    <w:rPr>
      <w:rFonts w:eastAsiaTheme="minorEastAsia"/>
      <w:noProof/>
      <w:lang w:bidi="en-US"/>
    </w:rPr>
  </w:style>
  <w:style w:type="paragraph" w:customStyle="1" w:styleId="Default">
    <w:name w:val="Default"/>
    <w:rsid w:val="00C9378F"/>
    <w:pPr>
      <w:autoSpaceDE w:val="0"/>
      <w:autoSpaceDN w:val="0"/>
      <w:adjustRightInd w:val="0"/>
    </w:pPr>
    <w:rPr>
      <w:rFonts w:ascii="Arial" w:eastAsiaTheme="minorEastAsia" w:hAnsi="Arial" w:cs="Arial"/>
      <w:color w:val="000000"/>
      <w:sz w:val="24"/>
      <w:szCs w:val="24"/>
    </w:rPr>
  </w:style>
  <w:style w:type="paragraph" w:customStyle="1" w:styleId="Subheading">
    <w:name w:val="Subheading"/>
    <w:basedOn w:val="Heading1"/>
    <w:rsid w:val="00C9378F"/>
    <w:pPr>
      <w:keepLines w:val="0"/>
      <w:spacing w:before="0"/>
      <w:jc w:val="left"/>
    </w:pPr>
    <w:rPr>
      <w:rFonts w:ascii="Arial" w:eastAsia="Times New Roman" w:hAnsi="Arial" w:cs="Times New Roman"/>
      <w:bCs w:val="0"/>
      <w:i/>
      <w:color w:val="auto"/>
      <w:sz w:val="22"/>
      <w:szCs w:val="20"/>
      <w:lang w:bidi="ar-SA"/>
    </w:rPr>
  </w:style>
  <w:style w:type="character" w:customStyle="1" w:styleId="HeaderChar1">
    <w:name w:val="Header Char1"/>
    <w:basedOn w:val="DefaultParagraphFont"/>
    <w:rsid w:val="00C9378F"/>
  </w:style>
  <w:style w:type="paragraph" w:customStyle="1" w:styleId="Body">
    <w:name w:val="Body"/>
    <w:link w:val="BodyChar1"/>
    <w:rsid w:val="00C9378F"/>
    <w:pPr>
      <w:spacing w:before="180"/>
    </w:pPr>
    <w:rPr>
      <w:rFonts w:ascii="Arial" w:eastAsia="Times New Roman" w:hAnsi="Arial" w:cs="Times New Roman"/>
      <w:sz w:val="20"/>
      <w:szCs w:val="24"/>
    </w:rPr>
  </w:style>
  <w:style w:type="paragraph" w:customStyle="1" w:styleId="Bullet">
    <w:name w:val="Bullet"/>
    <w:link w:val="BulletChar"/>
    <w:rsid w:val="00C9378F"/>
    <w:pPr>
      <w:numPr>
        <w:numId w:val="13"/>
      </w:numPr>
      <w:tabs>
        <w:tab w:val="left" w:pos="576"/>
      </w:tabs>
      <w:spacing w:before="120"/>
      <w:ind w:left="576"/>
    </w:pPr>
    <w:rPr>
      <w:rFonts w:ascii="Arial" w:eastAsia="Times New Roman" w:hAnsi="Arial" w:cs="Times New Roman"/>
      <w:sz w:val="20"/>
      <w:szCs w:val="24"/>
    </w:rPr>
  </w:style>
  <w:style w:type="character" w:customStyle="1" w:styleId="BulletChar">
    <w:name w:val="Bullet Char"/>
    <w:basedOn w:val="DefaultParagraphFont"/>
    <w:link w:val="Bullet"/>
    <w:rsid w:val="00C9378F"/>
    <w:rPr>
      <w:rFonts w:ascii="Arial" w:eastAsia="Times New Roman" w:hAnsi="Arial" w:cs="Times New Roman"/>
      <w:sz w:val="20"/>
      <w:szCs w:val="24"/>
    </w:rPr>
  </w:style>
  <w:style w:type="character" w:customStyle="1" w:styleId="BodyChar1">
    <w:name w:val="Body Char1"/>
    <w:basedOn w:val="DefaultParagraphFont"/>
    <w:link w:val="Body"/>
    <w:rsid w:val="00C9378F"/>
    <w:rPr>
      <w:rFonts w:ascii="Arial" w:eastAsia="Times New Roman" w:hAnsi="Arial" w:cs="Times New Roman"/>
      <w:sz w:val="20"/>
      <w:szCs w:val="24"/>
    </w:rPr>
  </w:style>
  <w:style w:type="paragraph" w:customStyle="1" w:styleId="ProcessBullet">
    <w:name w:val="Process Bullet"/>
    <w:link w:val="ProcessBulletChar"/>
    <w:rsid w:val="00C9378F"/>
    <w:pPr>
      <w:numPr>
        <w:numId w:val="14"/>
      </w:numPr>
      <w:spacing w:before="120"/>
    </w:pPr>
    <w:rPr>
      <w:rFonts w:ascii="Arial" w:eastAsia="Times New Roman" w:hAnsi="Arial" w:cs="Times New Roman"/>
      <w:sz w:val="20"/>
      <w:szCs w:val="24"/>
    </w:rPr>
  </w:style>
  <w:style w:type="character" w:customStyle="1" w:styleId="ProcessBulletChar">
    <w:name w:val="Process Bullet Char"/>
    <w:basedOn w:val="DefaultParagraphFont"/>
    <w:link w:val="ProcessBullet"/>
    <w:rsid w:val="00C9378F"/>
    <w:rPr>
      <w:rFonts w:ascii="Arial" w:eastAsia="Times New Roman" w:hAnsi="Arial" w:cs="Times New Roman"/>
      <w:sz w:val="20"/>
      <w:szCs w:val="24"/>
    </w:rPr>
  </w:style>
  <w:style w:type="paragraph" w:customStyle="1" w:styleId="Note">
    <w:name w:val="Note"/>
    <w:link w:val="NoteChar"/>
    <w:rsid w:val="00C9378F"/>
    <w:pPr>
      <w:spacing w:before="120"/>
    </w:pPr>
    <w:rPr>
      <w:rFonts w:ascii="Arial" w:eastAsia="Times New Roman" w:hAnsi="Arial" w:cs="Times New Roman"/>
      <w:i/>
      <w:sz w:val="20"/>
      <w:szCs w:val="24"/>
    </w:rPr>
  </w:style>
  <w:style w:type="character" w:customStyle="1" w:styleId="NoteChar">
    <w:name w:val="Note Char"/>
    <w:basedOn w:val="DefaultParagraphFont"/>
    <w:link w:val="Note"/>
    <w:rsid w:val="00C9378F"/>
    <w:rPr>
      <w:rFonts w:ascii="Arial" w:eastAsia="Times New Roman" w:hAnsi="Arial" w:cs="Times New Roman"/>
      <w:i/>
      <w:sz w:val="20"/>
      <w:szCs w:val="24"/>
    </w:rPr>
  </w:style>
  <w:style w:type="paragraph" w:customStyle="1" w:styleId="Dash">
    <w:name w:val="Dash"/>
    <w:rsid w:val="00C9378F"/>
    <w:pPr>
      <w:numPr>
        <w:numId w:val="15"/>
      </w:numPr>
      <w:spacing w:before="60"/>
    </w:pPr>
    <w:rPr>
      <w:rFonts w:ascii="Arial" w:eastAsia="Times New Roman" w:hAnsi="Arial" w:cs="Times New Roman"/>
      <w:sz w:val="20"/>
      <w:szCs w:val="24"/>
    </w:rPr>
  </w:style>
  <w:style w:type="character" w:customStyle="1" w:styleId="BodyChar">
    <w:name w:val="Body Char"/>
    <w:basedOn w:val="DefaultParagraphFont"/>
    <w:rsid w:val="00C9378F"/>
    <w:rPr>
      <w:rFonts w:ascii="Arial" w:hAnsi="Arial"/>
      <w:szCs w:val="24"/>
      <w:lang w:val="en-US" w:eastAsia="en-US" w:bidi="ar-SA"/>
    </w:rPr>
  </w:style>
  <w:style w:type="character" w:styleId="PlaceholderText">
    <w:name w:val="Placeholder Text"/>
    <w:basedOn w:val="DefaultParagraphFont"/>
    <w:uiPriority w:val="99"/>
    <w:semiHidden/>
    <w:rsid w:val="00C9378F"/>
    <w:rPr>
      <w:color w:val="808080"/>
    </w:rPr>
  </w:style>
  <w:style w:type="paragraph" w:styleId="NormalWeb">
    <w:name w:val="Normal (Web)"/>
    <w:basedOn w:val="Normal"/>
    <w:uiPriority w:val="99"/>
    <w:unhideWhenUsed/>
    <w:rsid w:val="00C9378F"/>
    <w:pPr>
      <w:spacing w:before="100" w:beforeAutospacing="1" w:after="100" w:afterAutospacing="1"/>
      <w:jc w:val="left"/>
    </w:pPr>
    <w:rPr>
      <w:rFonts w:ascii="Times New Roman" w:eastAsia="Times New Roman" w:hAnsi="Times New Roman" w:cs="Times New Roman"/>
      <w:sz w:val="24"/>
      <w:szCs w:val="24"/>
      <w:lang w:bidi="ar-SA"/>
    </w:rPr>
  </w:style>
  <w:style w:type="paragraph" w:styleId="Caption">
    <w:name w:val="caption"/>
    <w:basedOn w:val="Normal"/>
    <w:next w:val="Normal"/>
    <w:link w:val="CaptionChar"/>
    <w:uiPriority w:val="35"/>
    <w:unhideWhenUsed/>
    <w:qFormat/>
    <w:rsid w:val="00EF6184"/>
    <w:pPr>
      <w:spacing w:after="200"/>
    </w:pPr>
    <w:rPr>
      <w:b/>
      <w:bCs/>
      <w:color w:val="4F81BD" w:themeColor="accent1"/>
      <w:sz w:val="18"/>
      <w:szCs w:val="18"/>
    </w:rPr>
  </w:style>
  <w:style w:type="character" w:customStyle="1" w:styleId="ListParagraphChar">
    <w:name w:val="List Paragraph Char"/>
    <w:aliases w:val="Bullets Char,Use in Mgmt Summary Char,xxxxxxxxxxxx Char,Alpha List Paragraph Char,List Paragraph1 Char,alpha List Char,Response Bullets Char,Bullet Text Char,L1 Char"/>
    <w:basedOn w:val="DefaultParagraphFont"/>
    <w:link w:val="ListParagraph"/>
    <w:uiPriority w:val="34"/>
    <w:locked/>
    <w:rsid w:val="00BF0CCC"/>
  </w:style>
  <w:style w:type="character" w:customStyle="1" w:styleId="CaptionChar">
    <w:name w:val="Caption Char"/>
    <w:link w:val="Caption"/>
    <w:uiPriority w:val="35"/>
    <w:rsid w:val="005C3D48"/>
    <w:rPr>
      <w:rFonts w:eastAsiaTheme="minorEastAsia"/>
      <w:b/>
      <w:bCs/>
      <w:color w:val="4F81BD" w:themeColor="accent1"/>
      <w:sz w:val="18"/>
      <w:szCs w:val="18"/>
      <w:lang w:bidi="en-US"/>
    </w:rPr>
  </w:style>
  <w:style w:type="table" w:customStyle="1" w:styleId="TableGrid1">
    <w:name w:val="Table Grid1"/>
    <w:basedOn w:val="TableNormal"/>
    <w:next w:val="TableGrid"/>
    <w:uiPriority w:val="59"/>
    <w:rsid w:val="00A0110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Arial10">
    <w:name w:val="Style10-Arial 10"/>
    <w:basedOn w:val="DefaultParagraphFont"/>
    <w:uiPriority w:val="1"/>
    <w:rsid w:val="00A0110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831">
      <w:bodyDiv w:val="1"/>
      <w:marLeft w:val="0"/>
      <w:marRight w:val="0"/>
      <w:marTop w:val="0"/>
      <w:marBottom w:val="0"/>
      <w:divBdr>
        <w:top w:val="none" w:sz="0" w:space="0" w:color="auto"/>
        <w:left w:val="none" w:sz="0" w:space="0" w:color="auto"/>
        <w:bottom w:val="none" w:sz="0" w:space="0" w:color="auto"/>
        <w:right w:val="none" w:sz="0" w:space="0" w:color="auto"/>
      </w:divBdr>
    </w:div>
    <w:div w:id="222647306">
      <w:bodyDiv w:val="1"/>
      <w:marLeft w:val="0"/>
      <w:marRight w:val="0"/>
      <w:marTop w:val="0"/>
      <w:marBottom w:val="0"/>
      <w:divBdr>
        <w:top w:val="none" w:sz="0" w:space="0" w:color="auto"/>
        <w:left w:val="none" w:sz="0" w:space="0" w:color="auto"/>
        <w:bottom w:val="none" w:sz="0" w:space="0" w:color="auto"/>
        <w:right w:val="none" w:sz="0" w:space="0" w:color="auto"/>
      </w:divBdr>
    </w:div>
    <w:div w:id="307126812">
      <w:bodyDiv w:val="1"/>
      <w:marLeft w:val="0"/>
      <w:marRight w:val="0"/>
      <w:marTop w:val="0"/>
      <w:marBottom w:val="0"/>
      <w:divBdr>
        <w:top w:val="none" w:sz="0" w:space="0" w:color="auto"/>
        <w:left w:val="none" w:sz="0" w:space="0" w:color="auto"/>
        <w:bottom w:val="none" w:sz="0" w:space="0" w:color="auto"/>
        <w:right w:val="none" w:sz="0" w:space="0" w:color="auto"/>
      </w:divBdr>
    </w:div>
    <w:div w:id="11082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docx"/><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1%20CHIP%20Reports\Graphs\PPO%202021%200314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Contraceptive</a:t>
            </a:r>
            <a:r>
              <a:rPr lang="en-US" sz="1200" baseline="0"/>
              <a:t> Care for All Women</a:t>
            </a:r>
          </a:p>
        </c:rich>
      </c:tx>
      <c:overlay val="0"/>
    </c:title>
    <c:autoTitleDeleted val="0"/>
    <c:plotArea>
      <c:layout/>
      <c:barChart>
        <c:barDir val="col"/>
        <c:grouping val="clustered"/>
        <c:varyColors val="0"/>
        <c:ser>
          <c:idx val="0"/>
          <c:order val="0"/>
          <c:tx>
            <c:strRef>
              <c:f>Access!$C$3</c:f>
              <c:strCache>
                <c:ptCount val="1"/>
                <c:pt idx="0">
                  <c:v>2021</c:v>
                </c:pt>
              </c:strCache>
            </c:strRef>
          </c:tx>
          <c:invertIfNegative val="0"/>
          <c:dLbls>
            <c:dLbl>
              <c:idx val="0"/>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2AA6-4E0E-9905-CFA1A6FAAADA}"/>
                </c:ext>
              </c:extLst>
            </c:dLbl>
            <c:dLbl>
              <c:idx val="1"/>
              <c:layout>
                <c:manualLayout>
                  <c:x val="-1.8939393939395328E-3"/>
                  <c:y val="9.801118970983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68B-418C-BA9D-C685F767DFF3}"/>
                </c:ext>
              </c:extLst>
            </c:dLbl>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Access!$B$4:$B$5</c:f>
              <c:strCache>
                <c:ptCount val="2"/>
                <c:pt idx="0">
                  <c:v>Contraceptive Care for All Women: Most or Moderately Effective</c:v>
                </c:pt>
                <c:pt idx="1">
                  <c:v>Contraceptive Care for All Women: LARC</c:v>
                </c:pt>
              </c:strCache>
            </c:strRef>
          </c:cat>
          <c:val>
            <c:numRef>
              <c:f>Access!$C$4:$C$5</c:f>
              <c:numCache>
                <c:formatCode>0.00%</c:formatCode>
                <c:ptCount val="2"/>
                <c:pt idx="0">
                  <c:v>0.26429999999999998</c:v>
                </c:pt>
                <c:pt idx="1">
                  <c:v>2.2100000000000002E-2</c:v>
                </c:pt>
              </c:numCache>
            </c:numRef>
          </c:val>
          <c:extLst>
            <c:ext xmlns:c16="http://schemas.microsoft.com/office/drawing/2014/chart" uri="{C3380CC4-5D6E-409C-BE32-E72D297353CC}">
              <c16:uniqueId val="{00000002-368B-418C-BA9D-C685F767DFF3}"/>
            </c:ext>
          </c:extLst>
        </c:ser>
        <c:ser>
          <c:idx val="1"/>
          <c:order val="1"/>
          <c:tx>
            <c:strRef>
              <c:f>Access!$D$3</c:f>
              <c:strCache>
                <c:ptCount val="1"/>
                <c:pt idx="0">
                  <c:v>2020</c:v>
                </c:pt>
              </c:strCache>
            </c:strRef>
          </c:tx>
          <c:invertIfNegative val="0"/>
          <c:dLbls>
            <c:dLbl>
              <c:idx val="1"/>
              <c:layout>
                <c:manualLayout>
                  <c:x val="-3.7878787878789268E-3"/>
                  <c:y val="5.75415371000103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8B-418C-BA9D-C685F767DFF3}"/>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Access!$B$4:$B$5</c:f>
              <c:strCache>
                <c:ptCount val="2"/>
                <c:pt idx="0">
                  <c:v>Contraceptive Care for All Women: Most or Moderately Effective</c:v>
                </c:pt>
                <c:pt idx="1">
                  <c:v>Contraceptive Care for All Women: LARC</c:v>
                </c:pt>
              </c:strCache>
            </c:strRef>
          </c:cat>
          <c:val>
            <c:numRef>
              <c:f>Access!$D$4:$D$5</c:f>
              <c:numCache>
                <c:formatCode>0.00%</c:formatCode>
                <c:ptCount val="2"/>
                <c:pt idx="0">
                  <c:v>0.31403940886699505</c:v>
                </c:pt>
                <c:pt idx="1">
                  <c:v>2.2167487684729065E-2</c:v>
                </c:pt>
              </c:numCache>
            </c:numRef>
          </c:val>
          <c:extLst>
            <c:ext xmlns:c16="http://schemas.microsoft.com/office/drawing/2014/chart" uri="{C3380CC4-5D6E-409C-BE32-E72D297353CC}">
              <c16:uniqueId val="{00000004-368B-418C-BA9D-C685F767DFF3}"/>
            </c:ext>
          </c:extLst>
        </c:ser>
        <c:dLbls>
          <c:showLegendKey val="0"/>
          <c:showVal val="0"/>
          <c:showCatName val="0"/>
          <c:showSerName val="0"/>
          <c:showPercent val="0"/>
          <c:showBubbleSize val="0"/>
        </c:dLbls>
        <c:gapWidth val="75"/>
        <c:overlap val="-25"/>
        <c:axId val="151017728"/>
        <c:axId val="151023616"/>
      </c:barChart>
      <c:catAx>
        <c:axId val="151017728"/>
        <c:scaling>
          <c:orientation val="minMax"/>
        </c:scaling>
        <c:delete val="0"/>
        <c:axPos val="b"/>
        <c:numFmt formatCode="General" sourceLinked="0"/>
        <c:majorTickMark val="none"/>
        <c:minorTickMark val="none"/>
        <c:tickLblPos val="nextTo"/>
        <c:crossAx val="151023616"/>
        <c:crosses val="autoZero"/>
        <c:auto val="1"/>
        <c:lblAlgn val="ctr"/>
        <c:lblOffset val="100"/>
        <c:noMultiLvlLbl val="0"/>
      </c:catAx>
      <c:valAx>
        <c:axId val="151023616"/>
        <c:scaling>
          <c:orientation val="minMax"/>
        </c:scaling>
        <c:delete val="0"/>
        <c:axPos val="l"/>
        <c:majorGridlines/>
        <c:numFmt formatCode="0.00%" sourceLinked="1"/>
        <c:majorTickMark val="none"/>
        <c:minorTickMark val="none"/>
        <c:tickLblPos val="nextTo"/>
        <c:crossAx val="151017728"/>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Immunizations for Adolescents</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Care'!$B$32:$B$36</c:f>
              <c:strCache>
                <c:ptCount val="5"/>
                <c:pt idx="0">
                  <c:v>Meningococcal</c:v>
                </c:pt>
                <c:pt idx="1">
                  <c:v>Tdap</c:v>
                </c:pt>
                <c:pt idx="2">
                  <c:v>HPV</c:v>
                </c:pt>
                <c:pt idx="3">
                  <c:v>Combination 1</c:v>
                </c:pt>
                <c:pt idx="4">
                  <c:v>Combination 2</c:v>
                </c:pt>
              </c:strCache>
            </c:strRef>
          </c:cat>
          <c:val>
            <c:numRef>
              <c:f>'Well Care'!$C$32:$C$36</c:f>
              <c:numCache>
                <c:formatCode>0.00%</c:formatCode>
                <c:ptCount val="5"/>
                <c:pt idx="0">
                  <c:v>0.94159999999999999</c:v>
                </c:pt>
                <c:pt idx="1">
                  <c:v>0.93669999999999998</c:v>
                </c:pt>
                <c:pt idx="2">
                  <c:v>0.33329999999999999</c:v>
                </c:pt>
                <c:pt idx="3">
                  <c:v>0.92459999999999998</c:v>
                </c:pt>
                <c:pt idx="4">
                  <c:v>0.32600000000000001</c:v>
                </c:pt>
              </c:numCache>
            </c:numRef>
          </c:val>
          <c:extLst>
            <c:ext xmlns:c16="http://schemas.microsoft.com/office/drawing/2014/chart" uri="{C3380CC4-5D6E-409C-BE32-E72D297353CC}">
              <c16:uniqueId val="{00000000-74F7-43E7-8756-A25456330D26}"/>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Care'!$B$32:$B$36</c:f>
              <c:strCache>
                <c:ptCount val="5"/>
                <c:pt idx="0">
                  <c:v>Meningococcal</c:v>
                </c:pt>
                <c:pt idx="1">
                  <c:v>Tdap</c:v>
                </c:pt>
                <c:pt idx="2">
                  <c:v>HPV</c:v>
                </c:pt>
                <c:pt idx="3">
                  <c:v>Combination 1</c:v>
                </c:pt>
                <c:pt idx="4">
                  <c:v>Combination 2</c:v>
                </c:pt>
              </c:strCache>
            </c:strRef>
          </c:cat>
          <c:val>
            <c:numRef>
              <c:f>'Well Care'!$D$32:$D$36</c:f>
              <c:numCache>
                <c:formatCode>0.00%</c:formatCode>
                <c:ptCount val="5"/>
                <c:pt idx="0">
                  <c:v>0.91970802920000005</c:v>
                </c:pt>
                <c:pt idx="1">
                  <c:v>0.9245742092</c:v>
                </c:pt>
                <c:pt idx="2">
                  <c:v>0.34063260340000001</c:v>
                </c:pt>
                <c:pt idx="3">
                  <c:v>0.9051094891</c:v>
                </c:pt>
                <c:pt idx="4">
                  <c:v>0.32603406330000001</c:v>
                </c:pt>
              </c:numCache>
            </c:numRef>
          </c:val>
          <c:extLst>
            <c:ext xmlns:c16="http://schemas.microsoft.com/office/drawing/2014/chart" uri="{C3380CC4-5D6E-409C-BE32-E72D297353CC}">
              <c16:uniqueId val="{00000001-74F7-43E7-8756-A25456330D26}"/>
            </c:ext>
          </c:extLst>
        </c:ser>
        <c:dLbls>
          <c:showLegendKey val="0"/>
          <c:showVal val="0"/>
          <c:showCatName val="0"/>
          <c:showSerName val="0"/>
          <c:showPercent val="0"/>
          <c:showBubbleSize val="0"/>
        </c:dLbls>
        <c:gapWidth val="75"/>
        <c:overlap val="-25"/>
        <c:axId val="166083584"/>
        <c:axId val="166097664"/>
      </c:barChart>
      <c:catAx>
        <c:axId val="166083584"/>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166097664"/>
        <c:crosses val="autoZero"/>
        <c:auto val="1"/>
        <c:lblAlgn val="ctr"/>
        <c:lblOffset val="100"/>
        <c:noMultiLvlLbl val="0"/>
      </c:catAx>
      <c:valAx>
        <c:axId val="166097664"/>
        <c:scaling>
          <c:orientation val="minMax"/>
        </c:scaling>
        <c:delete val="0"/>
        <c:axPos val="l"/>
        <c:majorGridlines/>
        <c:numFmt formatCode="0.00%" sourceLinked="1"/>
        <c:majorTickMark val="none"/>
        <c:minorTickMark val="none"/>
        <c:tickLblPos val="nextTo"/>
        <c:crossAx val="166083584"/>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Well-Child Visits</a:t>
            </a:r>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'Well Care'!$B$37:$B$39</c:f>
              <c:strCache>
                <c:ptCount val="3"/>
                <c:pt idx="0">
                  <c:v>15 months ≥ 6 Visits</c:v>
                </c:pt>
                <c:pt idx="1">
                  <c:v>15-30 months ≥ 2 Visits</c:v>
                </c:pt>
                <c:pt idx="2">
                  <c:v>3-19 years
≥ 1 Visit</c:v>
                </c:pt>
              </c:strCache>
            </c:strRef>
          </c:cat>
          <c:val>
            <c:numRef>
              <c:f>'Well Care'!$C$37:$C$39</c:f>
              <c:numCache>
                <c:formatCode>0.00%</c:formatCode>
                <c:ptCount val="3"/>
                <c:pt idx="0">
                  <c:v>0.7</c:v>
                </c:pt>
                <c:pt idx="1">
                  <c:v>0.90129999999999999</c:v>
                </c:pt>
                <c:pt idx="2">
                  <c:v>0.63629999999999998</c:v>
                </c:pt>
              </c:numCache>
            </c:numRef>
          </c:val>
          <c:extLst>
            <c:ext xmlns:c16="http://schemas.microsoft.com/office/drawing/2014/chart" uri="{C3380CC4-5D6E-409C-BE32-E72D297353CC}">
              <c16:uniqueId val="{00000000-39E8-47E8-AF90-DD65FF5F66FE}"/>
            </c:ext>
          </c:extLst>
        </c:ser>
        <c:ser>
          <c:idx val="1"/>
          <c:order val="1"/>
          <c:tx>
            <c:strRef>
              <c:f>'Well Care'!$D$3</c:f>
              <c:strCache>
                <c:ptCount val="1"/>
                <c:pt idx="0">
                  <c:v>2020</c:v>
                </c:pt>
              </c:strCache>
            </c:strRef>
          </c:tx>
          <c:invertIfNegative val="0"/>
          <c:dLbls>
            <c:dLbl>
              <c:idx val="1"/>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9E8-47E8-AF90-DD65FF5F66FE}"/>
                </c:ext>
              </c:extLst>
            </c:dLbl>
            <c:dLbl>
              <c:idx val="2"/>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9E8-47E8-AF90-DD65FF5F66FE}"/>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Care'!$B$37:$B$39</c:f>
              <c:strCache>
                <c:ptCount val="3"/>
                <c:pt idx="0">
                  <c:v>15 months ≥ 6 Visits</c:v>
                </c:pt>
                <c:pt idx="1">
                  <c:v>15-30 months ≥ 2 Visits</c:v>
                </c:pt>
                <c:pt idx="2">
                  <c:v>3-19 years
≥ 1 Visit</c:v>
                </c:pt>
              </c:strCache>
            </c:strRef>
          </c:cat>
          <c:val>
            <c:numRef>
              <c:f>'Well Care'!$D$37:$D$39</c:f>
              <c:numCache>
                <c:formatCode>0.00%</c:formatCode>
                <c:ptCount val="3"/>
                <c:pt idx="0">
                  <c:v>0.89739999999999998</c:v>
                </c:pt>
                <c:pt idx="1">
                  <c:v>0</c:v>
                </c:pt>
                <c:pt idx="2">
                  <c:v>0</c:v>
                </c:pt>
              </c:numCache>
            </c:numRef>
          </c:val>
          <c:extLst>
            <c:ext xmlns:c16="http://schemas.microsoft.com/office/drawing/2014/chart" uri="{C3380CC4-5D6E-409C-BE32-E72D297353CC}">
              <c16:uniqueId val="{00000003-39E8-47E8-AF90-DD65FF5F66FE}"/>
            </c:ext>
          </c:extLst>
        </c:ser>
        <c:dLbls>
          <c:showLegendKey val="0"/>
          <c:showVal val="0"/>
          <c:showCatName val="0"/>
          <c:showSerName val="0"/>
          <c:showPercent val="0"/>
          <c:showBubbleSize val="0"/>
        </c:dLbls>
        <c:gapWidth val="75"/>
        <c:overlap val="-25"/>
        <c:axId val="166137856"/>
        <c:axId val="166139392"/>
      </c:barChart>
      <c:catAx>
        <c:axId val="166137856"/>
        <c:scaling>
          <c:orientation val="minMax"/>
        </c:scaling>
        <c:delete val="0"/>
        <c:axPos val="b"/>
        <c:numFmt formatCode="General" sourceLinked="0"/>
        <c:majorTickMark val="none"/>
        <c:minorTickMark val="none"/>
        <c:tickLblPos val="nextTo"/>
        <c:crossAx val="166139392"/>
        <c:crosses val="autoZero"/>
        <c:auto val="1"/>
        <c:lblAlgn val="ctr"/>
        <c:lblOffset val="100"/>
        <c:noMultiLvlLbl val="0"/>
      </c:catAx>
      <c:valAx>
        <c:axId val="166139392"/>
        <c:scaling>
          <c:orientation val="minMax"/>
          <c:max val="1"/>
          <c:min val="0"/>
        </c:scaling>
        <c:delete val="0"/>
        <c:axPos val="l"/>
        <c:majorGridlines/>
        <c:numFmt formatCode="0.00%" sourceLinked="1"/>
        <c:majorTickMark val="none"/>
        <c:minorTickMark val="none"/>
        <c:tickLblPos val="nextTo"/>
        <c:crossAx val="16613785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Annual Dental Visits</a:t>
            </a:r>
          </a:p>
        </c:rich>
      </c:tx>
      <c:overlay val="0"/>
    </c:title>
    <c:autoTitleDeleted val="0"/>
    <c:plotArea>
      <c:layout/>
      <c:barChart>
        <c:barDir val="col"/>
        <c:grouping val="clustered"/>
        <c:varyColors val="0"/>
        <c:ser>
          <c:idx val="0"/>
          <c:order val="0"/>
          <c:tx>
            <c:strRef>
              <c:f>'Dental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Care'!$B$4:$B$10</c:f>
              <c:strCache>
                <c:ptCount val="7"/>
                <c:pt idx="0">
                  <c:v>2-3 Years</c:v>
                </c:pt>
                <c:pt idx="1">
                  <c:v>4-6 Years</c:v>
                </c:pt>
                <c:pt idx="2">
                  <c:v>7-10 Years</c:v>
                </c:pt>
                <c:pt idx="3">
                  <c:v>11-14 Years</c:v>
                </c:pt>
                <c:pt idx="4">
                  <c:v>15-18 Years</c:v>
                </c:pt>
                <c:pt idx="5">
                  <c:v>19 Years</c:v>
                </c:pt>
                <c:pt idx="6">
                  <c:v> Total 2 - 19 Years</c:v>
                </c:pt>
              </c:strCache>
            </c:strRef>
          </c:cat>
          <c:val>
            <c:numRef>
              <c:f>'Dental Care'!$C$4:$C$10</c:f>
              <c:numCache>
                <c:formatCode>0.00%</c:formatCode>
                <c:ptCount val="7"/>
                <c:pt idx="0">
                  <c:v>0.28839999999999999</c:v>
                </c:pt>
                <c:pt idx="1">
                  <c:v>0.60940000000000005</c:v>
                </c:pt>
                <c:pt idx="2">
                  <c:v>0.63080000000000003</c:v>
                </c:pt>
                <c:pt idx="3">
                  <c:v>0.60399999999999998</c:v>
                </c:pt>
                <c:pt idx="4">
                  <c:v>0.56010000000000004</c:v>
                </c:pt>
                <c:pt idx="5">
                  <c:v>0.6</c:v>
                </c:pt>
                <c:pt idx="6">
                  <c:v>0.57979999999999998</c:v>
                </c:pt>
              </c:numCache>
            </c:numRef>
          </c:val>
          <c:extLst>
            <c:ext xmlns:c16="http://schemas.microsoft.com/office/drawing/2014/chart" uri="{C3380CC4-5D6E-409C-BE32-E72D297353CC}">
              <c16:uniqueId val="{00000000-E04B-48D0-B3B9-78F4F6EDF840}"/>
            </c:ext>
          </c:extLst>
        </c:ser>
        <c:ser>
          <c:idx val="1"/>
          <c:order val="1"/>
          <c:tx>
            <c:strRef>
              <c:f>'Dental Care'!$D$3</c:f>
              <c:strCache>
                <c:ptCount val="1"/>
                <c:pt idx="0">
                  <c:v>2020</c:v>
                </c:pt>
              </c:strCache>
            </c:strRef>
          </c:tx>
          <c:invertIfNegative val="0"/>
          <c:dLbls>
            <c:dLbl>
              <c:idx val="5"/>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04B-48D0-B3B9-78F4F6EDF840}"/>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Care'!$B$4:$B$10</c:f>
              <c:strCache>
                <c:ptCount val="7"/>
                <c:pt idx="0">
                  <c:v>2-3 Years</c:v>
                </c:pt>
                <c:pt idx="1">
                  <c:v>4-6 Years</c:v>
                </c:pt>
                <c:pt idx="2">
                  <c:v>7-10 Years</c:v>
                </c:pt>
                <c:pt idx="3">
                  <c:v>11-14 Years</c:v>
                </c:pt>
                <c:pt idx="4">
                  <c:v>15-18 Years</c:v>
                </c:pt>
                <c:pt idx="5">
                  <c:v>19 Years</c:v>
                </c:pt>
                <c:pt idx="6">
                  <c:v> Total 2 - 19 Years</c:v>
                </c:pt>
              </c:strCache>
            </c:strRef>
          </c:cat>
          <c:val>
            <c:numRef>
              <c:f>'Dental Care'!$D$4:$D$10</c:f>
              <c:numCache>
                <c:formatCode>0.00%</c:formatCode>
                <c:ptCount val="7"/>
                <c:pt idx="0">
                  <c:v>0.39732142860000003</c:v>
                </c:pt>
                <c:pt idx="1">
                  <c:v>0.77553310890000005</c:v>
                </c:pt>
                <c:pt idx="2">
                  <c:v>0.81823427579999997</c:v>
                </c:pt>
                <c:pt idx="3">
                  <c:v>0.78073770490000005</c:v>
                </c:pt>
                <c:pt idx="4">
                  <c:v>0.70018393619999997</c:v>
                </c:pt>
                <c:pt idx="5">
                  <c:v>0</c:v>
                </c:pt>
                <c:pt idx="6">
                  <c:v>0.74389695970000003</c:v>
                </c:pt>
              </c:numCache>
            </c:numRef>
          </c:val>
          <c:extLst>
            <c:ext xmlns:c16="http://schemas.microsoft.com/office/drawing/2014/chart" uri="{C3380CC4-5D6E-409C-BE32-E72D297353CC}">
              <c16:uniqueId val="{00000002-E04B-48D0-B3B9-78F4F6EDF840}"/>
            </c:ext>
          </c:extLst>
        </c:ser>
        <c:dLbls>
          <c:showLegendKey val="0"/>
          <c:showVal val="0"/>
          <c:showCatName val="0"/>
          <c:showSerName val="0"/>
          <c:showPercent val="0"/>
          <c:showBubbleSize val="0"/>
        </c:dLbls>
        <c:gapWidth val="75"/>
        <c:overlap val="-25"/>
        <c:axId val="149381888"/>
        <c:axId val="149383424"/>
      </c:barChart>
      <c:catAx>
        <c:axId val="149381888"/>
        <c:scaling>
          <c:orientation val="minMax"/>
        </c:scaling>
        <c:delete val="0"/>
        <c:axPos val="b"/>
        <c:numFmt formatCode="General" sourceLinked="0"/>
        <c:majorTickMark val="none"/>
        <c:minorTickMark val="none"/>
        <c:tickLblPos val="nextTo"/>
        <c:crossAx val="149383424"/>
        <c:crosses val="autoZero"/>
        <c:auto val="1"/>
        <c:lblAlgn val="ctr"/>
        <c:lblOffset val="100"/>
        <c:noMultiLvlLbl val="0"/>
      </c:catAx>
      <c:valAx>
        <c:axId val="149383424"/>
        <c:scaling>
          <c:orientation val="minMax"/>
          <c:max val="1"/>
          <c:min val="0"/>
        </c:scaling>
        <c:delete val="0"/>
        <c:axPos val="l"/>
        <c:majorGridlines/>
        <c:numFmt formatCode="0.00%" sourceLinked="1"/>
        <c:majorTickMark val="none"/>
        <c:minorTickMark val="none"/>
        <c:tickLblPos val="nextTo"/>
        <c:crossAx val="14938188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Sealant Receipt on Permanent First Molars</a:t>
            </a:r>
          </a:p>
        </c:rich>
      </c:tx>
      <c:overlay val="0"/>
    </c:title>
    <c:autoTitleDeleted val="0"/>
    <c:plotArea>
      <c:layout/>
      <c:barChart>
        <c:barDir val="col"/>
        <c:grouping val="clustered"/>
        <c:varyColors val="0"/>
        <c:ser>
          <c:idx val="0"/>
          <c:order val="0"/>
          <c:tx>
            <c:strRef>
              <c:f>'Dental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Care'!$B$11:$B$12</c:f>
              <c:strCache>
                <c:ptCount val="2"/>
                <c:pt idx="0">
                  <c:v>≥ 1 Molar</c:v>
                </c:pt>
                <c:pt idx="1">
                  <c:v>All 4 Molars</c:v>
                </c:pt>
              </c:strCache>
            </c:strRef>
          </c:cat>
          <c:val>
            <c:numRef>
              <c:f>'Dental Care'!$C$11:$C$12</c:f>
              <c:numCache>
                <c:formatCode>0.00%</c:formatCode>
                <c:ptCount val="2"/>
                <c:pt idx="0">
                  <c:v>0.3952</c:v>
                </c:pt>
                <c:pt idx="1">
                  <c:v>0.2742</c:v>
                </c:pt>
              </c:numCache>
            </c:numRef>
          </c:val>
          <c:extLst>
            <c:ext xmlns:c16="http://schemas.microsoft.com/office/drawing/2014/chart" uri="{C3380CC4-5D6E-409C-BE32-E72D297353CC}">
              <c16:uniqueId val="{00000000-907B-4AB1-AA59-9A3439A247F7}"/>
            </c:ext>
          </c:extLst>
        </c:ser>
        <c:ser>
          <c:idx val="1"/>
          <c:order val="1"/>
          <c:tx>
            <c:strRef>
              <c:f>'Dental Care'!$D$3</c:f>
              <c:strCache>
                <c:ptCount val="1"/>
                <c:pt idx="0">
                  <c:v>2020</c:v>
                </c:pt>
              </c:strCache>
            </c:strRef>
          </c:tx>
          <c:invertIfNegative val="0"/>
          <c:dLbls>
            <c:dLbl>
              <c:idx val="0"/>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07B-4AB1-AA59-9A3439A247F7}"/>
                </c:ext>
              </c:extLst>
            </c:dLbl>
            <c:dLbl>
              <c:idx val="1"/>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07B-4AB1-AA59-9A3439A247F7}"/>
                </c:ext>
              </c:extLst>
            </c:dLbl>
            <c:dLbl>
              <c:idx val="5"/>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07B-4AB1-AA59-9A3439A247F7}"/>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Care'!$B$11:$B$12</c:f>
              <c:strCache>
                <c:ptCount val="2"/>
                <c:pt idx="0">
                  <c:v>≥ 1 Molar</c:v>
                </c:pt>
                <c:pt idx="1">
                  <c:v>All 4 Molars</c:v>
                </c:pt>
              </c:strCache>
            </c:strRef>
          </c:cat>
          <c:val>
            <c:numRef>
              <c:f>'Dental Care'!$D$11:$D$12</c:f>
              <c:numCache>
                <c:formatCode>0.00%</c:formatCode>
                <c:ptCount val="2"/>
                <c:pt idx="0">
                  <c:v>0</c:v>
                </c:pt>
                <c:pt idx="1">
                  <c:v>0</c:v>
                </c:pt>
              </c:numCache>
            </c:numRef>
          </c:val>
          <c:extLst>
            <c:ext xmlns:c16="http://schemas.microsoft.com/office/drawing/2014/chart" uri="{C3380CC4-5D6E-409C-BE32-E72D297353CC}">
              <c16:uniqueId val="{00000004-907B-4AB1-AA59-9A3439A247F7}"/>
            </c:ext>
          </c:extLst>
        </c:ser>
        <c:dLbls>
          <c:showLegendKey val="0"/>
          <c:showVal val="0"/>
          <c:showCatName val="0"/>
          <c:showSerName val="0"/>
          <c:showPercent val="0"/>
          <c:showBubbleSize val="0"/>
        </c:dLbls>
        <c:gapWidth val="75"/>
        <c:overlap val="-25"/>
        <c:axId val="151429120"/>
        <c:axId val="151430656"/>
      </c:barChart>
      <c:catAx>
        <c:axId val="151429120"/>
        <c:scaling>
          <c:orientation val="minMax"/>
        </c:scaling>
        <c:delete val="0"/>
        <c:axPos val="b"/>
        <c:numFmt formatCode="General" sourceLinked="0"/>
        <c:majorTickMark val="none"/>
        <c:minorTickMark val="none"/>
        <c:tickLblPos val="nextTo"/>
        <c:crossAx val="151430656"/>
        <c:crosses val="autoZero"/>
        <c:auto val="1"/>
        <c:lblAlgn val="ctr"/>
        <c:lblOffset val="100"/>
        <c:noMultiLvlLbl val="0"/>
      </c:catAx>
      <c:valAx>
        <c:axId val="151430656"/>
        <c:scaling>
          <c:orientation val="minMax"/>
          <c:max val="0.5"/>
          <c:min val="0"/>
        </c:scaling>
        <c:delete val="0"/>
        <c:axPos val="l"/>
        <c:majorGridlines/>
        <c:numFmt formatCode="0.00%" sourceLinked="1"/>
        <c:majorTickMark val="none"/>
        <c:minorTickMark val="none"/>
        <c:tickLblPos val="nextTo"/>
        <c:crossAx val="151429120"/>
        <c:crosses val="autoZero"/>
        <c:crossBetween val="between"/>
        <c:majorUnit val="0.1"/>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EPSDT</a:t>
            </a:r>
            <a:r>
              <a:rPr lang="en-US" sz="1200" baseline="0"/>
              <a:t> Screenings</a:t>
            </a:r>
            <a:endParaRPr lang="en-US" sz="1200"/>
          </a:p>
        </c:rich>
      </c:tx>
      <c:overlay val="0"/>
    </c:title>
    <c:autoTitleDeleted val="0"/>
    <c:plotArea>
      <c:layout/>
      <c:barChart>
        <c:barDir val="col"/>
        <c:grouping val="clustered"/>
        <c:varyColors val="0"/>
        <c:ser>
          <c:idx val="0"/>
          <c:order val="0"/>
          <c:tx>
            <c:strRef>
              <c:f>EPSDT!$C$3</c:f>
              <c:strCache>
                <c:ptCount val="1"/>
                <c:pt idx="0">
                  <c:v>2021</c:v>
                </c:pt>
              </c:strCache>
            </c:strRef>
          </c:tx>
          <c:invertIfNegative val="0"/>
          <c:dLbls>
            <c:dLbl>
              <c:idx val="3"/>
              <c:tx>
                <c:rich>
                  <a:bodyPr/>
                  <a:lstStyle/>
                  <a:p>
                    <a:r>
                      <a:rPr lang="en-US">
                        <a:solidFill>
                          <a:sysClr val="windowText" lastClr="000000"/>
                        </a:solidFill>
                      </a:rPr>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C29-4690-8C1C-12D2FC5EFFDB}"/>
                </c:ext>
              </c:extLst>
            </c:dLbl>
            <c:spPr>
              <a:noFill/>
              <a:ln>
                <a:noFill/>
              </a:ln>
              <a:effectLst/>
            </c:spPr>
            <c:txPr>
              <a:bodyPr rot="-5400000" vert="horz"/>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EPSDT!$B$4:$B$10</c:f>
              <c:strCache>
                <c:ptCount val="6"/>
                <c:pt idx="0">
                  <c:v>Lead Screening in Children</c:v>
                </c:pt>
                <c:pt idx="1">
                  <c:v>Chlamydia Screening in Women 
16-20 Years</c:v>
                </c:pt>
                <c:pt idx="2">
                  <c:v>Developmental Screening in the First Three Years of Life
 1 year</c:v>
                </c:pt>
                <c:pt idx="3">
                  <c:v>Developmental Screening in the First Three Years of Life
2 years</c:v>
                </c:pt>
                <c:pt idx="4">
                  <c:v>Developmental Screening in the First Three Years of Life
3 years</c:v>
                </c:pt>
                <c:pt idx="5">
                  <c:v>Developmental Screening in the First Three Years of Life
Total</c:v>
                </c:pt>
              </c:strCache>
            </c:strRef>
          </c:cat>
          <c:val>
            <c:numRef>
              <c:f>EPSDT!$C$4:$C$10</c:f>
              <c:numCache>
                <c:formatCode>0.00%</c:formatCode>
                <c:ptCount val="6"/>
                <c:pt idx="0">
                  <c:v>0.56779999999999997</c:v>
                </c:pt>
                <c:pt idx="1">
                  <c:v>0.25769999999999998</c:v>
                </c:pt>
                <c:pt idx="2">
                  <c:v>0.63349999999999995</c:v>
                </c:pt>
                <c:pt idx="3">
                  <c:v>0</c:v>
                </c:pt>
                <c:pt idx="4">
                  <c:v>0.66100000000000003</c:v>
                </c:pt>
                <c:pt idx="5">
                  <c:v>0.62260000000000004</c:v>
                </c:pt>
              </c:numCache>
            </c:numRef>
          </c:val>
          <c:extLst>
            <c:ext xmlns:c16="http://schemas.microsoft.com/office/drawing/2014/chart" uri="{C3380CC4-5D6E-409C-BE32-E72D297353CC}">
              <c16:uniqueId val="{00000001-EC29-4690-8C1C-12D2FC5EFFDB}"/>
            </c:ext>
          </c:extLst>
        </c:ser>
        <c:ser>
          <c:idx val="1"/>
          <c:order val="1"/>
          <c:tx>
            <c:strRef>
              <c:f>EPSDT!$D$3</c:f>
              <c:strCache>
                <c:ptCount val="1"/>
                <c:pt idx="0">
                  <c:v>2020</c:v>
                </c:pt>
              </c:strCache>
            </c:strRef>
          </c:tx>
          <c:invertIfNegative val="0"/>
          <c:dLbls>
            <c:dLbl>
              <c:idx val="3"/>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C29-4690-8C1C-12D2FC5EFFDB}"/>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EPSDT!$B$4:$B$10</c:f>
              <c:strCache>
                <c:ptCount val="6"/>
                <c:pt idx="0">
                  <c:v>Lead Screening in Children</c:v>
                </c:pt>
                <c:pt idx="1">
                  <c:v>Chlamydia Screening in Women 
16-20 Years</c:v>
                </c:pt>
                <c:pt idx="2">
                  <c:v>Developmental Screening in the First Three Years of Life
 1 year</c:v>
                </c:pt>
                <c:pt idx="3">
                  <c:v>Developmental Screening in the First Three Years of Life
2 years</c:v>
                </c:pt>
                <c:pt idx="4">
                  <c:v>Developmental Screening in the First Three Years of Life
3 years</c:v>
                </c:pt>
                <c:pt idx="5">
                  <c:v>Developmental Screening in the First Three Years of Life
Total</c:v>
                </c:pt>
              </c:strCache>
            </c:strRef>
          </c:cat>
          <c:val>
            <c:numRef>
              <c:f>EPSDT!$D$4:$D$10</c:f>
              <c:numCache>
                <c:formatCode>0.00%</c:formatCode>
                <c:ptCount val="6"/>
                <c:pt idx="0">
                  <c:v>0.53448275860000005</c:v>
                </c:pt>
                <c:pt idx="1">
                  <c:v>0.29929577460000001</c:v>
                </c:pt>
                <c:pt idx="2">
                  <c:v>0.55303030303030298</c:v>
                </c:pt>
                <c:pt idx="3">
                  <c:v>0</c:v>
                </c:pt>
                <c:pt idx="4">
                  <c:v>0.64102564102564108</c:v>
                </c:pt>
                <c:pt idx="5">
                  <c:v>0.51600000000000001</c:v>
                </c:pt>
              </c:numCache>
            </c:numRef>
          </c:val>
          <c:extLst>
            <c:ext xmlns:c16="http://schemas.microsoft.com/office/drawing/2014/chart" uri="{C3380CC4-5D6E-409C-BE32-E72D297353CC}">
              <c16:uniqueId val="{00000003-EC29-4690-8C1C-12D2FC5EFFDB}"/>
            </c:ext>
          </c:extLst>
        </c:ser>
        <c:dLbls>
          <c:showLegendKey val="0"/>
          <c:showVal val="0"/>
          <c:showCatName val="0"/>
          <c:showSerName val="0"/>
          <c:showPercent val="0"/>
          <c:showBubbleSize val="0"/>
        </c:dLbls>
        <c:gapWidth val="75"/>
        <c:overlap val="-25"/>
        <c:axId val="165696256"/>
        <c:axId val="165697792"/>
      </c:barChart>
      <c:catAx>
        <c:axId val="165696256"/>
        <c:scaling>
          <c:orientation val="minMax"/>
        </c:scaling>
        <c:delete val="0"/>
        <c:axPos val="b"/>
        <c:numFmt formatCode="General" sourceLinked="0"/>
        <c:majorTickMark val="none"/>
        <c:minorTickMark val="none"/>
        <c:tickLblPos val="nextTo"/>
        <c:crossAx val="165697792"/>
        <c:crosses val="autoZero"/>
        <c:auto val="1"/>
        <c:lblAlgn val="ctr"/>
        <c:lblOffset val="100"/>
        <c:noMultiLvlLbl val="0"/>
      </c:catAx>
      <c:valAx>
        <c:axId val="165697792"/>
        <c:scaling>
          <c:orientation val="minMax"/>
        </c:scaling>
        <c:delete val="0"/>
        <c:axPos val="l"/>
        <c:majorGridlines/>
        <c:numFmt formatCode="0.00%" sourceLinked="1"/>
        <c:majorTickMark val="none"/>
        <c:minorTickMark val="none"/>
        <c:tickLblPos val="nextTo"/>
        <c:crossAx val="16569625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EPSDT: ADHD and Mental Illness</a:t>
            </a:r>
          </a:p>
        </c:rich>
      </c:tx>
      <c:overlay val="0"/>
    </c:title>
    <c:autoTitleDeleted val="0"/>
    <c:plotArea>
      <c:layout>
        <c:manualLayout>
          <c:layoutTarget val="inner"/>
          <c:xMode val="edge"/>
          <c:yMode val="edge"/>
          <c:x val="7.5528255949266862E-2"/>
          <c:y val="9.1213943577005463E-2"/>
          <c:w val="0.90201924278633505"/>
          <c:h val="0.71575553025491756"/>
        </c:manualLayout>
      </c:layout>
      <c:barChart>
        <c:barDir val="col"/>
        <c:grouping val="clustered"/>
        <c:varyColors val="0"/>
        <c:ser>
          <c:idx val="0"/>
          <c:order val="0"/>
          <c:tx>
            <c:strRef>
              <c:f>EPSDT!$C$3</c:f>
              <c:strCache>
                <c:ptCount val="1"/>
                <c:pt idx="0">
                  <c:v>2021</c:v>
                </c:pt>
              </c:strCache>
            </c:strRef>
          </c:tx>
          <c:invertIfNegative val="0"/>
          <c:dLbls>
            <c:dLbl>
              <c:idx val="1"/>
              <c:tx>
                <c:rich>
                  <a:bodyPr/>
                  <a:lstStyle/>
                  <a:p>
                    <a:r>
                      <a:rPr lang="en-US">
                        <a:solidFill>
                          <a:sysClr val="windowText" lastClr="000000"/>
                        </a:solidFill>
                      </a:rPr>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E21-41C3-9BDD-84000A193A4A}"/>
                </c:ext>
              </c:extLst>
            </c:dLbl>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EPSDT!$B$11:$B$14</c:f>
              <c:strCache>
                <c:ptCount val="4"/>
                <c:pt idx="0">
                  <c:v>Follow Up Care for ADHD Medication
Initiation</c:v>
                </c:pt>
                <c:pt idx="1">
                  <c:v>Follow Up Care for ADHD Medication 
Continuation &amp; Maintenance</c:v>
                </c:pt>
                <c:pt idx="2">
                  <c:v>Follow Up After Hospitalization For Mental Illness
7 days</c:v>
                </c:pt>
                <c:pt idx="3">
                  <c:v>Follow Up After Hospitalization For Mental Illness
30 days</c:v>
                </c:pt>
              </c:strCache>
            </c:strRef>
          </c:cat>
          <c:val>
            <c:numRef>
              <c:f>EPSDT!$C$11:$C$14</c:f>
              <c:numCache>
                <c:formatCode>0.00%</c:formatCode>
                <c:ptCount val="4"/>
                <c:pt idx="0">
                  <c:v>0.48249999999999998</c:v>
                </c:pt>
                <c:pt idx="1">
                  <c:v>0</c:v>
                </c:pt>
                <c:pt idx="2">
                  <c:v>0.72919999999999996</c:v>
                </c:pt>
                <c:pt idx="3">
                  <c:v>0.89580000000000004</c:v>
                </c:pt>
              </c:numCache>
            </c:numRef>
          </c:val>
          <c:extLst>
            <c:ext xmlns:c16="http://schemas.microsoft.com/office/drawing/2014/chart" uri="{C3380CC4-5D6E-409C-BE32-E72D297353CC}">
              <c16:uniqueId val="{00000001-8E21-41C3-9BDD-84000A193A4A}"/>
            </c:ext>
          </c:extLst>
        </c:ser>
        <c:ser>
          <c:idx val="1"/>
          <c:order val="1"/>
          <c:tx>
            <c:strRef>
              <c:f>EPSDT!$D$3</c:f>
              <c:strCache>
                <c:ptCount val="1"/>
                <c:pt idx="0">
                  <c:v>2020</c:v>
                </c:pt>
              </c:strCache>
            </c:strRef>
          </c:tx>
          <c:invertIfNegative val="0"/>
          <c:dLbls>
            <c:dLbl>
              <c:idx val="1"/>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E21-41C3-9BDD-84000A193A4A}"/>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EPSDT!$B$11:$B$14</c:f>
              <c:strCache>
                <c:ptCount val="4"/>
                <c:pt idx="0">
                  <c:v>Follow Up Care for ADHD Medication
Initiation</c:v>
                </c:pt>
                <c:pt idx="1">
                  <c:v>Follow Up Care for ADHD Medication 
Continuation &amp; Maintenance</c:v>
                </c:pt>
                <c:pt idx="2">
                  <c:v>Follow Up After Hospitalization For Mental Illness
7 days</c:v>
                </c:pt>
                <c:pt idx="3">
                  <c:v>Follow Up After Hospitalization For Mental Illness
30 days</c:v>
                </c:pt>
              </c:strCache>
            </c:strRef>
          </c:cat>
          <c:val>
            <c:numRef>
              <c:f>EPSDT!$D$11:$D$14</c:f>
              <c:numCache>
                <c:formatCode>0.00%</c:formatCode>
                <c:ptCount val="4"/>
                <c:pt idx="0">
                  <c:v>0.52631578950000002</c:v>
                </c:pt>
                <c:pt idx="1">
                  <c:v>0</c:v>
                </c:pt>
                <c:pt idx="2">
                  <c:v>0.49019607840000001</c:v>
                </c:pt>
                <c:pt idx="3">
                  <c:v>0.7843137255</c:v>
                </c:pt>
              </c:numCache>
            </c:numRef>
          </c:val>
          <c:extLst>
            <c:ext xmlns:c16="http://schemas.microsoft.com/office/drawing/2014/chart" uri="{C3380CC4-5D6E-409C-BE32-E72D297353CC}">
              <c16:uniqueId val="{00000003-8E21-41C3-9BDD-84000A193A4A}"/>
            </c:ext>
          </c:extLst>
        </c:ser>
        <c:dLbls>
          <c:showLegendKey val="0"/>
          <c:showVal val="0"/>
          <c:showCatName val="0"/>
          <c:showSerName val="0"/>
          <c:showPercent val="0"/>
          <c:showBubbleSize val="0"/>
        </c:dLbls>
        <c:gapWidth val="75"/>
        <c:overlap val="-25"/>
        <c:axId val="165733888"/>
        <c:axId val="165735424"/>
      </c:barChart>
      <c:catAx>
        <c:axId val="165733888"/>
        <c:scaling>
          <c:orientation val="minMax"/>
        </c:scaling>
        <c:delete val="0"/>
        <c:axPos val="b"/>
        <c:numFmt formatCode="General" sourceLinked="0"/>
        <c:majorTickMark val="none"/>
        <c:minorTickMark val="none"/>
        <c:tickLblPos val="nextTo"/>
        <c:crossAx val="165735424"/>
        <c:crosses val="autoZero"/>
        <c:auto val="1"/>
        <c:lblAlgn val="ctr"/>
        <c:lblOffset val="100"/>
        <c:noMultiLvlLbl val="0"/>
      </c:catAx>
      <c:valAx>
        <c:axId val="165735424"/>
        <c:scaling>
          <c:orientation val="minMax"/>
        </c:scaling>
        <c:delete val="0"/>
        <c:axPos val="l"/>
        <c:majorGridlines/>
        <c:numFmt formatCode="0.00%" sourceLinked="1"/>
        <c:majorTickMark val="none"/>
        <c:minorTickMark val="none"/>
        <c:tickLblPos val="nextTo"/>
        <c:crossAx val="165733888"/>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Respiratory Conditions</a:t>
            </a:r>
          </a:p>
        </c:rich>
      </c:tx>
      <c:overlay val="0"/>
    </c:title>
    <c:autoTitleDeleted val="0"/>
    <c:plotArea>
      <c:layout/>
      <c:barChart>
        <c:barDir val="col"/>
        <c:grouping val="clustered"/>
        <c:varyColors val="0"/>
        <c:ser>
          <c:idx val="0"/>
          <c:order val="0"/>
          <c:tx>
            <c:strRef>
              <c:f>Respiratory!$C$3</c:f>
              <c:strCache>
                <c:ptCount val="1"/>
                <c:pt idx="0">
                  <c:v>2021</c:v>
                </c:pt>
              </c:strCache>
            </c:strRef>
          </c:tx>
          <c:invertIfNegative val="0"/>
          <c:dLbls>
            <c:dLbl>
              <c:idx val="2"/>
              <c:layout>
                <c:manualLayout>
                  <c:x val="0"/>
                  <c:y val="8.8056581422897365E-3"/>
                </c:manualLayout>
              </c:layout>
              <c:tx>
                <c:rich>
                  <a:bodyPr/>
                  <a:lstStyle/>
                  <a:p>
                    <a:fld id="{F6C56911-1D72-4FBB-8777-9CDF331BFCF7}"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A1A-4DA8-BE35-44B24A97AA81}"/>
                </c:ext>
              </c:extLst>
            </c:dLbl>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Respiratory!$B$4:$B$6</c:f>
              <c:strCache>
                <c:ptCount val="3"/>
                <c:pt idx="0">
                  <c:v>Appropriate Testing
for Pharyngitis (Total)</c:v>
                </c:pt>
                <c:pt idx="1">
                  <c:v>Appropriate Treatment for Upper Respiratory Infection (Total)</c:v>
                </c:pt>
                <c:pt idx="2">
                  <c:v>Annual Number of Asthma Patients with One or More Asthma-Related Emergency Room Visits</c:v>
                </c:pt>
              </c:strCache>
            </c:strRef>
          </c:cat>
          <c:val>
            <c:numRef>
              <c:f>Respiratory!$C$4:$C$6</c:f>
              <c:numCache>
                <c:formatCode>0.00%</c:formatCode>
                <c:ptCount val="3"/>
                <c:pt idx="0">
                  <c:v>0.84379999999999999</c:v>
                </c:pt>
                <c:pt idx="1">
                  <c:v>0.94840000000000002</c:v>
                </c:pt>
                <c:pt idx="2">
                  <c:v>3.5400000000000001E-2</c:v>
                </c:pt>
              </c:numCache>
            </c:numRef>
          </c:val>
          <c:extLst>
            <c:ext xmlns:c16="http://schemas.microsoft.com/office/drawing/2014/chart" uri="{C3380CC4-5D6E-409C-BE32-E72D297353CC}">
              <c16:uniqueId val="{00000001-EA1A-4DA8-BE35-44B24A97AA81}"/>
            </c:ext>
          </c:extLst>
        </c:ser>
        <c:ser>
          <c:idx val="1"/>
          <c:order val="1"/>
          <c:tx>
            <c:strRef>
              <c:f>Respiratory!$D$3</c:f>
              <c:strCache>
                <c:ptCount val="1"/>
                <c:pt idx="0">
                  <c:v>2020</c:v>
                </c:pt>
              </c:strCache>
            </c:strRef>
          </c:tx>
          <c:invertIfNegative val="0"/>
          <c:dLbls>
            <c:dLbl>
              <c:idx val="2"/>
              <c:layout>
                <c:manualLayout>
                  <c:x val="1.851851851851716E-3"/>
                  <c:y val="9.813021159965516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1A-4DA8-BE35-44B24A97AA81}"/>
                </c:ext>
              </c:extLst>
            </c:dLbl>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Respiratory!$B$4:$B$6</c:f>
              <c:strCache>
                <c:ptCount val="3"/>
                <c:pt idx="0">
                  <c:v>Appropriate Testing
for Pharyngitis (Total)</c:v>
                </c:pt>
                <c:pt idx="1">
                  <c:v>Appropriate Treatment for Upper Respiratory Infection (Total)</c:v>
                </c:pt>
                <c:pt idx="2">
                  <c:v>Annual Number of Asthma Patients with One or More Asthma-Related Emergency Room Visits</c:v>
                </c:pt>
              </c:strCache>
            </c:strRef>
          </c:cat>
          <c:val>
            <c:numRef>
              <c:f>Respiratory!$D$4:$D$6</c:f>
              <c:numCache>
                <c:formatCode>0.00%</c:formatCode>
                <c:ptCount val="3"/>
                <c:pt idx="0">
                  <c:v>0.87627811860000004</c:v>
                </c:pt>
                <c:pt idx="1">
                  <c:v>0.91656516440000002</c:v>
                </c:pt>
                <c:pt idx="2">
                  <c:v>6.2100000000000002E-2</c:v>
                </c:pt>
              </c:numCache>
            </c:numRef>
          </c:val>
          <c:extLst>
            <c:ext xmlns:c16="http://schemas.microsoft.com/office/drawing/2014/chart" uri="{C3380CC4-5D6E-409C-BE32-E72D297353CC}">
              <c16:uniqueId val="{00000003-EA1A-4DA8-BE35-44B24A97AA81}"/>
            </c:ext>
          </c:extLst>
        </c:ser>
        <c:dLbls>
          <c:showLegendKey val="0"/>
          <c:showVal val="0"/>
          <c:showCatName val="0"/>
          <c:showSerName val="0"/>
          <c:showPercent val="0"/>
          <c:showBubbleSize val="0"/>
        </c:dLbls>
        <c:gapWidth val="75"/>
        <c:overlap val="-25"/>
        <c:axId val="165911168"/>
        <c:axId val="165933440"/>
      </c:barChart>
      <c:catAx>
        <c:axId val="165911168"/>
        <c:scaling>
          <c:orientation val="minMax"/>
        </c:scaling>
        <c:delete val="0"/>
        <c:axPos val="b"/>
        <c:numFmt formatCode="General" sourceLinked="0"/>
        <c:majorTickMark val="none"/>
        <c:minorTickMark val="none"/>
        <c:tickLblPos val="nextTo"/>
        <c:crossAx val="165933440"/>
        <c:crosses val="autoZero"/>
        <c:auto val="1"/>
        <c:lblAlgn val="ctr"/>
        <c:lblOffset val="100"/>
        <c:noMultiLvlLbl val="0"/>
      </c:catAx>
      <c:valAx>
        <c:axId val="165933440"/>
        <c:scaling>
          <c:orientation val="minMax"/>
          <c:max val="1"/>
        </c:scaling>
        <c:delete val="0"/>
        <c:axPos val="l"/>
        <c:majorGridlines/>
        <c:numFmt formatCode="0.00%" sourceLinked="1"/>
        <c:majorTickMark val="none"/>
        <c:minorTickMark val="none"/>
        <c:tickLblPos val="nextTo"/>
        <c:crossAx val="165911168"/>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Weight Assessment and Counseling for Nutrition and Physical Activity for Children/Adolescents</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Care'!$B$6:$B$12</c:f>
              <c:strCache>
                <c:ptCount val="3"/>
                <c:pt idx="0">
                  <c:v>BMI Percentile 
3 - 17 Years</c:v>
                </c:pt>
                <c:pt idx="1">
                  <c:v>Counseling for Nutrition 
3 - 17 Years</c:v>
                </c:pt>
                <c:pt idx="2">
                  <c:v>Counseling for Physical Activity 
3 - 17 Years</c:v>
                </c:pt>
              </c:strCache>
            </c:strRef>
          </c:cat>
          <c:val>
            <c:numRef>
              <c:f>'Well Care'!$C$6:$C$12</c:f>
              <c:numCache>
                <c:formatCode>0.00%</c:formatCode>
                <c:ptCount val="3"/>
                <c:pt idx="0">
                  <c:v>0.84919999999999995</c:v>
                </c:pt>
                <c:pt idx="1">
                  <c:v>0.77049999999999996</c:v>
                </c:pt>
                <c:pt idx="2">
                  <c:v>0.75739999999999996</c:v>
                </c:pt>
              </c:numCache>
            </c:numRef>
          </c:val>
          <c:extLst>
            <c:ext xmlns:c16="http://schemas.microsoft.com/office/drawing/2014/chart" uri="{C3380CC4-5D6E-409C-BE32-E72D297353CC}">
              <c16:uniqueId val="{00000000-01D0-4FAB-A642-94CB2B3414FB}"/>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Care'!$B$6:$B$12</c:f>
              <c:strCache>
                <c:ptCount val="3"/>
                <c:pt idx="0">
                  <c:v>BMI Percentile 
3 - 17 Years</c:v>
                </c:pt>
                <c:pt idx="1">
                  <c:v>Counseling for Nutrition 
3 - 17 Years</c:v>
                </c:pt>
                <c:pt idx="2">
                  <c:v>Counseling for Physical Activity 
3 - 17 Years</c:v>
                </c:pt>
              </c:strCache>
            </c:strRef>
          </c:cat>
          <c:val>
            <c:numRef>
              <c:f>'Well Care'!$D$6:$D$12</c:f>
              <c:numCache>
                <c:formatCode>0.00%</c:formatCode>
                <c:ptCount val="3"/>
                <c:pt idx="0">
                  <c:v>0.84166666670000001</c:v>
                </c:pt>
                <c:pt idx="1">
                  <c:v>0.76666666670000005</c:v>
                </c:pt>
                <c:pt idx="2">
                  <c:v>0.76388888889999995</c:v>
                </c:pt>
              </c:numCache>
            </c:numRef>
          </c:val>
          <c:extLst>
            <c:ext xmlns:c16="http://schemas.microsoft.com/office/drawing/2014/chart" uri="{C3380CC4-5D6E-409C-BE32-E72D297353CC}">
              <c16:uniqueId val="{00000001-01D0-4FAB-A642-94CB2B3414FB}"/>
            </c:ext>
          </c:extLst>
        </c:ser>
        <c:dLbls>
          <c:showLegendKey val="0"/>
          <c:showVal val="0"/>
          <c:showCatName val="0"/>
          <c:showSerName val="0"/>
          <c:showPercent val="0"/>
          <c:showBubbleSize val="0"/>
        </c:dLbls>
        <c:gapWidth val="75"/>
        <c:overlap val="-25"/>
        <c:axId val="165964416"/>
        <c:axId val="165970304"/>
      </c:barChart>
      <c:catAx>
        <c:axId val="165964416"/>
        <c:scaling>
          <c:orientation val="minMax"/>
        </c:scaling>
        <c:delete val="0"/>
        <c:axPos val="b"/>
        <c:numFmt formatCode="General" sourceLinked="0"/>
        <c:majorTickMark val="none"/>
        <c:minorTickMark val="none"/>
        <c:tickLblPos val="nextTo"/>
        <c:crossAx val="165970304"/>
        <c:crosses val="autoZero"/>
        <c:auto val="1"/>
        <c:lblAlgn val="ctr"/>
        <c:lblOffset val="100"/>
        <c:noMultiLvlLbl val="0"/>
      </c:catAx>
      <c:valAx>
        <c:axId val="165970304"/>
        <c:scaling>
          <c:orientation val="minMax"/>
          <c:max val="0.9"/>
          <c:min val="0"/>
        </c:scaling>
        <c:delete val="0"/>
        <c:axPos val="l"/>
        <c:majorGridlines/>
        <c:numFmt formatCode="0.00%" sourceLinked="1"/>
        <c:majorTickMark val="none"/>
        <c:minorTickMark val="none"/>
        <c:tickLblPos val="nextTo"/>
        <c:crossAx val="165964416"/>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Childhood Immunization Status I</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Care'!$B$13:$B$22</c:f>
              <c:strCache>
                <c:ptCount val="10"/>
                <c:pt idx="0">
                  <c:v>DTaP</c:v>
                </c:pt>
                <c:pt idx="1">
                  <c:v>IPV</c:v>
                </c:pt>
                <c:pt idx="2">
                  <c:v>MMR</c:v>
                </c:pt>
                <c:pt idx="3">
                  <c:v>HiB</c:v>
                </c:pt>
                <c:pt idx="4">
                  <c:v>Hepatitis B</c:v>
                </c:pt>
                <c:pt idx="5">
                  <c:v>VZV</c:v>
                </c:pt>
                <c:pt idx="6">
                  <c:v>Pneumococcal Conjugate</c:v>
                </c:pt>
                <c:pt idx="7">
                  <c:v>Hepatitis A</c:v>
                </c:pt>
                <c:pt idx="8">
                  <c:v>Rotavirus</c:v>
                </c:pt>
                <c:pt idx="9">
                  <c:v>Influenza</c:v>
                </c:pt>
              </c:strCache>
            </c:strRef>
          </c:cat>
          <c:val>
            <c:numRef>
              <c:f>'Well Care'!$C$13:$C$22</c:f>
              <c:numCache>
                <c:formatCode>0.00%</c:formatCode>
                <c:ptCount val="10"/>
                <c:pt idx="0">
                  <c:v>0.86439999999999995</c:v>
                </c:pt>
                <c:pt idx="1">
                  <c:v>0.9153</c:v>
                </c:pt>
                <c:pt idx="2">
                  <c:v>0.9153</c:v>
                </c:pt>
                <c:pt idx="3">
                  <c:v>0.90680000000000005</c:v>
                </c:pt>
                <c:pt idx="4">
                  <c:v>0.88980000000000004</c:v>
                </c:pt>
                <c:pt idx="5">
                  <c:v>0.89829999999999999</c:v>
                </c:pt>
                <c:pt idx="6">
                  <c:v>0.84750000000000003</c:v>
                </c:pt>
                <c:pt idx="7">
                  <c:v>0.86439999999999995</c:v>
                </c:pt>
                <c:pt idx="8">
                  <c:v>0.78810000000000002</c:v>
                </c:pt>
                <c:pt idx="9">
                  <c:v>0.55930000000000002</c:v>
                </c:pt>
              </c:numCache>
            </c:numRef>
          </c:val>
          <c:extLst>
            <c:ext xmlns:c16="http://schemas.microsoft.com/office/drawing/2014/chart" uri="{C3380CC4-5D6E-409C-BE32-E72D297353CC}">
              <c16:uniqueId val="{00000000-FE8A-4528-AF67-0E9DAC4FB827}"/>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Care'!$B$13:$B$22</c:f>
              <c:strCache>
                <c:ptCount val="10"/>
                <c:pt idx="0">
                  <c:v>DTaP</c:v>
                </c:pt>
                <c:pt idx="1">
                  <c:v>IPV</c:v>
                </c:pt>
                <c:pt idx="2">
                  <c:v>MMR</c:v>
                </c:pt>
                <c:pt idx="3">
                  <c:v>HiB</c:v>
                </c:pt>
                <c:pt idx="4">
                  <c:v>Hepatitis B</c:v>
                </c:pt>
                <c:pt idx="5">
                  <c:v>VZV</c:v>
                </c:pt>
                <c:pt idx="6">
                  <c:v>Pneumococcal Conjugate</c:v>
                </c:pt>
                <c:pt idx="7">
                  <c:v>Hepatitis A</c:v>
                </c:pt>
                <c:pt idx="8">
                  <c:v>Rotavirus</c:v>
                </c:pt>
                <c:pt idx="9">
                  <c:v>Influenza</c:v>
                </c:pt>
              </c:strCache>
            </c:strRef>
          </c:cat>
          <c:val>
            <c:numRef>
              <c:f>'Well Care'!$D$13:$D$22</c:f>
              <c:numCache>
                <c:formatCode>0.00%</c:formatCode>
                <c:ptCount val="10"/>
                <c:pt idx="0">
                  <c:v>0.81034482760000004</c:v>
                </c:pt>
                <c:pt idx="1">
                  <c:v>0.82758620689999995</c:v>
                </c:pt>
                <c:pt idx="2">
                  <c:v>0.86206896550000001</c:v>
                </c:pt>
                <c:pt idx="3">
                  <c:v>0.84482758619999998</c:v>
                </c:pt>
                <c:pt idx="4">
                  <c:v>0.82758620689999995</c:v>
                </c:pt>
                <c:pt idx="5">
                  <c:v>0.85344827590000005</c:v>
                </c:pt>
                <c:pt idx="6">
                  <c:v>0.81034482760000004</c:v>
                </c:pt>
                <c:pt idx="7">
                  <c:v>0.82758620689999995</c:v>
                </c:pt>
                <c:pt idx="8">
                  <c:v>0.72413793100000001</c:v>
                </c:pt>
                <c:pt idx="9">
                  <c:v>0.56896551719999999</c:v>
                </c:pt>
              </c:numCache>
            </c:numRef>
          </c:val>
          <c:extLst>
            <c:ext xmlns:c16="http://schemas.microsoft.com/office/drawing/2014/chart" uri="{C3380CC4-5D6E-409C-BE32-E72D297353CC}">
              <c16:uniqueId val="{00000001-FE8A-4528-AF67-0E9DAC4FB827}"/>
            </c:ext>
          </c:extLst>
        </c:ser>
        <c:dLbls>
          <c:showLegendKey val="0"/>
          <c:showVal val="0"/>
          <c:showCatName val="0"/>
          <c:showSerName val="0"/>
          <c:showPercent val="0"/>
          <c:showBubbleSize val="0"/>
        </c:dLbls>
        <c:gapWidth val="75"/>
        <c:overlap val="-25"/>
        <c:axId val="165988992"/>
        <c:axId val="166011264"/>
      </c:barChart>
      <c:catAx>
        <c:axId val="165988992"/>
        <c:scaling>
          <c:orientation val="minMax"/>
        </c:scaling>
        <c:delete val="0"/>
        <c:axPos val="b"/>
        <c:numFmt formatCode="General" sourceLinked="0"/>
        <c:majorTickMark val="none"/>
        <c:minorTickMark val="none"/>
        <c:tickLblPos val="nextTo"/>
        <c:txPr>
          <a:bodyPr rot="0" vert="horz" anchor="ctr" anchorCtr="1"/>
          <a:lstStyle/>
          <a:p>
            <a:pPr>
              <a:defRPr sz="700"/>
            </a:pPr>
            <a:endParaRPr lang="en-US"/>
          </a:p>
        </c:txPr>
        <c:crossAx val="166011264"/>
        <c:crosses val="autoZero"/>
        <c:auto val="1"/>
        <c:lblAlgn val="ctr"/>
        <c:lblOffset val="100"/>
        <c:noMultiLvlLbl val="0"/>
      </c:catAx>
      <c:valAx>
        <c:axId val="166011264"/>
        <c:scaling>
          <c:orientation val="minMax"/>
        </c:scaling>
        <c:delete val="0"/>
        <c:axPos val="l"/>
        <c:majorGridlines/>
        <c:numFmt formatCode="0.00%" sourceLinked="1"/>
        <c:majorTickMark val="none"/>
        <c:minorTickMark val="none"/>
        <c:tickLblPos val="nextTo"/>
        <c:crossAx val="16598899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Childhood Immunization Status II</a:t>
            </a:r>
            <a:endParaRPr lang="en-US" sz="1200"/>
          </a:p>
        </c:rich>
      </c:tx>
      <c:overlay val="0"/>
    </c:title>
    <c:autoTitleDeleted val="0"/>
    <c:plotArea>
      <c:layout/>
      <c:barChart>
        <c:barDir val="col"/>
        <c:grouping val="clustered"/>
        <c:varyColors val="0"/>
        <c:ser>
          <c:idx val="0"/>
          <c:order val="0"/>
          <c:tx>
            <c:strRef>
              <c:f>'Well Care'!$C$3</c:f>
              <c:strCache>
                <c:ptCount val="1"/>
                <c:pt idx="0">
                  <c:v>2021</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Care'!$B$23:$B$31</c:f>
              <c:strCache>
                <c:ptCount val="9"/>
                <c:pt idx="0">
                  <c:v>Combo 2</c:v>
                </c:pt>
                <c:pt idx="1">
                  <c:v>Combo 3</c:v>
                </c:pt>
                <c:pt idx="2">
                  <c:v>Combo 4</c:v>
                </c:pt>
                <c:pt idx="3">
                  <c:v>Combo 5</c:v>
                </c:pt>
                <c:pt idx="4">
                  <c:v>Combo 6</c:v>
                </c:pt>
                <c:pt idx="5">
                  <c:v>Combo7</c:v>
                </c:pt>
                <c:pt idx="6">
                  <c:v>Combo 8</c:v>
                </c:pt>
                <c:pt idx="7">
                  <c:v>Combo 9</c:v>
                </c:pt>
                <c:pt idx="8">
                  <c:v>Combo 10</c:v>
                </c:pt>
              </c:strCache>
            </c:strRef>
          </c:cat>
          <c:val>
            <c:numRef>
              <c:f>'Well Care'!$C$23:$C$31</c:f>
              <c:numCache>
                <c:formatCode>0.00%</c:formatCode>
                <c:ptCount val="9"/>
                <c:pt idx="0">
                  <c:v>0.82199999999999995</c:v>
                </c:pt>
                <c:pt idx="1">
                  <c:v>0.78810000000000002</c:v>
                </c:pt>
                <c:pt idx="2">
                  <c:v>0.76270000000000004</c:v>
                </c:pt>
                <c:pt idx="3">
                  <c:v>0.72030000000000005</c:v>
                </c:pt>
                <c:pt idx="4">
                  <c:v>0.5</c:v>
                </c:pt>
                <c:pt idx="5">
                  <c:v>0.69489999999999996</c:v>
                </c:pt>
                <c:pt idx="6">
                  <c:v>0.49149999999999999</c:v>
                </c:pt>
                <c:pt idx="7">
                  <c:v>0.45760000000000001</c:v>
                </c:pt>
                <c:pt idx="8">
                  <c:v>0.44919999999999999</c:v>
                </c:pt>
              </c:numCache>
            </c:numRef>
          </c:val>
          <c:extLst>
            <c:ext xmlns:c16="http://schemas.microsoft.com/office/drawing/2014/chart" uri="{C3380CC4-5D6E-409C-BE32-E72D297353CC}">
              <c16:uniqueId val="{00000000-F388-4F1F-B5D6-A4709374877F}"/>
            </c:ext>
          </c:extLst>
        </c:ser>
        <c:ser>
          <c:idx val="1"/>
          <c:order val="1"/>
          <c:tx>
            <c:strRef>
              <c:f>'Well Care'!$D$3</c:f>
              <c:strCache>
                <c:ptCount val="1"/>
                <c:pt idx="0">
                  <c:v>2020</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Care'!$B$23:$B$31</c:f>
              <c:strCache>
                <c:ptCount val="9"/>
                <c:pt idx="0">
                  <c:v>Combo 2</c:v>
                </c:pt>
                <c:pt idx="1">
                  <c:v>Combo 3</c:v>
                </c:pt>
                <c:pt idx="2">
                  <c:v>Combo 4</c:v>
                </c:pt>
                <c:pt idx="3">
                  <c:v>Combo 5</c:v>
                </c:pt>
                <c:pt idx="4">
                  <c:v>Combo 6</c:v>
                </c:pt>
                <c:pt idx="5">
                  <c:v>Combo7</c:v>
                </c:pt>
                <c:pt idx="6">
                  <c:v>Combo 8</c:v>
                </c:pt>
                <c:pt idx="7">
                  <c:v>Combo 9</c:v>
                </c:pt>
                <c:pt idx="8">
                  <c:v>Combo 10</c:v>
                </c:pt>
              </c:strCache>
            </c:strRef>
          </c:cat>
          <c:val>
            <c:numRef>
              <c:f>'Well Care'!$D$23:$D$31</c:f>
              <c:numCache>
                <c:formatCode>0.00%</c:formatCode>
                <c:ptCount val="9"/>
                <c:pt idx="0">
                  <c:v>0.76724137930000003</c:v>
                </c:pt>
                <c:pt idx="1">
                  <c:v>0.74137931030000004</c:v>
                </c:pt>
                <c:pt idx="2">
                  <c:v>0.70689655169999999</c:v>
                </c:pt>
                <c:pt idx="3">
                  <c:v>0.65517241380000002</c:v>
                </c:pt>
                <c:pt idx="4">
                  <c:v>0.51724137930000003</c:v>
                </c:pt>
                <c:pt idx="5">
                  <c:v>0.62931034480000003</c:v>
                </c:pt>
                <c:pt idx="6">
                  <c:v>0.51724137930000003</c:v>
                </c:pt>
                <c:pt idx="7">
                  <c:v>0.48275862069999997</c:v>
                </c:pt>
                <c:pt idx="8">
                  <c:v>0.48275862069999997</c:v>
                </c:pt>
              </c:numCache>
            </c:numRef>
          </c:val>
          <c:extLst>
            <c:ext xmlns:c16="http://schemas.microsoft.com/office/drawing/2014/chart" uri="{C3380CC4-5D6E-409C-BE32-E72D297353CC}">
              <c16:uniqueId val="{00000001-F388-4F1F-B5D6-A4709374877F}"/>
            </c:ext>
          </c:extLst>
        </c:ser>
        <c:dLbls>
          <c:showLegendKey val="0"/>
          <c:showVal val="0"/>
          <c:showCatName val="0"/>
          <c:showSerName val="0"/>
          <c:showPercent val="0"/>
          <c:showBubbleSize val="0"/>
        </c:dLbls>
        <c:gapWidth val="75"/>
        <c:overlap val="-25"/>
        <c:axId val="166034432"/>
        <c:axId val="166040320"/>
      </c:barChart>
      <c:catAx>
        <c:axId val="166034432"/>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166040320"/>
        <c:crosses val="autoZero"/>
        <c:auto val="1"/>
        <c:lblAlgn val="ctr"/>
        <c:lblOffset val="100"/>
        <c:noMultiLvlLbl val="0"/>
      </c:catAx>
      <c:valAx>
        <c:axId val="166040320"/>
        <c:scaling>
          <c:orientation val="minMax"/>
        </c:scaling>
        <c:delete val="0"/>
        <c:axPos val="l"/>
        <c:majorGridlines/>
        <c:numFmt formatCode="0.00%" sourceLinked="1"/>
        <c:majorTickMark val="none"/>
        <c:minorTickMark val="none"/>
        <c:tickLblPos val="nextTo"/>
        <c:crossAx val="1660344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A1984B6A6B474AA07EA1C7DEED4139" ma:contentTypeVersion="1" ma:contentTypeDescription="Create a new document." ma:contentTypeScope="" ma:versionID="ce5d5b00f87fe5097ac9993e3ec6a25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8BF19D-9832-4118-8EB9-543DFD927813}">
  <ds:schemaRefs>
    <ds:schemaRef ds:uri="http://schemas.openxmlformats.org/officeDocument/2006/bibliography"/>
  </ds:schemaRefs>
</ds:datastoreItem>
</file>

<file path=customXml/itemProps2.xml><?xml version="1.0" encoding="utf-8"?>
<ds:datastoreItem xmlns:ds="http://schemas.openxmlformats.org/officeDocument/2006/customXml" ds:itemID="{90286333-891D-4536-9AEF-6E6D6191847B}"/>
</file>

<file path=customXml/itemProps3.xml><?xml version="1.0" encoding="utf-8"?>
<ds:datastoreItem xmlns:ds="http://schemas.openxmlformats.org/officeDocument/2006/customXml" ds:itemID="{9E8ED5B1-8906-4D0A-BDB9-CAD64DF53FEE}"/>
</file>

<file path=customXml/itemProps4.xml><?xml version="1.0" encoding="utf-8"?>
<ds:datastoreItem xmlns:ds="http://schemas.openxmlformats.org/officeDocument/2006/customXml" ds:itemID="{5C4A82DB-1931-44B4-B7B4-E9B89F7537B5}"/>
</file>

<file path=docProps/app.xml><?xml version="1.0" encoding="utf-8"?>
<Properties xmlns="http://schemas.openxmlformats.org/officeDocument/2006/extended-properties" xmlns:vt="http://schemas.openxmlformats.org/officeDocument/2006/docPropsVTypes">
  <Template>Normal</Template>
  <TotalTime>2</TotalTime>
  <Pages>59</Pages>
  <Words>20824</Words>
  <Characters>118700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Bransfield</dc:creator>
  <cp:lastModifiedBy>Elizabeth Bransfield</cp:lastModifiedBy>
  <cp:revision>2</cp:revision>
  <cp:lastPrinted>2021-04-29T21:37:00Z</cp:lastPrinted>
  <dcterms:created xsi:type="dcterms:W3CDTF">2022-04-22T13:35:00Z</dcterms:created>
  <dcterms:modified xsi:type="dcterms:W3CDTF">2022-04-22T13:35:00Z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0x0101002FA1984B6A6B474AA07EA1C7DEED4139</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