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docx" ContentType="application/vnd.openxmlformats-officedocument.wordprocessingml.document"/>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8A98" w14:textId="0B9A6397" w:rsidR="00C9378F" w:rsidRPr="00F7033D" w:rsidRDefault="00C9378F" w:rsidP="009F20D7">
      <w:pPr>
        <w:spacing w:before="6840"/>
      </w:pPr>
      <w:r w:rsidRPr="00F7033D">
        <w:rPr>
          <w:rFonts w:cs="Arial"/>
          <w:b/>
          <w:noProof/>
          <w:color w:val="534672"/>
          <w:sz w:val="40"/>
          <w:szCs w:val="40"/>
          <w:lang w:bidi="ar-SA"/>
        </w:rPr>
        <w:drawing>
          <wp:anchor distT="0" distB="0" distL="114300" distR="114300" simplePos="0" relativeHeight="251656704" behindDoc="1" locked="0" layoutInCell="1" allowOverlap="1" wp14:anchorId="25B5604B" wp14:editId="6E617EB7">
            <wp:simplePos x="0" y="0"/>
            <wp:positionH relativeFrom="margin">
              <wp:align>left</wp:align>
            </wp:positionH>
            <wp:positionV relativeFrom="margin">
              <wp:align>top</wp:align>
            </wp:positionV>
            <wp:extent cx="6858000" cy="3690236"/>
            <wp:effectExtent l="0" t="0" r="0" b="5715"/>
            <wp:wrapNone/>
            <wp:docPr id="2" name="Picture 2" descr="IPRO_blocks2017-1710x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RO_blocks2017-1710x890"/>
                    <pic:cNvPicPr>
                      <a:picLocks noChangeAspect="1" noChangeArrowheads="1"/>
                    </pic:cNvPicPr>
                  </pic:nvPicPr>
                  <pic:blipFill>
                    <a:blip r:embed="rId8" cstate="print">
                      <a:extLst>
                        <a:ext uri="{28A0092B-C50C-407E-A947-70E740481C1C}">
                          <a14:useLocalDpi xmlns:a14="http://schemas.microsoft.com/office/drawing/2010/main" val="0"/>
                        </a:ext>
                      </a:extLst>
                    </a:blip>
                    <a:srcRect l="1515" r="1895"/>
                    <a:stretch>
                      <a:fillRect/>
                    </a:stretch>
                  </pic:blipFill>
                  <pic:spPr bwMode="auto">
                    <a:xfrm>
                      <a:off x="0" y="0"/>
                      <a:ext cx="6858000" cy="3690236"/>
                    </a:xfrm>
                    <a:prstGeom prst="rect">
                      <a:avLst/>
                    </a:prstGeom>
                    <a:noFill/>
                    <a:ln>
                      <a:noFill/>
                    </a:ln>
                  </pic:spPr>
                </pic:pic>
              </a:graphicData>
            </a:graphic>
            <wp14:sizeRelH relativeFrom="page">
              <wp14:pctWidth>0</wp14:pctWidth>
            </wp14:sizeRelH>
            <wp14:sizeRelV relativeFrom="page">
              <wp14:pctHeight>0</wp14:pctHeight>
            </wp14:sizeRelV>
          </wp:anchor>
        </w:drawing>
      </w:r>
      <w:r w:rsidR="00D2404C">
        <w:t>.</w:t>
      </w:r>
    </w:p>
    <w:p w14:paraId="451AEB72" w14:textId="18CAC8EA" w:rsidR="00C9378F" w:rsidRPr="00F7033D" w:rsidRDefault="00C9378F" w:rsidP="00C9378F">
      <w:pPr>
        <w:rPr>
          <w:b/>
          <w:color w:val="5F497A" w:themeColor="accent4" w:themeShade="BF"/>
          <w:sz w:val="40"/>
          <w:szCs w:val="40"/>
        </w:rPr>
      </w:pPr>
      <w:r w:rsidRPr="00F7033D">
        <w:rPr>
          <w:b/>
          <w:color w:val="5F497A" w:themeColor="accent4" w:themeShade="BF"/>
          <w:sz w:val="40"/>
          <w:szCs w:val="40"/>
        </w:rPr>
        <w:t xml:space="preserve">Commonwealth </w:t>
      </w:r>
      <w:r w:rsidR="008B5AE0" w:rsidRPr="00F7033D">
        <w:rPr>
          <w:b/>
          <w:color w:val="5F497A" w:themeColor="accent4" w:themeShade="BF"/>
          <w:sz w:val="40"/>
          <w:szCs w:val="40"/>
        </w:rPr>
        <w:t xml:space="preserve">of </w:t>
      </w:r>
      <w:r w:rsidRPr="00F7033D">
        <w:rPr>
          <w:b/>
          <w:color w:val="5F497A" w:themeColor="accent4" w:themeShade="BF"/>
          <w:sz w:val="40"/>
          <w:szCs w:val="40"/>
        </w:rPr>
        <w:t>Pennsylvania</w:t>
      </w:r>
    </w:p>
    <w:p w14:paraId="34C756F2" w14:textId="77777777" w:rsidR="00C9378F" w:rsidRPr="00F7033D" w:rsidRDefault="00C9378F" w:rsidP="00C9378F">
      <w:pPr>
        <w:rPr>
          <w:b/>
          <w:color w:val="5F497A" w:themeColor="accent4" w:themeShade="BF"/>
          <w:sz w:val="40"/>
          <w:szCs w:val="40"/>
        </w:rPr>
      </w:pPr>
      <w:r w:rsidRPr="00F7033D">
        <w:rPr>
          <w:b/>
          <w:color w:val="5F497A" w:themeColor="accent4" w:themeShade="BF"/>
          <w:sz w:val="40"/>
          <w:szCs w:val="40"/>
        </w:rPr>
        <w:t>Department of Human Services</w:t>
      </w:r>
    </w:p>
    <w:p w14:paraId="5E5F5648" w14:textId="77777777" w:rsidR="00C9378F" w:rsidRPr="00F7033D" w:rsidRDefault="00C9378F" w:rsidP="00C9378F">
      <w:pPr>
        <w:rPr>
          <w:b/>
          <w:color w:val="5F497A" w:themeColor="accent4" w:themeShade="BF"/>
          <w:sz w:val="40"/>
          <w:szCs w:val="40"/>
        </w:rPr>
      </w:pPr>
      <w:r w:rsidRPr="00F7033D">
        <w:rPr>
          <w:b/>
          <w:color w:val="5F497A" w:themeColor="accent4" w:themeShade="BF"/>
          <w:sz w:val="40"/>
          <w:szCs w:val="40"/>
        </w:rPr>
        <w:t>Children’s Health Insurance Program</w:t>
      </w:r>
    </w:p>
    <w:p w14:paraId="0A7DF63B" w14:textId="77777777" w:rsidR="00C9378F" w:rsidRPr="00F7033D" w:rsidRDefault="00C9378F" w:rsidP="00C9378F">
      <w:pPr>
        <w:rPr>
          <w:b/>
          <w:sz w:val="32"/>
          <w:szCs w:val="32"/>
        </w:rPr>
      </w:pPr>
    </w:p>
    <w:p w14:paraId="1D5BE265" w14:textId="34733C0E" w:rsidR="00C9378F" w:rsidRPr="00F7033D" w:rsidRDefault="00C9378F" w:rsidP="00C9378F">
      <w:pPr>
        <w:rPr>
          <w:b/>
          <w:sz w:val="32"/>
          <w:szCs w:val="32"/>
        </w:rPr>
      </w:pPr>
      <w:r w:rsidRPr="00F7033D">
        <w:rPr>
          <w:b/>
          <w:sz w:val="32"/>
          <w:szCs w:val="32"/>
        </w:rPr>
        <w:t>20</w:t>
      </w:r>
      <w:r w:rsidR="00AD3F7D" w:rsidRPr="00F7033D">
        <w:rPr>
          <w:b/>
          <w:sz w:val="32"/>
          <w:szCs w:val="32"/>
        </w:rPr>
        <w:t>2</w:t>
      </w:r>
      <w:r w:rsidR="004602C2">
        <w:rPr>
          <w:b/>
          <w:sz w:val="32"/>
          <w:szCs w:val="32"/>
        </w:rPr>
        <w:t>2</w:t>
      </w:r>
      <w:r w:rsidRPr="00F7033D">
        <w:rPr>
          <w:b/>
          <w:sz w:val="32"/>
          <w:szCs w:val="32"/>
        </w:rPr>
        <w:t xml:space="preserve"> External Quality Review Report</w:t>
      </w:r>
    </w:p>
    <w:p w14:paraId="16DB7455" w14:textId="0CE5EEE9" w:rsidR="00C9378F" w:rsidRDefault="00AB379C" w:rsidP="00C9378F">
      <w:pPr>
        <w:rPr>
          <w:b/>
          <w:sz w:val="32"/>
          <w:szCs w:val="32"/>
        </w:rPr>
      </w:pPr>
      <w:r>
        <w:rPr>
          <w:b/>
          <w:sz w:val="32"/>
          <w:szCs w:val="32"/>
        </w:rPr>
        <w:t>UPMC for Kids</w:t>
      </w:r>
    </w:p>
    <w:p w14:paraId="424F67F9" w14:textId="77777777" w:rsidR="006E29DC" w:rsidRPr="00F7033D" w:rsidRDefault="006E29DC" w:rsidP="00C9378F"/>
    <w:p w14:paraId="7C0A8E82" w14:textId="0575B62C" w:rsidR="00C9378F" w:rsidRPr="00F7033D" w:rsidRDefault="00885A0E" w:rsidP="00C9378F">
      <w:pPr>
        <w:rPr>
          <w:rFonts w:ascii="Arial Black" w:hAnsi="Arial Black"/>
          <w:sz w:val="28"/>
          <w:szCs w:val="28"/>
        </w:rPr>
      </w:pPr>
      <w:r>
        <w:rPr>
          <w:sz w:val="28"/>
          <w:szCs w:val="28"/>
        </w:rPr>
        <w:t>Final</w:t>
      </w:r>
      <w:r w:rsidR="00C9378F" w:rsidRPr="00F7033D">
        <w:rPr>
          <w:sz w:val="28"/>
          <w:szCs w:val="28"/>
        </w:rPr>
        <w:t xml:space="preserve"> Report</w:t>
      </w:r>
      <w:r w:rsidR="00FA30AD" w:rsidRPr="00F7033D">
        <w:rPr>
          <w:sz w:val="28"/>
          <w:szCs w:val="28"/>
        </w:rPr>
        <w:t xml:space="preserve"> </w:t>
      </w:r>
    </w:p>
    <w:p w14:paraId="3C0A02D2" w14:textId="028B703D" w:rsidR="00C9378F" w:rsidRPr="00F7033D" w:rsidRDefault="00B80F98" w:rsidP="00C9378F">
      <w:pPr>
        <w:rPr>
          <w:sz w:val="24"/>
          <w:szCs w:val="24"/>
        </w:rPr>
      </w:pPr>
      <w:r>
        <w:rPr>
          <w:sz w:val="24"/>
          <w:szCs w:val="24"/>
        </w:rPr>
        <w:t>April</w:t>
      </w:r>
      <w:r w:rsidRPr="00F7033D">
        <w:rPr>
          <w:sz w:val="24"/>
          <w:szCs w:val="24"/>
        </w:rPr>
        <w:t xml:space="preserve"> </w:t>
      </w:r>
      <w:r w:rsidR="00C9378F" w:rsidRPr="00F7033D">
        <w:rPr>
          <w:sz w:val="24"/>
          <w:szCs w:val="24"/>
        </w:rPr>
        <w:t>20</w:t>
      </w:r>
      <w:r w:rsidR="00626262" w:rsidRPr="00F7033D">
        <w:rPr>
          <w:sz w:val="24"/>
          <w:szCs w:val="24"/>
        </w:rPr>
        <w:t>2</w:t>
      </w:r>
      <w:r w:rsidR="004602C2">
        <w:rPr>
          <w:sz w:val="24"/>
          <w:szCs w:val="24"/>
        </w:rPr>
        <w:t>3</w:t>
      </w:r>
    </w:p>
    <w:p w14:paraId="671AF3D9" w14:textId="7B4D6834" w:rsidR="00C9378F" w:rsidRPr="00F7033D" w:rsidRDefault="0010458B" w:rsidP="00C9378F">
      <w:r w:rsidRPr="00F7033D">
        <w:rPr>
          <w:noProof/>
          <w:lang w:bidi="ar-SA"/>
        </w:rPr>
        <w:drawing>
          <wp:anchor distT="0" distB="0" distL="114300" distR="114300" simplePos="0" relativeHeight="251660800" behindDoc="0" locked="0" layoutInCell="1" allowOverlap="1" wp14:anchorId="63A39617" wp14:editId="6244CD12">
            <wp:simplePos x="0" y="0"/>
            <wp:positionH relativeFrom="margin">
              <wp:align>left</wp:align>
            </wp:positionH>
            <wp:positionV relativeFrom="margin">
              <wp:align>bottom</wp:align>
            </wp:positionV>
            <wp:extent cx="6858000" cy="124358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Corp-2019-NoISO-rgb.bmp"/>
                    <pic:cNvPicPr/>
                  </pic:nvPicPr>
                  <pic:blipFill rotWithShape="1">
                    <a:blip r:embed="rId9" cstate="print">
                      <a:extLst>
                        <a:ext uri="{28A0092B-C50C-407E-A947-70E740481C1C}">
                          <a14:useLocalDpi xmlns:a14="http://schemas.microsoft.com/office/drawing/2010/main" val="0"/>
                        </a:ext>
                      </a:extLst>
                    </a:blip>
                    <a:srcRect l="8455" t="28782" r="8088" b="15018"/>
                    <a:stretch/>
                  </pic:blipFill>
                  <pic:spPr bwMode="auto">
                    <a:xfrm>
                      <a:off x="0" y="0"/>
                      <a:ext cx="6858000" cy="1243584"/>
                    </a:xfrm>
                    <a:prstGeom prst="rect">
                      <a:avLst/>
                    </a:prstGeom>
                    <a:ln>
                      <a:noFill/>
                    </a:ln>
                    <a:extLst>
                      <a:ext uri="{53640926-AAD7-44D8-BBD7-CCE9431645EC}">
                        <a14:shadowObscured xmlns:a14="http://schemas.microsoft.com/office/drawing/2010/main"/>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du="http://schemas.microsoft.com/office/word/2023/wordml/word16du"/>
                      </a:ext>
                    </a:extLst>
                  </pic:spPr>
                </pic:pic>
              </a:graphicData>
            </a:graphic>
            <wp14:sizeRelH relativeFrom="margin">
              <wp14:pctWidth>0</wp14:pctWidth>
            </wp14:sizeRelH>
            <wp14:sizeRelV relativeFrom="margin">
              <wp14:pctHeight>0</wp14:pctHeight>
            </wp14:sizeRelV>
          </wp:anchor>
        </w:drawing>
      </w:r>
    </w:p>
    <w:p w14:paraId="61BAEE37" w14:textId="77777777" w:rsidR="0010458B" w:rsidRPr="00F7033D" w:rsidRDefault="0010458B">
      <w:r w:rsidRPr="00F7033D">
        <w:br w:type="page"/>
      </w:r>
    </w:p>
    <w:sdt>
      <w:sdtPr>
        <w:rPr>
          <w:rFonts w:asciiTheme="minorHAnsi" w:eastAsiaTheme="minorEastAsia" w:hAnsiTheme="minorHAnsi" w:cstheme="minorBidi"/>
          <w:b w:val="0"/>
          <w:bCs w:val="0"/>
          <w:color w:val="auto"/>
          <w:sz w:val="22"/>
          <w:szCs w:val="22"/>
          <w:lang w:eastAsia="en-US" w:bidi="en-US"/>
        </w:rPr>
        <w:id w:val="-1029486827"/>
        <w:docPartObj>
          <w:docPartGallery w:val="Table of Contents"/>
          <w:docPartUnique/>
        </w:docPartObj>
      </w:sdtPr>
      <w:sdtEndPr/>
      <w:sdtContent>
        <w:p w14:paraId="483A79C3" w14:textId="77777777" w:rsidR="00C9378F" w:rsidRPr="00F7033D" w:rsidRDefault="00C9378F" w:rsidP="00C9378F">
          <w:pPr>
            <w:pStyle w:val="TOCHeading"/>
          </w:pPr>
          <w:r w:rsidRPr="00F7033D">
            <w:t>Table of Contents</w:t>
          </w:r>
        </w:p>
        <w:p w14:paraId="34109A69" w14:textId="68581818" w:rsidR="000C742E" w:rsidRDefault="00C9378F" w:rsidP="00155488">
          <w:pPr>
            <w:pStyle w:val="TOC1"/>
            <w:rPr>
              <w:noProof/>
              <w:sz w:val="22"/>
              <w:szCs w:val="22"/>
              <w:lang w:bidi="ar-SA"/>
            </w:rPr>
          </w:pPr>
          <w:r w:rsidRPr="00F7033D">
            <w:fldChar w:fldCharType="begin"/>
          </w:r>
          <w:r w:rsidRPr="00F7033D">
            <w:instrText xml:space="preserve"> TOC \o "1-3" \h \z \u </w:instrText>
          </w:r>
          <w:r w:rsidRPr="00F7033D">
            <w:fldChar w:fldCharType="separate"/>
          </w:r>
          <w:hyperlink w:anchor="_Toc132641608" w:history="1">
            <w:r w:rsidR="000C742E" w:rsidRPr="00177C01">
              <w:rPr>
                <w:rStyle w:val="Hyperlink"/>
                <w:noProof/>
              </w:rPr>
              <w:t>Introduction</w:t>
            </w:r>
            <w:r w:rsidR="000C742E">
              <w:rPr>
                <w:noProof/>
                <w:webHidden/>
              </w:rPr>
              <w:tab/>
            </w:r>
            <w:r w:rsidR="000C742E">
              <w:rPr>
                <w:noProof/>
                <w:webHidden/>
              </w:rPr>
              <w:fldChar w:fldCharType="begin"/>
            </w:r>
            <w:r w:rsidR="000C742E">
              <w:rPr>
                <w:noProof/>
                <w:webHidden/>
              </w:rPr>
              <w:instrText xml:space="preserve"> PAGEREF _Toc132641608 \h </w:instrText>
            </w:r>
            <w:r w:rsidR="000C742E">
              <w:rPr>
                <w:noProof/>
                <w:webHidden/>
              </w:rPr>
            </w:r>
            <w:r w:rsidR="000C742E">
              <w:rPr>
                <w:noProof/>
                <w:webHidden/>
              </w:rPr>
              <w:fldChar w:fldCharType="separate"/>
            </w:r>
            <w:r w:rsidR="00885A0E">
              <w:rPr>
                <w:noProof/>
                <w:webHidden/>
              </w:rPr>
              <w:t>4</w:t>
            </w:r>
            <w:r w:rsidR="000C742E">
              <w:rPr>
                <w:noProof/>
                <w:webHidden/>
              </w:rPr>
              <w:fldChar w:fldCharType="end"/>
            </w:r>
          </w:hyperlink>
        </w:p>
        <w:p w14:paraId="7C0087FB" w14:textId="3803BABC" w:rsidR="000C742E" w:rsidRDefault="00BD5C86">
          <w:pPr>
            <w:pStyle w:val="TOC2"/>
            <w:rPr>
              <w:smallCaps w:val="0"/>
              <w:noProof/>
              <w:sz w:val="22"/>
              <w:szCs w:val="22"/>
              <w:lang w:bidi="ar-SA"/>
            </w:rPr>
          </w:pPr>
          <w:hyperlink w:anchor="_Toc132641609" w:history="1">
            <w:r w:rsidR="000C742E" w:rsidRPr="00177C01">
              <w:rPr>
                <w:rStyle w:val="Hyperlink"/>
                <w:noProof/>
              </w:rPr>
              <w:t>Purpose and Background</w:t>
            </w:r>
            <w:r w:rsidR="000C742E">
              <w:rPr>
                <w:noProof/>
                <w:webHidden/>
              </w:rPr>
              <w:tab/>
            </w:r>
            <w:r w:rsidR="000C742E">
              <w:rPr>
                <w:noProof/>
                <w:webHidden/>
              </w:rPr>
              <w:fldChar w:fldCharType="begin"/>
            </w:r>
            <w:r w:rsidR="000C742E">
              <w:rPr>
                <w:noProof/>
                <w:webHidden/>
              </w:rPr>
              <w:instrText xml:space="preserve"> PAGEREF _Toc132641609 \h </w:instrText>
            </w:r>
            <w:r w:rsidR="000C742E">
              <w:rPr>
                <w:noProof/>
                <w:webHidden/>
              </w:rPr>
            </w:r>
            <w:r w:rsidR="000C742E">
              <w:rPr>
                <w:noProof/>
                <w:webHidden/>
              </w:rPr>
              <w:fldChar w:fldCharType="separate"/>
            </w:r>
            <w:r w:rsidR="00885A0E">
              <w:rPr>
                <w:noProof/>
                <w:webHidden/>
              </w:rPr>
              <w:t>4</w:t>
            </w:r>
            <w:r w:rsidR="000C742E">
              <w:rPr>
                <w:noProof/>
                <w:webHidden/>
              </w:rPr>
              <w:fldChar w:fldCharType="end"/>
            </w:r>
          </w:hyperlink>
        </w:p>
        <w:p w14:paraId="3B6DA038" w14:textId="547D7ED8" w:rsidR="000C742E" w:rsidRPr="00155488" w:rsidRDefault="00BD5C86" w:rsidP="00155488">
          <w:pPr>
            <w:pStyle w:val="TOC1"/>
            <w:rPr>
              <w:noProof/>
              <w:sz w:val="22"/>
              <w:szCs w:val="22"/>
              <w:lang w:bidi="ar-SA"/>
            </w:rPr>
          </w:pPr>
          <w:hyperlink w:anchor="_Toc132641610" w:history="1">
            <w:r w:rsidR="000C742E" w:rsidRPr="00155488">
              <w:rPr>
                <w:rStyle w:val="Hyperlink"/>
                <w:rFonts w:cstheme="minorHAnsi"/>
                <w:noProof/>
              </w:rPr>
              <w:t>I. Validation of Performance Improvement Projects</w:t>
            </w:r>
            <w:r w:rsidR="000C742E" w:rsidRPr="00155488">
              <w:rPr>
                <w:noProof/>
                <w:webHidden/>
              </w:rPr>
              <w:tab/>
            </w:r>
            <w:r w:rsidR="000C742E" w:rsidRPr="00155488">
              <w:rPr>
                <w:noProof/>
                <w:webHidden/>
              </w:rPr>
              <w:fldChar w:fldCharType="begin"/>
            </w:r>
            <w:r w:rsidR="000C742E" w:rsidRPr="00155488">
              <w:rPr>
                <w:noProof/>
                <w:webHidden/>
              </w:rPr>
              <w:instrText xml:space="preserve"> PAGEREF _Toc132641610 \h </w:instrText>
            </w:r>
            <w:r w:rsidR="000C742E" w:rsidRPr="00155488">
              <w:rPr>
                <w:noProof/>
                <w:webHidden/>
              </w:rPr>
            </w:r>
            <w:r w:rsidR="000C742E" w:rsidRPr="00155488">
              <w:rPr>
                <w:noProof/>
                <w:webHidden/>
              </w:rPr>
              <w:fldChar w:fldCharType="separate"/>
            </w:r>
            <w:r w:rsidR="00885A0E">
              <w:rPr>
                <w:noProof/>
                <w:webHidden/>
              </w:rPr>
              <w:t>6</w:t>
            </w:r>
            <w:r w:rsidR="000C742E" w:rsidRPr="00155488">
              <w:rPr>
                <w:noProof/>
                <w:webHidden/>
              </w:rPr>
              <w:fldChar w:fldCharType="end"/>
            </w:r>
          </w:hyperlink>
        </w:p>
        <w:p w14:paraId="77A85DE1" w14:textId="1C5FFBEB" w:rsidR="000C742E" w:rsidRDefault="00BD5C86">
          <w:pPr>
            <w:pStyle w:val="TOC2"/>
            <w:rPr>
              <w:smallCaps w:val="0"/>
              <w:noProof/>
              <w:sz w:val="22"/>
              <w:szCs w:val="22"/>
              <w:lang w:bidi="ar-SA"/>
            </w:rPr>
          </w:pPr>
          <w:hyperlink w:anchor="_Toc132641611" w:history="1">
            <w:r w:rsidR="000C742E" w:rsidRPr="00177C01">
              <w:rPr>
                <w:rStyle w:val="Hyperlink"/>
                <w:noProof/>
              </w:rPr>
              <w:t>Objectives</w:t>
            </w:r>
            <w:r w:rsidR="000C742E">
              <w:rPr>
                <w:noProof/>
                <w:webHidden/>
              </w:rPr>
              <w:tab/>
            </w:r>
            <w:r w:rsidR="000C742E">
              <w:rPr>
                <w:noProof/>
                <w:webHidden/>
              </w:rPr>
              <w:fldChar w:fldCharType="begin"/>
            </w:r>
            <w:r w:rsidR="000C742E">
              <w:rPr>
                <w:noProof/>
                <w:webHidden/>
              </w:rPr>
              <w:instrText xml:space="preserve"> PAGEREF _Toc132641611 \h </w:instrText>
            </w:r>
            <w:r w:rsidR="000C742E">
              <w:rPr>
                <w:noProof/>
                <w:webHidden/>
              </w:rPr>
            </w:r>
            <w:r w:rsidR="000C742E">
              <w:rPr>
                <w:noProof/>
                <w:webHidden/>
              </w:rPr>
              <w:fldChar w:fldCharType="separate"/>
            </w:r>
            <w:r w:rsidR="00885A0E">
              <w:rPr>
                <w:noProof/>
                <w:webHidden/>
              </w:rPr>
              <w:t>6</w:t>
            </w:r>
            <w:r w:rsidR="000C742E">
              <w:rPr>
                <w:noProof/>
                <w:webHidden/>
              </w:rPr>
              <w:fldChar w:fldCharType="end"/>
            </w:r>
          </w:hyperlink>
        </w:p>
        <w:p w14:paraId="11268344" w14:textId="5CB3AE3D" w:rsidR="000C742E" w:rsidRDefault="00BD5C86">
          <w:pPr>
            <w:pStyle w:val="TOC2"/>
            <w:rPr>
              <w:smallCaps w:val="0"/>
              <w:noProof/>
              <w:sz w:val="22"/>
              <w:szCs w:val="22"/>
              <w:lang w:bidi="ar-SA"/>
            </w:rPr>
          </w:pPr>
          <w:hyperlink w:anchor="_Toc132641612" w:history="1">
            <w:r w:rsidR="000C742E" w:rsidRPr="00177C01">
              <w:rPr>
                <w:rStyle w:val="Hyperlink"/>
                <w:noProof/>
              </w:rPr>
              <w:t>Technical Methods of Data Collection and Analysis</w:t>
            </w:r>
            <w:r w:rsidR="000C742E">
              <w:rPr>
                <w:noProof/>
                <w:webHidden/>
              </w:rPr>
              <w:tab/>
            </w:r>
            <w:r w:rsidR="000C742E">
              <w:rPr>
                <w:noProof/>
                <w:webHidden/>
              </w:rPr>
              <w:fldChar w:fldCharType="begin"/>
            </w:r>
            <w:r w:rsidR="000C742E">
              <w:rPr>
                <w:noProof/>
                <w:webHidden/>
              </w:rPr>
              <w:instrText xml:space="preserve"> PAGEREF _Toc132641612 \h </w:instrText>
            </w:r>
            <w:r w:rsidR="000C742E">
              <w:rPr>
                <w:noProof/>
                <w:webHidden/>
              </w:rPr>
            </w:r>
            <w:r w:rsidR="000C742E">
              <w:rPr>
                <w:noProof/>
                <w:webHidden/>
              </w:rPr>
              <w:fldChar w:fldCharType="separate"/>
            </w:r>
            <w:r w:rsidR="00885A0E">
              <w:rPr>
                <w:noProof/>
                <w:webHidden/>
              </w:rPr>
              <w:t>7</w:t>
            </w:r>
            <w:r w:rsidR="000C742E">
              <w:rPr>
                <w:noProof/>
                <w:webHidden/>
              </w:rPr>
              <w:fldChar w:fldCharType="end"/>
            </w:r>
          </w:hyperlink>
        </w:p>
        <w:p w14:paraId="0D868B5E" w14:textId="4726C972" w:rsidR="000C742E" w:rsidRDefault="00BD5C86">
          <w:pPr>
            <w:pStyle w:val="TOC2"/>
            <w:rPr>
              <w:smallCaps w:val="0"/>
              <w:noProof/>
              <w:sz w:val="22"/>
              <w:szCs w:val="22"/>
              <w:lang w:bidi="ar-SA"/>
            </w:rPr>
          </w:pPr>
          <w:hyperlink w:anchor="_Toc132641613" w:history="1">
            <w:r w:rsidR="000C742E" w:rsidRPr="00177C01">
              <w:rPr>
                <w:rStyle w:val="Hyperlink"/>
                <w:noProof/>
              </w:rPr>
              <w:t>Findings</w:t>
            </w:r>
            <w:r w:rsidR="000C742E">
              <w:rPr>
                <w:noProof/>
                <w:webHidden/>
              </w:rPr>
              <w:tab/>
            </w:r>
            <w:r w:rsidR="000C742E">
              <w:rPr>
                <w:noProof/>
                <w:webHidden/>
              </w:rPr>
              <w:fldChar w:fldCharType="begin"/>
            </w:r>
            <w:r w:rsidR="000C742E">
              <w:rPr>
                <w:noProof/>
                <w:webHidden/>
              </w:rPr>
              <w:instrText xml:space="preserve"> PAGEREF _Toc132641613 \h </w:instrText>
            </w:r>
            <w:r w:rsidR="000C742E">
              <w:rPr>
                <w:noProof/>
                <w:webHidden/>
              </w:rPr>
            </w:r>
            <w:r w:rsidR="000C742E">
              <w:rPr>
                <w:noProof/>
                <w:webHidden/>
              </w:rPr>
              <w:fldChar w:fldCharType="separate"/>
            </w:r>
            <w:r w:rsidR="00885A0E">
              <w:rPr>
                <w:noProof/>
                <w:webHidden/>
              </w:rPr>
              <w:t>9</w:t>
            </w:r>
            <w:r w:rsidR="000C742E">
              <w:rPr>
                <w:noProof/>
                <w:webHidden/>
              </w:rPr>
              <w:fldChar w:fldCharType="end"/>
            </w:r>
          </w:hyperlink>
        </w:p>
        <w:p w14:paraId="7D9D4972" w14:textId="2F2E6EEF" w:rsidR="000C742E" w:rsidRDefault="00BD5C86" w:rsidP="00155488">
          <w:pPr>
            <w:pStyle w:val="TOC1"/>
            <w:rPr>
              <w:noProof/>
              <w:sz w:val="22"/>
              <w:szCs w:val="22"/>
              <w:lang w:bidi="ar-SA"/>
            </w:rPr>
          </w:pPr>
          <w:hyperlink w:anchor="_Toc132641614" w:history="1">
            <w:r w:rsidR="000C742E" w:rsidRPr="00177C01">
              <w:rPr>
                <w:rStyle w:val="Hyperlink"/>
                <w:noProof/>
              </w:rPr>
              <w:t>II: Performance Measures and CAHPS Survey</w:t>
            </w:r>
            <w:r w:rsidR="000C742E">
              <w:rPr>
                <w:noProof/>
                <w:webHidden/>
              </w:rPr>
              <w:tab/>
            </w:r>
            <w:r w:rsidR="000C742E">
              <w:rPr>
                <w:noProof/>
                <w:webHidden/>
              </w:rPr>
              <w:fldChar w:fldCharType="begin"/>
            </w:r>
            <w:r w:rsidR="000C742E">
              <w:rPr>
                <w:noProof/>
                <w:webHidden/>
              </w:rPr>
              <w:instrText xml:space="preserve"> PAGEREF _Toc132641614 \h </w:instrText>
            </w:r>
            <w:r w:rsidR="000C742E">
              <w:rPr>
                <w:noProof/>
                <w:webHidden/>
              </w:rPr>
            </w:r>
            <w:r w:rsidR="000C742E">
              <w:rPr>
                <w:noProof/>
                <w:webHidden/>
              </w:rPr>
              <w:fldChar w:fldCharType="separate"/>
            </w:r>
            <w:r w:rsidR="00885A0E">
              <w:rPr>
                <w:noProof/>
                <w:webHidden/>
              </w:rPr>
              <w:t>11</w:t>
            </w:r>
            <w:r w:rsidR="000C742E">
              <w:rPr>
                <w:noProof/>
                <w:webHidden/>
              </w:rPr>
              <w:fldChar w:fldCharType="end"/>
            </w:r>
          </w:hyperlink>
        </w:p>
        <w:p w14:paraId="16179261" w14:textId="55B62C81" w:rsidR="000C742E" w:rsidRDefault="00BD5C86">
          <w:pPr>
            <w:pStyle w:val="TOC2"/>
            <w:rPr>
              <w:smallCaps w:val="0"/>
              <w:noProof/>
              <w:sz w:val="22"/>
              <w:szCs w:val="22"/>
              <w:lang w:bidi="ar-SA"/>
            </w:rPr>
          </w:pPr>
          <w:hyperlink w:anchor="_Toc132641615" w:history="1">
            <w:r w:rsidR="000C742E" w:rsidRPr="00177C01">
              <w:rPr>
                <w:rStyle w:val="Hyperlink"/>
                <w:noProof/>
              </w:rPr>
              <w:t>Objectives</w:t>
            </w:r>
            <w:r w:rsidR="000C742E">
              <w:rPr>
                <w:noProof/>
                <w:webHidden/>
              </w:rPr>
              <w:tab/>
            </w:r>
            <w:r w:rsidR="000C742E">
              <w:rPr>
                <w:noProof/>
                <w:webHidden/>
              </w:rPr>
              <w:fldChar w:fldCharType="begin"/>
            </w:r>
            <w:r w:rsidR="000C742E">
              <w:rPr>
                <w:noProof/>
                <w:webHidden/>
              </w:rPr>
              <w:instrText xml:space="preserve"> PAGEREF _Toc132641615 \h </w:instrText>
            </w:r>
            <w:r w:rsidR="000C742E">
              <w:rPr>
                <w:noProof/>
                <w:webHidden/>
              </w:rPr>
            </w:r>
            <w:r w:rsidR="000C742E">
              <w:rPr>
                <w:noProof/>
                <w:webHidden/>
              </w:rPr>
              <w:fldChar w:fldCharType="separate"/>
            </w:r>
            <w:r w:rsidR="00885A0E">
              <w:rPr>
                <w:noProof/>
                <w:webHidden/>
              </w:rPr>
              <w:t>11</w:t>
            </w:r>
            <w:r w:rsidR="000C742E">
              <w:rPr>
                <w:noProof/>
                <w:webHidden/>
              </w:rPr>
              <w:fldChar w:fldCharType="end"/>
            </w:r>
          </w:hyperlink>
        </w:p>
        <w:p w14:paraId="21573F60" w14:textId="68026366" w:rsidR="000C742E" w:rsidRDefault="00BD5C86">
          <w:pPr>
            <w:pStyle w:val="TOC2"/>
            <w:rPr>
              <w:smallCaps w:val="0"/>
              <w:noProof/>
              <w:sz w:val="22"/>
              <w:szCs w:val="22"/>
              <w:lang w:bidi="ar-SA"/>
            </w:rPr>
          </w:pPr>
          <w:hyperlink w:anchor="_Toc132641616" w:history="1">
            <w:r w:rsidR="000C742E" w:rsidRPr="00177C01">
              <w:rPr>
                <w:rStyle w:val="Hyperlink"/>
                <w:noProof/>
              </w:rPr>
              <w:t>PA-Specific and CMS Core Set Performance Measure Selection and Descriptions</w:t>
            </w:r>
            <w:r w:rsidR="000C742E">
              <w:rPr>
                <w:noProof/>
                <w:webHidden/>
              </w:rPr>
              <w:tab/>
            </w:r>
            <w:r w:rsidR="000C742E">
              <w:rPr>
                <w:noProof/>
                <w:webHidden/>
              </w:rPr>
              <w:fldChar w:fldCharType="begin"/>
            </w:r>
            <w:r w:rsidR="000C742E">
              <w:rPr>
                <w:noProof/>
                <w:webHidden/>
              </w:rPr>
              <w:instrText xml:space="preserve"> PAGEREF _Toc132641616 \h </w:instrText>
            </w:r>
            <w:r w:rsidR="000C742E">
              <w:rPr>
                <w:noProof/>
                <w:webHidden/>
              </w:rPr>
            </w:r>
            <w:r w:rsidR="000C742E">
              <w:rPr>
                <w:noProof/>
                <w:webHidden/>
              </w:rPr>
              <w:fldChar w:fldCharType="separate"/>
            </w:r>
            <w:r w:rsidR="00885A0E">
              <w:rPr>
                <w:noProof/>
                <w:webHidden/>
              </w:rPr>
              <w:t>16</w:t>
            </w:r>
            <w:r w:rsidR="000C742E">
              <w:rPr>
                <w:noProof/>
                <w:webHidden/>
              </w:rPr>
              <w:fldChar w:fldCharType="end"/>
            </w:r>
          </w:hyperlink>
        </w:p>
        <w:p w14:paraId="2B26F8D4" w14:textId="4FDEBF2D" w:rsidR="000C742E" w:rsidRDefault="00BD5C86">
          <w:pPr>
            <w:pStyle w:val="TOC2"/>
            <w:rPr>
              <w:smallCaps w:val="0"/>
              <w:noProof/>
              <w:sz w:val="22"/>
              <w:szCs w:val="22"/>
              <w:lang w:bidi="ar-SA"/>
            </w:rPr>
          </w:pPr>
          <w:hyperlink w:anchor="_Toc132641617" w:history="1">
            <w:r w:rsidR="000C742E" w:rsidRPr="00177C01">
              <w:rPr>
                <w:rStyle w:val="Hyperlink"/>
                <w:noProof/>
              </w:rPr>
              <w:t>PA-Specific and CMS Core Set Administrative Measures</w:t>
            </w:r>
            <w:r w:rsidR="000C742E">
              <w:rPr>
                <w:noProof/>
                <w:webHidden/>
              </w:rPr>
              <w:tab/>
            </w:r>
            <w:r w:rsidR="000C742E">
              <w:rPr>
                <w:noProof/>
                <w:webHidden/>
              </w:rPr>
              <w:fldChar w:fldCharType="begin"/>
            </w:r>
            <w:r w:rsidR="000C742E">
              <w:rPr>
                <w:noProof/>
                <w:webHidden/>
              </w:rPr>
              <w:instrText xml:space="preserve"> PAGEREF _Toc132641617 \h </w:instrText>
            </w:r>
            <w:r w:rsidR="000C742E">
              <w:rPr>
                <w:noProof/>
                <w:webHidden/>
              </w:rPr>
            </w:r>
            <w:r w:rsidR="000C742E">
              <w:rPr>
                <w:noProof/>
                <w:webHidden/>
              </w:rPr>
              <w:fldChar w:fldCharType="separate"/>
            </w:r>
            <w:r w:rsidR="00885A0E">
              <w:rPr>
                <w:noProof/>
                <w:webHidden/>
              </w:rPr>
              <w:t>17</w:t>
            </w:r>
            <w:r w:rsidR="000C742E">
              <w:rPr>
                <w:noProof/>
                <w:webHidden/>
              </w:rPr>
              <w:fldChar w:fldCharType="end"/>
            </w:r>
          </w:hyperlink>
        </w:p>
        <w:p w14:paraId="1124A447" w14:textId="6F5CB96A" w:rsidR="000C742E" w:rsidRDefault="00BD5C86">
          <w:pPr>
            <w:pStyle w:val="TOC2"/>
            <w:rPr>
              <w:smallCaps w:val="0"/>
              <w:noProof/>
              <w:sz w:val="22"/>
              <w:szCs w:val="22"/>
              <w:lang w:bidi="ar-SA"/>
            </w:rPr>
          </w:pPr>
          <w:hyperlink w:anchor="_Toc132641618" w:history="1">
            <w:r w:rsidR="000C742E" w:rsidRPr="00177C01">
              <w:rPr>
                <w:rStyle w:val="Hyperlink"/>
                <w:noProof/>
              </w:rPr>
              <w:t>HEDIS Performance Measure Selection and Descriptions</w:t>
            </w:r>
            <w:r w:rsidR="000C742E">
              <w:rPr>
                <w:noProof/>
                <w:webHidden/>
              </w:rPr>
              <w:tab/>
            </w:r>
            <w:r w:rsidR="000C742E">
              <w:rPr>
                <w:noProof/>
                <w:webHidden/>
              </w:rPr>
              <w:fldChar w:fldCharType="begin"/>
            </w:r>
            <w:r w:rsidR="000C742E">
              <w:rPr>
                <w:noProof/>
                <w:webHidden/>
              </w:rPr>
              <w:instrText xml:space="preserve"> PAGEREF _Toc132641618 \h </w:instrText>
            </w:r>
            <w:r w:rsidR="000C742E">
              <w:rPr>
                <w:noProof/>
                <w:webHidden/>
              </w:rPr>
            </w:r>
            <w:r w:rsidR="000C742E">
              <w:rPr>
                <w:noProof/>
                <w:webHidden/>
              </w:rPr>
              <w:fldChar w:fldCharType="separate"/>
            </w:r>
            <w:r w:rsidR="00885A0E">
              <w:rPr>
                <w:noProof/>
                <w:webHidden/>
              </w:rPr>
              <w:t>17</w:t>
            </w:r>
            <w:r w:rsidR="000C742E">
              <w:rPr>
                <w:noProof/>
                <w:webHidden/>
              </w:rPr>
              <w:fldChar w:fldCharType="end"/>
            </w:r>
          </w:hyperlink>
        </w:p>
        <w:p w14:paraId="45BEE14E" w14:textId="7A872F1C" w:rsidR="000C742E" w:rsidRDefault="00BD5C86">
          <w:pPr>
            <w:pStyle w:val="TOC2"/>
            <w:rPr>
              <w:smallCaps w:val="0"/>
              <w:noProof/>
              <w:sz w:val="22"/>
              <w:szCs w:val="22"/>
              <w:lang w:bidi="ar-SA"/>
            </w:rPr>
          </w:pPr>
          <w:hyperlink w:anchor="_Toc132641619" w:history="1">
            <w:r w:rsidR="000C742E" w:rsidRPr="00177C01">
              <w:rPr>
                <w:rStyle w:val="Hyperlink"/>
                <w:noProof/>
              </w:rPr>
              <w:t>Implementation of PA-Specific Performance Measures and HEDIS Audit</w:t>
            </w:r>
            <w:r w:rsidR="000C742E">
              <w:rPr>
                <w:noProof/>
                <w:webHidden/>
              </w:rPr>
              <w:tab/>
            </w:r>
            <w:r w:rsidR="000C742E">
              <w:rPr>
                <w:noProof/>
                <w:webHidden/>
              </w:rPr>
              <w:fldChar w:fldCharType="begin"/>
            </w:r>
            <w:r w:rsidR="000C742E">
              <w:rPr>
                <w:noProof/>
                <w:webHidden/>
              </w:rPr>
              <w:instrText xml:space="preserve"> PAGEREF _Toc132641619 \h </w:instrText>
            </w:r>
            <w:r w:rsidR="000C742E">
              <w:rPr>
                <w:noProof/>
                <w:webHidden/>
              </w:rPr>
            </w:r>
            <w:r w:rsidR="000C742E">
              <w:rPr>
                <w:noProof/>
                <w:webHidden/>
              </w:rPr>
              <w:fldChar w:fldCharType="separate"/>
            </w:r>
            <w:r w:rsidR="00885A0E">
              <w:rPr>
                <w:noProof/>
                <w:webHidden/>
              </w:rPr>
              <w:t>20</w:t>
            </w:r>
            <w:r w:rsidR="000C742E">
              <w:rPr>
                <w:noProof/>
                <w:webHidden/>
              </w:rPr>
              <w:fldChar w:fldCharType="end"/>
            </w:r>
          </w:hyperlink>
        </w:p>
        <w:p w14:paraId="46D638F0" w14:textId="2EC2277E" w:rsidR="000C742E" w:rsidRDefault="00BD5C86">
          <w:pPr>
            <w:pStyle w:val="TOC2"/>
            <w:rPr>
              <w:smallCaps w:val="0"/>
              <w:noProof/>
              <w:sz w:val="22"/>
              <w:szCs w:val="22"/>
              <w:lang w:bidi="ar-SA"/>
            </w:rPr>
          </w:pPr>
          <w:hyperlink w:anchor="_Toc132641620" w:history="1">
            <w:r w:rsidR="000C742E" w:rsidRPr="00177C01">
              <w:rPr>
                <w:rStyle w:val="Hyperlink"/>
                <w:noProof/>
              </w:rPr>
              <w:t>Conclusions and Comparative Findings</w:t>
            </w:r>
            <w:r w:rsidR="000C742E">
              <w:rPr>
                <w:noProof/>
                <w:webHidden/>
              </w:rPr>
              <w:tab/>
            </w:r>
            <w:r w:rsidR="000C742E">
              <w:rPr>
                <w:noProof/>
                <w:webHidden/>
              </w:rPr>
              <w:fldChar w:fldCharType="begin"/>
            </w:r>
            <w:r w:rsidR="000C742E">
              <w:rPr>
                <w:noProof/>
                <w:webHidden/>
              </w:rPr>
              <w:instrText xml:space="preserve"> PAGEREF _Toc132641620 \h </w:instrText>
            </w:r>
            <w:r w:rsidR="000C742E">
              <w:rPr>
                <w:noProof/>
                <w:webHidden/>
              </w:rPr>
            </w:r>
            <w:r w:rsidR="000C742E">
              <w:rPr>
                <w:noProof/>
                <w:webHidden/>
              </w:rPr>
              <w:fldChar w:fldCharType="separate"/>
            </w:r>
            <w:r w:rsidR="00885A0E">
              <w:rPr>
                <w:noProof/>
                <w:webHidden/>
              </w:rPr>
              <w:t>20</w:t>
            </w:r>
            <w:r w:rsidR="000C742E">
              <w:rPr>
                <w:noProof/>
                <w:webHidden/>
              </w:rPr>
              <w:fldChar w:fldCharType="end"/>
            </w:r>
          </w:hyperlink>
        </w:p>
        <w:p w14:paraId="23533398" w14:textId="5DDFDEE5" w:rsidR="000C742E" w:rsidRDefault="00BD5C86">
          <w:pPr>
            <w:pStyle w:val="TOC3"/>
            <w:tabs>
              <w:tab w:val="right" w:leader="dot" w:pos="10790"/>
            </w:tabs>
            <w:rPr>
              <w:i w:val="0"/>
              <w:iCs w:val="0"/>
              <w:noProof/>
              <w:sz w:val="22"/>
              <w:szCs w:val="22"/>
              <w:lang w:bidi="ar-SA"/>
            </w:rPr>
          </w:pPr>
          <w:hyperlink w:anchor="_Toc132641621" w:history="1">
            <w:r w:rsidR="000C742E" w:rsidRPr="00177C01">
              <w:rPr>
                <w:rStyle w:val="Hyperlink"/>
                <w:noProof/>
              </w:rPr>
              <w:t>Access to/Availability of Care</w:t>
            </w:r>
            <w:r w:rsidR="000C742E">
              <w:rPr>
                <w:noProof/>
                <w:webHidden/>
              </w:rPr>
              <w:tab/>
            </w:r>
            <w:r w:rsidR="000C742E">
              <w:rPr>
                <w:noProof/>
                <w:webHidden/>
              </w:rPr>
              <w:fldChar w:fldCharType="begin"/>
            </w:r>
            <w:r w:rsidR="000C742E">
              <w:rPr>
                <w:noProof/>
                <w:webHidden/>
              </w:rPr>
              <w:instrText xml:space="preserve"> PAGEREF _Toc132641621 \h </w:instrText>
            </w:r>
            <w:r w:rsidR="000C742E">
              <w:rPr>
                <w:noProof/>
                <w:webHidden/>
              </w:rPr>
            </w:r>
            <w:r w:rsidR="000C742E">
              <w:rPr>
                <w:noProof/>
                <w:webHidden/>
              </w:rPr>
              <w:fldChar w:fldCharType="separate"/>
            </w:r>
            <w:r w:rsidR="00885A0E">
              <w:rPr>
                <w:noProof/>
                <w:webHidden/>
              </w:rPr>
              <w:t>22</w:t>
            </w:r>
            <w:r w:rsidR="000C742E">
              <w:rPr>
                <w:noProof/>
                <w:webHidden/>
              </w:rPr>
              <w:fldChar w:fldCharType="end"/>
            </w:r>
          </w:hyperlink>
        </w:p>
        <w:p w14:paraId="49EF10FB" w14:textId="130EB0B0" w:rsidR="000C742E" w:rsidRDefault="00BD5C86">
          <w:pPr>
            <w:pStyle w:val="TOC3"/>
            <w:tabs>
              <w:tab w:val="right" w:leader="dot" w:pos="10790"/>
            </w:tabs>
            <w:rPr>
              <w:i w:val="0"/>
              <w:iCs w:val="0"/>
              <w:noProof/>
              <w:sz w:val="22"/>
              <w:szCs w:val="22"/>
              <w:lang w:bidi="ar-SA"/>
            </w:rPr>
          </w:pPr>
          <w:hyperlink w:anchor="_Toc132641622" w:history="1">
            <w:r w:rsidR="000C742E" w:rsidRPr="00177C01">
              <w:rPr>
                <w:rStyle w:val="Hyperlink"/>
                <w:noProof/>
              </w:rPr>
              <w:t>Well-Care Visits and Immunizations</w:t>
            </w:r>
            <w:r w:rsidR="000C742E">
              <w:rPr>
                <w:noProof/>
                <w:webHidden/>
              </w:rPr>
              <w:tab/>
            </w:r>
            <w:r w:rsidR="000C742E">
              <w:rPr>
                <w:noProof/>
                <w:webHidden/>
              </w:rPr>
              <w:fldChar w:fldCharType="begin"/>
            </w:r>
            <w:r w:rsidR="000C742E">
              <w:rPr>
                <w:noProof/>
                <w:webHidden/>
              </w:rPr>
              <w:instrText xml:space="preserve"> PAGEREF _Toc132641622 \h </w:instrText>
            </w:r>
            <w:r w:rsidR="000C742E">
              <w:rPr>
                <w:noProof/>
                <w:webHidden/>
              </w:rPr>
            </w:r>
            <w:r w:rsidR="000C742E">
              <w:rPr>
                <w:noProof/>
                <w:webHidden/>
              </w:rPr>
              <w:fldChar w:fldCharType="separate"/>
            </w:r>
            <w:r w:rsidR="00885A0E">
              <w:rPr>
                <w:noProof/>
                <w:webHidden/>
              </w:rPr>
              <w:t>23</w:t>
            </w:r>
            <w:r w:rsidR="000C742E">
              <w:rPr>
                <w:noProof/>
                <w:webHidden/>
              </w:rPr>
              <w:fldChar w:fldCharType="end"/>
            </w:r>
          </w:hyperlink>
        </w:p>
        <w:p w14:paraId="736B40F3" w14:textId="501A24BE" w:rsidR="000C742E" w:rsidRDefault="00BD5C86">
          <w:pPr>
            <w:pStyle w:val="TOC3"/>
            <w:tabs>
              <w:tab w:val="right" w:leader="dot" w:pos="10790"/>
            </w:tabs>
            <w:rPr>
              <w:i w:val="0"/>
              <w:iCs w:val="0"/>
              <w:noProof/>
              <w:sz w:val="22"/>
              <w:szCs w:val="22"/>
              <w:lang w:bidi="ar-SA"/>
            </w:rPr>
          </w:pPr>
          <w:hyperlink w:anchor="_Toc132641623" w:history="1">
            <w:r w:rsidR="000C742E" w:rsidRPr="00177C01">
              <w:rPr>
                <w:rStyle w:val="Hyperlink"/>
                <w:noProof/>
              </w:rPr>
              <w:t>EPSDT: Screenings and Follow-up</w:t>
            </w:r>
            <w:r w:rsidR="000C742E">
              <w:rPr>
                <w:noProof/>
                <w:webHidden/>
              </w:rPr>
              <w:tab/>
            </w:r>
            <w:r w:rsidR="000C742E">
              <w:rPr>
                <w:noProof/>
                <w:webHidden/>
              </w:rPr>
              <w:fldChar w:fldCharType="begin"/>
            </w:r>
            <w:r w:rsidR="000C742E">
              <w:rPr>
                <w:noProof/>
                <w:webHidden/>
              </w:rPr>
              <w:instrText xml:space="preserve"> PAGEREF _Toc132641623 \h </w:instrText>
            </w:r>
            <w:r w:rsidR="000C742E">
              <w:rPr>
                <w:noProof/>
                <w:webHidden/>
              </w:rPr>
            </w:r>
            <w:r w:rsidR="000C742E">
              <w:rPr>
                <w:noProof/>
                <w:webHidden/>
              </w:rPr>
              <w:fldChar w:fldCharType="separate"/>
            </w:r>
            <w:r w:rsidR="00885A0E">
              <w:rPr>
                <w:noProof/>
                <w:webHidden/>
              </w:rPr>
              <w:t>26</w:t>
            </w:r>
            <w:r w:rsidR="000C742E">
              <w:rPr>
                <w:noProof/>
                <w:webHidden/>
              </w:rPr>
              <w:fldChar w:fldCharType="end"/>
            </w:r>
          </w:hyperlink>
        </w:p>
        <w:p w14:paraId="74A7AD53" w14:textId="49A5762D" w:rsidR="000C742E" w:rsidRDefault="00BD5C86">
          <w:pPr>
            <w:pStyle w:val="TOC3"/>
            <w:tabs>
              <w:tab w:val="right" w:leader="dot" w:pos="10790"/>
            </w:tabs>
            <w:rPr>
              <w:i w:val="0"/>
              <w:iCs w:val="0"/>
              <w:noProof/>
              <w:sz w:val="22"/>
              <w:szCs w:val="22"/>
              <w:lang w:bidi="ar-SA"/>
            </w:rPr>
          </w:pPr>
          <w:hyperlink w:anchor="_Toc132641624" w:history="1">
            <w:r w:rsidR="000C742E" w:rsidRPr="00177C01">
              <w:rPr>
                <w:rStyle w:val="Hyperlink"/>
                <w:noProof/>
              </w:rPr>
              <w:t>Dental Care for Children</w:t>
            </w:r>
            <w:r w:rsidR="000C742E">
              <w:rPr>
                <w:noProof/>
                <w:webHidden/>
              </w:rPr>
              <w:tab/>
            </w:r>
            <w:r w:rsidR="000C742E">
              <w:rPr>
                <w:noProof/>
                <w:webHidden/>
              </w:rPr>
              <w:fldChar w:fldCharType="begin"/>
            </w:r>
            <w:r w:rsidR="000C742E">
              <w:rPr>
                <w:noProof/>
                <w:webHidden/>
              </w:rPr>
              <w:instrText xml:space="preserve"> PAGEREF _Toc132641624 \h </w:instrText>
            </w:r>
            <w:r w:rsidR="000C742E">
              <w:rPr>
                <w:noProof/>
                <w:webHidden/>
              </w:rPr>
            </w:r>
            <w:r w:rsidR="000C742E">
              <w:rPr>
                <w:noProof/>
                <w:webHidden/>
              </w:rPr>
              <w:fldChar w:fldCharType="separate"/>
            </w:r>
            <w:r w:rsidR="00885A0E">
              <w:rPr>
                <w:noProof/>
                <w:webHidden/>
              </w:rPr>
              <w:t>28</w:t>
            </w:r>
            <w:r w:rsidR="000C742E">
              <w:rPr>
                <w:noProof/>
                <w:webHidden/>
              </w:rPr>
              <w:fldChar w:fldCharType="end"/>
            </w:r>
          </w:hyperlink>
        </w:p>
        <w:p w14:paraId="5FB13D84" w14:textId="6A67F461" w:rsidR="000C742E" w:rsidRDefault="00BD5C86">
          <w:pPr>
            <w:pStyle w:val="TOC3"/>
            <w:tabs>
              <w:tab w:val="right" w:leader="dot" w:pos="10790"/>
            </w:tabs>
            <w:rPr>
              <w:i w:val="0"/>
              <w:iCs w:val="0"/>
              <w:noProof/>
              <w:sz w:val="22"/>
              <w:szCs w:val="22"/>
              <w:lang w:bidi="ar-SA"/>
            </w:rPr>
          </w:pPr>
          <w:hyperlink w:anchor="_Toc132641625" w:history="1">
            <w:r w:rsidR="000C742E" w:rsidRPr="00177C01">
              <w:rPr>
                <w:rStyle w:val="Hyperlink"/>
                <w:noProof/>
              </w:rPr>
              <w:t>Respiratory Conditions</w:t>
            </w:r>
            <w:r w:rsidR="000C742E">
              <w:rPr>
                <w:noProof/>
                <w:webHidden/>
              </w:rPr>
              <w:tab/>
            </w:r>
            <w:r w:rsidR="000C742E">
              <w:rPr>
                <w:noProof/>
                <w:webHidden/>
              </w:rPr>
              <w:fldChar w:fldCharType="begin"/>
            </w:r>
            <w:r w:rsidR="000C742E">
              <w:rPr>
                <w:noProof/>
                <w:webHidden/>
              </w:rPr>
              <w:instrText xml:space="preserve"> PAGEREF _Toc132641625 \h </w:instrText>
            </w:r>
            <w:r w:rsidR="000C742E">
              <w:rPr>
                <w:noProof/>
                <w:webHidden/>
              </w:rPr>
            </w:r>
            <w:r w:rsidR="000C742E">
              <w:rPr>
                <w:noProof/>
                <w:webHidden/>
              </w:rPr>
              <w:fldChar w:fldCharType="separate"/>
            </w:r>
            <w:r w:rsidR="00885A0E">
              <w:rPr>
                <w:noProof/>
                <w:webHidden/>
              </w:rPr>
              <w:t>29</w:t>
            </w:r>
            <w:r w:rsidR="000C742E">
              <w:rPr>
                <w:noProof/>
                <w:webHidden/>
              </w:rPr>
              <w:fldChar w:fldCharType="end"/>
            </w:r>
          </w:hyperlink>
        </w:p>
        <w:p w14:paraId="2D91CE3E" w14:textId="45E9E1DE" w:rsidR="000C742E" w:rsidRDefault="00BD5C86">
          <w:pPr>
            <w:pStyle w:val="TOC3"/>
            <w:tabs>
              <w:tab w:val="right" w:leader="dot" w:pos="10790"/>
            </w:tabs>
            <w:rPr>
              <w:i w:val="0"/>
              <w:iCs w:val="0"/>
              <w:noProof/>
              <w:sz w:val="22"/>
              <w:szCs w:val="22"/>
              <w:lang w:bidi="ar-SA"/>
            </w:rPr>
          </w:pPr>
          <w:hyperlink w:anchor="_Toc132641626" w:history="1">
            <w:r w:rsidR="000C742E" w:rsidRPr="00177C01">
              <w:rPr>
                <w:rStyle w:val="Hyperlink"/>
                <w:noProof/>
              </w:rPr>
              <w:t>Behavioral Health</w:t>
            </w:r>
            <w:r w:rsidR="000C742E">
              <w:rPr>
                <w:noProof/>
                <w:webHidden/>
              </w:rPr>
              <w:tab/>
            </w:r>
            <w:r w:rsidR="000C742E">
              <w:rPr>
                <w:noProof/>
                <w:webHidden/>
              </w:rPr>
              <w:fldChar w:fldCharType="begin"/>
            </w:r>
            <w:r w:rsidR="000C742E">
              <w:rPr>
                <w:noProof/>
                <w:webHidden/>
              </w:rPr>
              <w:instrText xml:space="preserve"> PAGEREF _Toc132641626 \h </w:instrText>
            </w:r>
            <w:r w:rsidR="000C742E">
              <w:rPr>
                <w:noProof/>
                <w:webHidden/>
              </w:rPr>
            </w:r>
            <w:r w:rsidR="000C742E">
              <w:rPr>
                <w:noProof/>
                <w:webHidden/>
              </w:rPr>
              <w:fldChar w:fldCharType="separate"/>
            </w:r>
            <w:r w:rsidR="00885A0E">
              <w:rPr>
                <w:noProof/>
                <w:webHidden/>
              </w:rPr>
              <w:t>30</w:t>
            </w:r>
            <w:r w:rsidR="000C742E">
              <w:rPr>
                <w:noProof/>
                <w:webHidden/>
              </w:rPr>
              <w:fldChar w:fldCharType="end"/>
            </w:r>
          </w:hyperlink>
        </w:p>
        <w:p w14:paraId="4DA1D978" w14:textId="288B1CD2" w:rsidR="000C742E" w:rsidRDefault="00BD5C86">
          <w:pPr>
            <w:pStyle w:val="TOC3"/>
            <w:tabs>
              <w:tab w:val="right" w:leader="dot" w:pos="10790"/>
            </w:tabs>
            <w:rPr>
              <w:i w:val="0"/>
              <w:iCs w:val="0"/>
              <w:noProof/>
              <w:sz w:val="22"/>
              <w:szCs w:val="22"/>
              <w:lang w:bidi="ar-SA"/>
            </w:rPr>
          </w:pPr>
          <w:hyperlink w:anchor="_Toc132641627" w:history="1">
            <w:r w:rsidR="000C742E" w:rsidRPr="00177C01">
              <w:rPr>
                <w:rStyle w:val="Hyperlink"/>
                <w:noProof/>
              </w:rPr>
              <w:t>Utilization</w:t>
            </w:r>
            <w:r w:rsidR="000C742E">
              <w:rPr>
                <w:noProof/>
                <w:webHidden/>
              </w:rPr>
              <w:tab/>
            </w:r>
            <w:r w:rsidR="000C742E">
              <w:rPr>
                <w:noProof/>
                <w:webHidden/>
              </w:rPr>
              <w:fldChar w:fldCharType="begin"/>
            </w:r>
            <w:r w:rsidR="000C742E">
              <w:rPr>
                <w:noProof/>
                <w:webHidden/>
              </w:rPr>
              <w:instrText xml:space="preserve"> PAGEREF _Toc132641627 \h </w:instrText>
            </w:r>
            <w:r w:rsidR="000C742E">
              <w:rPr>
                <w:noProof/>
                <w:webHidden/>
              </w:rPr>
            </w:r>
            <w:r w:rsidR="000C742E">
              <w:rPr>
                <w:noProof/>
                <w:webHidden/>
              </w:rPr>
              <w:fldChar w:fldCharType="separate"/>
            </w:r>
            <w:r w:rsidR="00885A0E">
              <w:rPr>
                <w:noProof/>
                <w:webHidden/>
              </w:rPr>
              <w:t>32</w:t>
            </w:r>
            <w:r w:rsidR="000C742E">
              <w:rPr>
                <w:noProof/>
                <w:webHidden/>
              </w:rPr>
              <w:fldChar w:fldCharType="end"/>
            </w:r>
          </w:hyperlink>
        </w:p>
        <w:p w14:paraId="5520AC3B" w14:textId="25AF77A1" w:rsidR="000C742E" w:rsidRDefault="00BD5C86">
          <w:pPr>
            <w:pStyle w:val="TOC2"/>
            <w:rPr>
              <w:smallCaps w:val="0"/>
              <w:noProof/>
              <w:sz w:val="22"/>
              <w:szCs w:val="22"/>
              <w:lang w:bidi="ar-SA"/>
            </w:rPr>
          </w:pPr>
          <w:hyperlink w:anchor="_Toc132641628" w:history="1">
            <w:r w:rsidR="000C742E" w:rsidRPr="00177C01">
              <w:rPr>
                <w:rStyle w:val="Hyperlink"/>
                <w:noProof/>
              </w:rPr>
              <w:t>Consumer Assessment of Healthcare Providers and Systems (CAHPS) Survey</w:t>
            </w:r>
            <w:r w:rsidR="000C742E">
              <w:rPr>
                <w:noProof/>
                <w:webHidden/>
              </w:rPr>
              <w:tab/>
            </w:r>
            <w:r w:rsidR="000C742E">
              <w:rPr>
                <w:noProof/>
                <w:webHidden/>
              </w:rPr>
              <w:fldChar w:fldCharType="begin"/>
            </w:r>
            <w:r w:rsidR="000C742E">
              <w:rPr>
                <w:noProof/>
                <w:webHidden/>
              </w:rPr>
              <w:instrText xml:space="preserve"> PAGEREF _Toc132641628 \h </w:instrText>
            </w:r>
            <w:r w:rsidR="000C742E">
              <w:rPr>
                <w:noProof/>
                <w:webHidden/>
              </w:rPr>
            </w:r>
            <w:r w:rsidR="000C742E">
              <w:rPr>
                <w:noProof/>
                <w:webHidden/>
              </w:rPr>
              <w:fldChar w:fldCharType="separate"/>
            </w:r>
            <w:r w:rsidR="00885A0E">
              <w:rPr>
                <w:noProof/>
                <w:webHidden/>
              </w:rPr>
              <w:t>40</w:t>
            </w:r>
            <w:r w:rsidR="000C742E">
              <w:rPr>
                <w:noProof/>
                <w:webHidden/>
              </w:rPr>
              <w:fldChar w:fldCharType="end"/>
            </w:r>
          </w:hyperlink>
        </w:p>
        <w:p w14:paraId="617C32E4" w14:textId="4938F738" w:rsidR="000C742E" w:rsidRDefault="00BD5C86">
          <w:pPr>
            <w:pStyle w:val="TOC3"/>
            <w:tabs>
              <w:tab w:val="right" w:leader="dot" w:pos="10790"/>
            </w:tabs>
            <w:rPr>
              <w:i w:val="0"/>
              <w:iCs w:val="0"/>
              <w:noProof/>
              <w:sz w:val="22"/>
              <w:szCs w:val="22"/>
              <w:lang w:bidi="ar-SA"/>
            </w:rPr>
          </w:pPr>
          <w:hyperlink w:anchor="_Toc132641629" w:history="1">
            <w:r w:rsidR="000C742E" w:rsidRPr="00177C01">
              <w:rPr>
                <w:rStyle w:val="Hyperlink"/>
                <w:noProof/>
              </w:rPr>
              <w:t>Satisfaction with the Experience of Care</w:t>
            </w:r>
            <w:r w:rsidR="000C742E">
              <w:rPr>
                <w:noProof/>
                <w:webHidden/>
              </w:rPr>
              <w:tab/>
            </w:r>
            <w:r w:rsidR="000C742E">
              <w:rPr>
                <w:noProof/>
                <w:webHidden/>
              </w:rPr>
              <w:fldChar w:fldCharType="begin"/>
            </w:r>
            <w:r w:rsidR="000C742E">
              <w:rPr>
                <w:noProof/>
                <w:webHidden/>
              </w:rPr>
              <w:instrText xml:space="preserve"> PAGEREF _Toc132641629 \h </w:instrText>
            </w:r>
            <w:r w:rsidR="000C742E">
              <w:rPr>
                <w:noProof/>
                <w:webHidden/>
              </w:rPr>
            </w:r>
            <w:r w:rsidR="000C742E">
              <w:rPr>
                <w:noProof/>
                <w:webHidden/>
              </w:rPr>
              <w:fldChar w:fldCharType="separate"/>
            </w:r>
            <w:r w:rsidR="00885A0E">
              <w:rPr>
                <w:noProof/>
                <w:webHidden/>
              </w:rPr>
              <w:t>40</w:t>
            </w:r>
            <w:r w:rsidR="000C742E">
              <w:rPr>
                <w:noProof/>
                <w:webHidden/>
              </w:rPr>
              <w:fldChar w:fldCharType="end"/>
            </w:r>
          </w:hyperlink>
        </w:p>
        <w:p w14:paraId="74B93E66" w14:textId="5D9C200F" w:rsidR="000C742E" w:rsidRDefault="00BD5C86">
          <w:pPr>
            <w:pStyle w:val="TOC3"/>
            <w:tabs>
              <w:tab w:val="right" w:leader="dot" w:pos="10790"/>
            </w:tabs>
            <w:rPr>
              <w:i w:val="0"/>
              <w:iCs w:val="0"/>
              <w:noProof/>
              <w:sz w:val="22"/>
              <w:szCs w:val="22"/>
              <w:lang w:bidi="ar-SA"/>
            </w:rPr>
          </w:pPr>
          <w:hyperlink w:anchor="_Toc132641630" w:history="1">
            <w:r w:rsidR="000C742E" w:rsidRPr="00177C01">
              <w:rPr>
                <w:rStyle w:val="Hyperlink"/>
                <w:noProof/>
              </w:rPr>
              <w:t>MY 2021 Child CAHPS 5.1H Survey Results</w:t>
            </w:r>
            <w:r w:rsidR="000C742E">
              <w:rPr>
                <w:noProof/>
                <w:webHidden/>
              </w:rPr>
              <w:tab/>
            </w:r>
            <w:r w:rsidR="000C742E">
              <w:rPr>
                <w:noProof/>
                <w:webHidden/>
              </w:rPr>
              <w:fldChar w:fldCharType="begin"/>
            </w:r>
            <w:r w:rsidR="000C742E">
              <w:rPr>
                <w:noProof/>
                <w:webHidden/>
              </w:rPr>
              <w:instrText xml:space="preserve"> PAGEREF _Toc132641630 \h </w:instrText>
            </w:r>
            <w:r w:rsidR="000C742E">
              <w:rPr>
                <w:noProof/>
                <w:webHidden/>
              </w:rPr>
            </w:r>
            <w:r w:rsidR="000C742E">
              <w:rPr>
                <w:noProof/>
                <w:webHidden/>
              </w:rPr>
              <w:fldChar w:fldCharType="separate"/>
            </w:r>
            <w:r w:rsidR="00885A0E">
              <w:rPr>
                <w:noProof/>
                <w:webHidden/>
              </w:rPr>
              <w:t>40</w:t>
            </w:r>
            <w:r w:rsidR="000C742E">
              <w:rPr>
                <w:noProof/>
                <w:webHidden/>
              </w:rPr>
              <w:fldChar w:fldCharType="end"/>
            </w:r>
          </w:hyperlink>
        </w:p>
        <w:p w14:paraId="019BCCA3" w14:textId="5A7FAAF3" w:rsidR="000C742E" w:rsidRDefault="00BD5C86" w:rsidP="00155488">
          <w:pPr>
            <w:pStyle w:val="TOC1"/>
            <w:rPr>
              <w:noProof/>
              <w:sz w:val="22"/>
              <w:szCs w:val="22"/>
              <w:lang w:bidi="ar-SA"/>
            </w:rPr>
          </w:pPr>
          <w:hyperlink w:anchor="_Toc132641631" w:history="1">
            <w:r w:rsidR="000C742E" w:rsidRPr="00177C01">
              <w:rPr>
                <w:rStyle w:val="Hyperlink"/>
                <w:noProof/>
              </w:rPr>
              <w:t>III: Review of Compliance with Medicaid and CHIP Managed Care Regulations</w:t>
            </w:r>
            <w:r w:rsidR="000C742E">
              <w:rPr>
                <w:noProof/>
                <w:webHidden/>
              </w:rPr>
              <w:tab/>
            </w:r>
            <w:r w:rsidR="000C742E">
              <w:rPr>
                <w:noProof/>
                <w:webHidden/>
              </w:rPr>
              <w:fldChar w:fldCharType="begin"/>
            </w:r>
            <w:r w:rsidR="000C742E">
              <w:rPr>
                <w:noProof/>
                <w:webHidden/>
              </w:rPr>
              <w:instrText xml:space="preserve"> PAGEREF _Toc132641631 \h </w:instrText>
            </w:r>
            <w:r w:rsidR="000C742E">
              <w:rPr>
                <w:noProof/>
                <w:webHidden/>
              </w:rPr>
            </w:r>
            <w:r w:rsidR="000C742E">
              <w:rPr>
                <w:noProof/>
                <w:webHidden/>
              </w:rPr>
              <w:fldChar w:fldCharType="separate"/>
            </w:r>
            <w:r w:rsidR="00885A0E">
              <w:rPr>
                <w:noProof/>
                <w:webHidden/>
              </w:rPr>
              <w:t>41</w:t>
            </w:r>
            <w:r w:rsidR="000C742E">
              <w:rPr>
                <w:noProof/>
                <w:webHidden/>
              </w:rPr>
              <w:fldChar w:fldCharType="end"/>
            </w:r>
          </w:hyperlink>
        </w:p>
        <w:p w14:paraId="51064D2D" w14:textId="719C9ABD" w:rsidR="000C742E" w:rsidRDefault="00BD5C86">
          <w:pPr>
            <w:pStyle w:val="TOC2"/>
            <w:rPr>
              <w:smallCaps w:val="0"/>
              <w:noProof/>
              <w:sz w:val="22"/>
              <w:szCs w:val="22"/>
              <w:lang w:bidi="ar-SA"/>
            </w:rPr>
          </w:pPr>
          <w:hyperlink w:anchor="_Toc132641632" w:history="1">
            <w:r w:rsidR="000C742E" w:rsidRPr="00177C01">
              <w:rPr>
                <w:rStyle w:val="Hyperlink"/>
                <w:noProof/>
              </w:rPr>
              <w:t>Objectives</w:t>
            </w:r>
            <w:r w:rsidR="000C742E">
              <w:rPr>
                <w:noProof/>
                <w:webHidden/>
              </w:rPr>
              <w:tab/>
            </w:r>
            <w:r w:rsidR="000C742E">
              <w:rPr>
                <w:noProof/>
                <w:webHidden/>
              </w:rPr>
              <w:fldChar w:fldCharType="begin"/>
            </w:r>
            <w:r w:rsidR="000C742E">
              <w:rPr>
                <w:noProof/>
                <w:webHidden/>
              </w:rPr>
              <w:instrText xml:space="preserve"> PAGEREF _Toc132641632 \h </w:instrText>
            </w:r>
            <w:r w:rsidR="000C742E">
              <w:rPr>
                <w:noProof/>
                <w:webHidden/>
              </w:rPr>
            </w:r>
            <w:r w:rsidR="000C742E">
              <w:rPr>
                <w:noProof/>
                <w:webHidden/>
              </w:rPr>
              <w:fldChar w:fldCharType="separate"/>
            </w:r>
            <w:r w:rsidR="00885A0E">
              <w:rPr>
                <w:noProof/>
                <w:webHidden/>
              </w:rPr>
              <w:t>41</w:t>
            </w:r>
            <w:r w:rsidR="000C742E">
              <w:rPr>
                <w:noProof/>
                <w:webHidden/>
              </w:rPr>
              <w:fldChar w:fldCharType="end"/>
            </w:r>
          </w:hyperlink>
        </w:p>
        <w:p w14:paraId="79CB8785" w14:textId="11F010EA" w:rsidR="000C742E" w:rsidRDefault="00BD5C86">
          <w:pPr>
            <w:pStyle w:val="TOC2"/>
            <w:rPr>
              <w:smallCaps w:val="0"/>
              <w:noProof/>
              <w:sz w:val="22"/>
              <w:szCs w:val="22"/>
              <w:lang w:bidi="ar-SA"/>
            </w:rPr>
          </w:pPr>
          <w:hyperlink w:anchor="_Toc132641633" w:history="1">
            <w:r w:rsidR="000C742E" w:rsidRPr="00177C01">
              <w:rPr>
                <w:rStyle w:val="Hyperlink"/>
                <w:noProof/>
              </w:rPr>
              <w:t>Description of Data Obtained</w:t>
            </w:r>
            <w:r w:rsidR="000C742E">
              <w:rPr>
                <w:noProof/>
                <w:webHidden/>
              </w:rPr>
              <w:tab/>
            </w:r>
            <w:r w:rsidR="000C742E">
              <w:rPr>
                <w:noProof/>
                <w:webHidden/>
              </w:rPr>
              <w:fldChar w:fldCharType="begin"/>
            </w:r>
            <w:r w:rsidR="000C742E">
              <w:rPr>
                <w:noProof/>
                <w:webHidden/>
              </w:rPr>
              <w:instrText xml:space="preserve"> PAGEREF _Toc132641633 \h </w:instrText>
            </w:r>
            <w:r w:rsidR="000C742E">
              <w:rPr>
                <w:noProof/>
                <w:webHidden/>
              </w:rPr>
            </w:r>
            <w:r w:rsidR="000C742E">
              <w:rPr>
                <w:noProof/>
                <w:webHidden/>
              </w:rPr>
              <w:fldChar w:fldCharType="separate"/>
            </w:r>
            <w:r w:rsidR="00885A0E">
              <w:rPr>
                <w:noProof/>
                <w:webHidden/>
              </w:rPr>
              <w:t>41</w:t>
            </w:r>
            <w:r w:rsidR="000C742E">
              <w:rPr>
                <w:noProof/>
                <w:webHidden/>
              </w:rPr>
              <w:fldChar w:fldCharType="end"/>
            </w:r>
          </w:hyperlink>
        </w:p>
        <w:p w14:paraId="101AEC42" w14:textId="784DC61C" w:rsidR="000C742E" w:rsidRDefault="00BD5C86">
          <w:pPr>
            <w:pStyle w:val="TOC2"/>
            <w:rPr>
              <w:smallCaps w:val="0"/>
              <w:noProof/>
              <w:sz w:val="22"/>
              <w:szCs w:val="22"/>
              <w:lang w:bidi="ar-SA"/>
            </w:rPr>
          </w:pPr>
          <w:hyperlink w:anchor="_Toc132641634" w:history="1">
            <w:r w:rsidR="000C742E" w:rsidRPr="00177C01">
              <w:rPr>
                <w:rStyle w:val="Hyperlink"/>
                <w:noProof/>
              </w:rPr>
              <w:t>Determination of Compliance</w:t>
            </w:r>
            <w:r w:rsidR="000C742E">
              <w:rPr>
                <w:noProof/>
                <w:webHidden/>
              </w:rPr>
              <w:tab/>
            </w:r>
            <w:r w:rsidR="000C742E">
              <w:rPr>
                <w:noProof/>
                <w:webHidden/>
              </w:rPr>
              <w:fldChar w:fldCharType="begin"/>
            </w:r>
            <w:r w:rsidR="000C742E">
              <w:rPr>
                <w:noProof/>
                <w:webHidden/>
              </w:rPr>
              <w:instrText xml:space="preserve"> PAGEREF _Toc132641634 \h </w:instrText>
            </w:r>
            <w:r w:rsidR="000C742E">
              <w:rPr>
                <w:noProof/>
                <w:webHidden/>
              </w:rPr>
            </w:r>
            <w:r w:rsidR="000C742E">
              <w:rPr>
                <w:noProof/>
                <w:webHidden/>
              </w:rPr>
              <w:fldChar w:fldCharType="separate"/>
            </w:r>
            <w:r w:rsidR="00885A0E">
              <w:rPr>
                <w:noProof/>
                <w:webHidden/>
              </w:rPr>
              <w:t>42</w:t>
            </w:r>
            <w:r w:rsidR="000C742E">
              <w:rPr>
                <w:noProof/>
                <w:webHidden/>
              </w:rPr>
              <w:fldChar w:fldCharType="end"/>
            </w:r>
          </w:hyperlink>
        </w:p>
        <w:p w14:paraId="73E66C07" w14:textId="712445C7" w:rsidR="000C742E" w:rsidRDefault="00BD5C86">
          <w:pPr>
            <w:pStyle w:val="TOC2"/>
            <w:rPr>
              <w:smallCaps w:val="0"/>
              <w:noProof/>
              <w:sz w:val="22"/>
              <w:szCs w:val="22"/>
              <w:lang w:bidi="ar-SA"/>
            </w:rPr>
          </w:pPr>
          <w:hyperlink w:anchor="_Toc132641635" w:history="1">
            <w:r w:rsidR="000C742E" w:rsidRPr="00177C01">
              <w:rPr>
                <w:rStyle w:val="Hyperlink"/>
                <w:noProof/>
              </w:rPr>
              <w:t>Findings</w:t>
            </w:r>
            <w:r w:rsidR="000C742E">
              <w:rPr>
                <w:noProof/>
                <w:webHidden/>
              </w:rPr>
              <w:tab/>
            </w:r>
            <w:r w:rsidR="000C742E">
              <w:rPr>
                <w:noProof/>
                <w:webHidden/>
              </w:rPr>
              <w:fldChar w:fldCharType="begin"/>
            </w:r>
            <w:r w:rsidR="000C742E">
              <w:rPr>
                <w:noProof/>
                <w:webHidden/>
              </w:rPr>
              <w:instrText xml:space="preserve"> PAGEREF _Toc132641635 \h </w:instrText>
            </w:r>
            <w:r w:rsidR="000C742E">
              <w:rPr>
                <w:noProof/>
                <w:webHidden/>
              </w:rPr>
            </w:r>
            <w:r w:rsidR="000C742E">
              <w:rPr>
                <w:noProof/>
                <w:webHidden/>
              </w:rPr>
              <w:fldChar w:fldCharType="separate"/>
            </w:r>
            <w:r w:rsidR="00885A0E">
              <w:rPr>
                <w:noProof/>
                <w:webHidden/>
              </w:rPr>
              <w:t>43</w:t>
            </w:r>
            <w:r w:rsidR="000C742E">
              <w:rPr>
                <w:noProof/>
                <w:webHidden/>
              </w:rPr>
              <w:fldChar w:fldCharType="end"/>
            </w:r>
          </w:hyperlink>
        </w:p>
        <w:p w14:paraId="69CB3064" w14:textId="61AF5BD5" w:rsidR="000C742E" w:rsidRDefault="00BD5C86">
          <w:pPr>
            <w:pStyle w:val="TOC2"/>
            <w:rPr>
              <w:smallCaps w:val="0"/>
              <w:noProof/>
              <w:sz w:val="22"/>
              <w:szCs w:val="22"/>
              <w:lang w:bidi="ar-SA"/>
            </w:rPr>
          </w:pPr>
          <w:hyperlink w:anchor="_Toc132641636" w:history="1">
            <w:r w:rsidR="000C742E" w:rsidRPr="00177C01">
              <w:rPr>
                <w:rStyle w:val="Hyperlink"/>
                <w:noProof/>
              </w:rPr>
              <w:t>Subpart D: MCO, PIHP and PAHP Standards</w:t>
            </w:r>
            <w:r w:rsidR="000C742E">
              <w:rPr>
                <w:noProof/>
                <w:webHidden/>
              </w:rPr>
              <w:tab/>
            </w:r>
            <w:r w:rsidR="000C742E">
              <w:rPr>
                <w:noProof/>
                <w:webHidden/>
              </w:rPr>
              <w:fldChar w:fldCharType="begin"/>
            </w:r>
            <w:r w:rsidR="000C742E">
              <w:rPr>
                <w:noProof/>
                <w:webHidden/>
              </w:rPr>
              <w:instrText xml:space="preserve"> PAGEREF _Toc132641636 \h </w:instrText>
            </w:r>
            <w:r w:rsidR="000C742E">
              <w:rPr>
                <w:noProof/>
                <w:webHidden/>
              </w:rPr>
            </w:r>
            <w:r w:rsidR="000C742E">
              <w:rPr>
                <w:noProof/>
                <w:webHidden/>
              </w:rPr>
              <w:fldChar w:fldCharType="separate"/>
            </w:r>
            <w:r w:rsidR="00885A0E">
              <w:rPr>
                <w:noProof/>
                <w:webHidden/>
              </w:rPr>
              <w:t>43</w:t>
            </w:r>
            <w:r w:rsidR="000C742E">
              <w:rPr>
                <w:noProof/>
                <w:webHidden/>
              </w:rPr>
              <w:fldChar w:fldCharType="end"/>
            </w:r>
          </w:hyperlink>
        </w:p>
        <w:p w14:paraId="330C633E" w14:textId="15604EDF" w:rsidR="000C742E" w:rsidRDefault="00BD5C86">
          <w:pPr>
            <w:pStyle w:val="TOC2"/>
            <w:rPr>
              <w:smallCaps w:val="0"/>
              <w:noProof/>
              <w:sz w:val="22"/>
              <w:szCs w:val="22"/>
              <w:lang w:bidi="ar-SA"/>
            </w:rPr>
          </w:pPr>
          <w:hyperlink w:anchor="_Toc132641637" w:history="1">
            <w:r w:rsidR="000C742E" w:rsidRPr="00177C01">
              <w:rPr>
                <w:rStyle w:val="Hyperlink"/>
                <w:noProof/>
              </w:rPr>
              <w:t>Subpart E: Quality Measurement and Improvement</w:t>
            </w:r>
            <w:r w:rsidR="000C742E">
              <w:rPr>
                <w:noProof/>
                <w:webHidden/>
              </w:rPr>
              <w:tab/>
            </w:r>
            <w:r w:rsidR="000C742E">
              <w:rPr>
                <w:noProof/>
                <w:webHidden/>
              </w:rPr>
              <w:fldChar w:fldCharType="begin"/>
            </w:r>
            <w:r w:rsidR="000C742E">
              <w:rPr>
                <w:noProof/>
                <w:webHidden/>
              </w:rPr>
              <w:instrText xml:space="preserve"> PAGEREF _Toc132641637 \h </w:instrText>
            </w:r>
            <w:r w:rsidR="000C742E">
              <w:rPr>
                <w:noProof/>
                <w:webHidden/>
              </w:rPr>
            </w:r>
            <w:r w:rsidR="000C742E">
              <w:rPr>
                <w:noProof/>
                <w:webHidden/>
              </w:rPr>
              <w:fldChar w:fldCharType="separate"/>
            </w:r>
            <w:r w:rsidR="00885A0E">
              <w:rPr>
                <w:noProof/>
                <w:webHidden/>
              </w:rPr>
              <w:t>44</w:t>
            </w:r>
            <w:r w:rsidR="000C742E">
              <w:rPr>
                <w:noProof/>
                <w:webHidden/>
              </w:rPr>
              <w:fldChar w:fldCharType="end"/>
            </w:r>
          </w:hyperlink>
        </w:p>
        <w:p w14:paraId="7D47FF1C" w14:textId="604819E5" w:rsidR="000C742E" w:rsidRPr="00155488" w:rsidRDefault="00BD5C86" w:rsidP="00155488">
          <w:pPr>
            <w:pStyle w:val="TOC1"/>
            <w:rPr>
              <w:rFonts w:cstheme="minorHAnsi"/>
              <w:noProof/>
              <w:sz w:val="22"/>
              <w:szCs w:val="22"/>
              <w:lang w:bidi="ar-SA"/>
            </w:rPr>
          </w:pPr>
          <w:hyperlink w:anchor="_Toc132641638" w:history="1">
            <w:r w:rsidR="000C742E" w:rsidRPr="00155488">
              <w:rPr>
                <w:rStyle w:val="Hyperlink"/>
                <w:rFonts w:eastAsia="PMingLiU" w:cstheme="minorHAnsi"/>
                <w:noProof/>
              </w:rPr>
              <w:t>IV: MCO Responses to the Previous EQR Recommendations</w:t>
            </w:r>
            <w:r w:rsidR="000C742E" w:rsidRPr="00155488">
              <w:rPr>
                <w:rFonts w:cstheme="minorHAnsi"/>
                <w:noProof/>
                <w:webHidden/>
              </w:rPr>
              <w:tab/>
            </w:r>
            <w:r w:rsidR="000C742E" w:rsidRPr="00155488">
              <w:rPr>
                <w:rFonts w:cstheme="minorHAnsi"/>
                <w:noProof/>
                <w:webHidden/>
              </w:rPr>
              <w:fldChar w:fldCharType="begin"/>
            </w:r>
            <w:r w:rsidR="000C742E" w:rsidRPr="00155488">
              <w:rPr>
                <w:rFonts w:cstheme="minorHAnsi"/>
                <w:noProof/>
                <w:webHidden/>
              </w:rPr>
              <w:instrText xml:space="preserve"> PAGEREF _Toc132641638 \h </w:instrText>
            </w:r>
            <w:r w:rsidR="000C742E" w:rsidRPr="00155488">
              <w:rPr>
                <w:rFonts w:cstheme="minorHAnsi"/>
                <w:noProof/>
                <w:webHidden/>
              </w:rPr>
            </w:r>
            <w:r w:rsidR="000C742E" w:rsidRPr="00155488">
              <w:rPr>
                <w:rFonts w:cstheme="minorHAnsi"/>
                <w:noProof/>
                <w:webHidden/>
              </w:rPr>
              <w:fldChar w:fldCharType="separate"/>
            </w:r>
            <w:r w:rsidR="00885A0E">
              <w:rPr>
                <w:rFonts w:cstheme="minorHAnsi"/>
                <w:noProof/>
                <w:webHidden/>
              </w:rPr>
              <w:t>45</w:t>
            </w:r>
            <w:r w:rsidR="000C742E" w:rsidRPr="00155488">
              <w:rPr>
                <w:rFonts w:cstheme="minorHAnsi"/>
                <w:noProof/>
                <w:webHidden/>
              </w:rPr>
              <w:fldChar w:fldCharType="end"/>
            </w:r>
          </w:hyperlink>
        </w:p>
        <w:p w14:paraId="4E12E136" w14:textId="1775B897" w:rsidR="000C742E" w:rsidRDefault="00BD5C86">
          <w:pPr>
            <w:pStyle w:val="TOC2"/>
            <w:rPr>
              <w:smallCaps w:val="0"/>
              <w:noProof/>
              <w:sz w:val="22"/>
              <w:szCs w:val="22"/>
              <w:lang w:bidi="ar-SA"/>
            </w:rPr>
          </w:pPr>
          <w:hyperlink w:anchor="_Toc132641639" w:history="1">
            <w:r w:rsidR="000C742E" w:rsidRPr="00177C01">
              <w:rPr>
                <w:rStyle w:val="Hyperlink"/>
                <w:noProof/>
              </w:rPr>
              <w:t>Current and Proposed Interventions</w:t>
            </w:r>
            <w:r w:rsidR="000C742E">
              <w:rPr>
                <w:noProof/>
                <w:webHidden/>
              </w:rPr>
              <w:tab/>
            </w:r>
            <w:r w:rsidR="000C742E">
              <w:rPr>
                <w:noProof/>
                <w:webHidden/>
              </w:rPr>
              <w:fldChar w:fldCharType="begin"/>
            </w:r>
            <w:r w:rsidR="000C742E">
              <w:rPr>
                <w:noProof/>
                <w:webHidden/>
              </w:rPr>
              <w:instrText xml:space="preserve"> PAGEREF _Toc132641639 \h </w:instrText>
            </w:r>
            <w:r w:rsidR="000C742E">
              <w:rPr>
                <w:noProof/>
                <w:webHidden/>
              </w:rPr>
            </w:r>
            <w:r w:rsidR="000C742E">
              <w:rPr>
                <w:noProof/>
                <w:webHidden/>
              </w:rPr>
              <w:fldChar w:fldCharType="separate"/>
            </w:r>
            <w:r w:rsidR="00885A0E">
              <w:rPr>
                <w:noProof/>
                <w:webHidden/>
              </w:rPr>
              <w:t>45</w:t>
            </w:r>
            <w:r w:rsidR="000C742E">
              <w:rPr>
                <w:noProof/>
                <w:webHidden/>
              </w:rPr>
              <w:fldChar w:fldCharType="end"/>
            </w:r>
          </w:hyperlink>
        </w:p>
        <w:p w14:paraId="4556C130" w14:textId="582BEEA9" w:rsidR="000C742E" w:rsidRDefault="00BD5C86">
          <w:pPr>
            <w:pStyle w:val="TOC2"/>
            <w:rPr>
              <w:smallCaps w:val="0"/>
              <w:noProof/>
              <w:sz w:val="22"/>
              <w:szCs w:val="22"/>
              <w:lang w:bidi="ar-SA"/>
            </w:rPr>
          </w:pPr>
          <w:hyperlink w:anchor="_Toc132641640" w:history="1">
            <w:r w:rsidR="000C742E" w:rsidRPr="00177C01">
              <w:rPr>
                <w:rStyle w:val="Hyperlink"/>
                <w:rFonts w:eastAsia="Times New Roman"/>
                <w:noProof/>
              </w:rPr>
              <w:t>UPMC Response to Previous EQR Recommendations</w:t>
            </w:r>
            <w:r w:rsidR="000C742E">
              <w:rPr>
                <w:noProof/>
                <w:webHidden/>
              </w:rPr>
              <w:tab/>
            </w:r>
            <w:r w:rsidR="000C742E">
              <w:rPr>
                <w:noProof/>
                <w:webHidden/>
              </w:rPr>
              <w:fldChar w:fldCharType="begin"/>
            </w:r>
            <w:r w:rsidR="000C742E">
              <w:rPr>
                <w:noProof/>
                <w:webHidden/>
              </w:rPr>
              <w:instrText xml:space="preserve"> PAGEREF _Toc132641640 \h </w:instrText>
            </w:r>
            <w:r w:rsidR="000C742E">
              <w:rPr>
                <w:noProof/>
                <w:webHidden/>
              </w:rPr>
            </w:r>
            <w:r w:rsidR="000C742E">
              <w:rPr>
                <w:noProof/>
                <w:webHidden/>
              </w:rPr>
              <w:fldChar w:fldCharType="separate"/>
            </w:r>
            <w:r w:rsidR="00885A0E">
              <w:rPr>
                <w:noProof/>
                <w:webHidden/>
              </w:rPr>
              <w:t>45</w:t>
            </w:r>
            <w:r w:rsidR="000C742E">
              <w:rPr>
                <w:noProof/>
                <w:webHidden/>
              </w:rPr>
              <w:fldChar w:fldCharType="end"/>
            </w:r>
          </w:hyperlink>
        </w:p>
        <w:p w14:paraId="2C3E2FD9" w14:textId="5285FD3A" w:rsidR="000C742E" w:rsidRDefault="00BD5C86" w:rsidP="00155488">
          <w:pPr>
            <w:pStyle w:val="TOC1"/>
            <w:rPr>
              <w:noProof/>
              <w:sz w:val="22"/>
              <w:szCs w:val="22"/>
              <w:lang w:bidi="ar-SA"/>
            </w:rPr>
          </w:pPr>
          <w:hyperlink w:anchor="_Toc132641641" w:history="1">
            <w:r w:rsidR="000C742E" w:rsidRPr="00177C01">
              <w:rPr>
                <w:rStyle w:val="Hyperlink"/>
                <w:noProof/>
              </w:rPr>
              <w:t>V: Strengths, Opportunities for Improvement,</w:t>
            </w:r>
            <w:r w:rsidR="000C742E" w:rsidRPr="00177C01">
              <w:rPr>
                <w:rStyle w:val="Hyperlink"/>
                <w:noProof/>
                <w:lang w:eastAsia="zh-TW"/>
              </w:rPr>
              <w:t xml:space="preserve"> </w:t>
            </w:r>
            <w:r w:rsidR="000C742E" w:rsidRPr="00177C01">
              <w:rPr>
                <w:rStyle w:val="Hyperlink"/>
                <w:noProof/>
              </w:rPr>
              <w:t>and EQR Recommendations</w:t>
            </w:r>
            <w:r w:rsidR="000C742E">
              <w:rPr>
                <w:noProof/>
                <w:webHidden/>
              </w:rPr>
              <w:tab/>
            </w:r>
            <w:r w:rsidR="000C742E">
              <w:rPr>
                <w:noProof/>
                <w:webHidden/>
              </w:rPr>
              <w:fldChar w:fldCharType="begin"/>
            </w:r>
            <w:r w:rsidR="000C742E">
              <w:rPr>
                <w:noProof/>
                <w:webHidden/>
              </w:rPr>
              <w:instrText xml:space="preserve"> PAGEREF _Toc132641641 \h </w:instrText>
            </w:r>
            <w:r w:rsidR="000C742E">
              <w:rPr>
                <w:noProof/>
                <w:webHidden/>
              </w:rPr>
            </w:r>
            <w:r w:rsidR="000C742E">
              <w:rPr>
                <w:noProof/>
                <w:webHidden/>
              </w:rPr>
              <w:fldChar w:fldCharType="separate"/>
            </w:r>
            <w:r w:rsidR="00885A0E">
              <w:rPr>
                <w:noProof/>
                <w:webHidden/>
              </w:rPr>
              <w:t>46</w:t>
            </w:r>
            <w:r w:rsidR="000C742E">
              <w:rPr>
                <w:noProof/>
                <w:webHidden/>
              </w:rPr>
              <w:fldChar w:fldCharType="end"/>
            </w:r>
          </w:hyperlink>
        </w:p>
        <w:p w14:paraId="68BE5067" w14:textId="39956983" w:rsidR="000C742E" w:rsidRDefault="00BD5C86">
          <w:pPr>
            <w:pStyle w:val="TOC2"/>
            <w:rPr>
              <w:smallCaps w:val="0"/>
              <w:noProof/>
              <w:sz w:val="22"/>
              <w:szCs w:val="22"/>
              <w:lang w:bidi="ar-SA"/>
            </w:rPr>
          </w:pPr>
          <w:hyperlink w:anchor="_Toc132641642" w:history="1">
            <w:r w:rsidR="000C742E" w:rsidRPr="00177C01">
              <w:rPr>
                <w:rStyle w:val="Hyperlink"/>
                <w:noProof/>
              </w:rPr>
              <w:t>Strengths</w:t>
            </w:r>
            <w:r w:rsidR="000C742E">
              <w:rPr>
                <w:noProof/>
                <w:webHidden/>
              </w:rPr>
              <w:tab/>
            </w:r>
            <w:r w:rsidR="000C742E">
              <w:rPr>
                <w:noProof/>
                <w:webHidden/>
              </w:rPr>
              <w:fldChar w:fldCharType="begin"/>
            </w:r>
            <w:r w:rsidR="000C742E">
              <w:rPr>
                <w:noProof/>
                <w:webHidden/>
              </w:rPr>
              <w:instrText xml:space="preserve"> PAGEREF _Toc132641642 \h </w:instrText>
            </w:r>
            <w:r w:rsidR="000C742E">
              <w:rPr>
                <w:noProof/>
                <w:webHidden/>
              </w:rPr>
            </w:r>
            <w:r w:rsidR="000C742E">
              <w:rPr>
                <w:noProof/>
                <w:webHidden/>
              </w:rPr>
              <w:fldChar w:fldCharType="separate"/>
            </w:r>
            <w:r w:rsidR="00885A0E">
              <w:rPr>
                <w:noProof/>
                <w:webHidden/>
              </w:rPr>
              <w:t>46</w:t>
            </w:r>
            <w:r w:rsidR="000C742E">
              <w:rPr>
                <w:noProof/>
                <w:webHidden/>
              </w:rPr>
              <w:fldChar w:fldCharType="end"/>
            </w:r>
          </w:hyperlink>
        </w:p>
        <w:p w14:paraId="681F5E93" w14:textId="31740B48" w:rsidR="000C742E" w:rsidRDefault="00BD5C86">
          <w:pPr>
            <w:pStyle w:val="TOC2"/>
            <w:rPr>
              <w:smallCaps w:val="0"/>
              <w:noProof/>
              <w:sz w:val="22"/>
              <w:szCs w:val="22"/>
              <w:lang w:bidi="ar-SA"/>
            </w:rPr>
          </w:pPr>
          <w:hyperlink w:anchor="_Toc132641643" w:history="1">
            <w:r w:rsidR="000C742E" w:rsidRPr="00177C01">
              <w:rPr>
                <w:rStyle w:val="Hyperlink"/>
                <w:noProof/>
              </w:rPr>
              <w:t>Opportunities for Improvement</w:t>
            </w:r>
            <w:r w:rsidR="000C742E">
              <w:rPr>
                <w:noProof/>
                <w:webHidden/>
              </w:rPr>
              <w:tab/>
            </w:r>
            <w:r w:rsidR="000C742E">
              <w:rPr>
                <w:noProof/>
                <w:webHidden/>
              </w:rPr>
              <w:fldChar w:fldCharType="begin"/>
            </w:r>
            <w:r w:rsidR="000C742E">
              <w:rPr>
                <w:noProof/>
                <w:webHidden/>
              </w:rPr>
              <w:instrText xml:space="preserve"> PAGEREF _Toc132641643 \h </w:instrText>
            </w:r>
            <w:r w:rsidR="000C742E">
              <w:rPr>
                <w:noProof/>
                <w:webHidden/>
              </w:rPr>
            </w:r>
            <w:r w:rsidR="000C742E">
              <w:rPr>
                <w:noProof/>
                <w:webHidden/>
              </w:rPr>
              <w:fldChar w:fldCharType="separate"/>
            </w:r>
            <w:r w:rsidR="00885A0E">
              <w:rPr>
                <w:noProof/>
                <w:webHidden/>
              </w:rPr>
              <w:t>46</w:t>
            </w:r>
            <w:r w:rsidR="000C742E">
              <w:rPr>
                <w:noProof/>
                <w:webHidden/>
              </w:rPr>
              <w:fldChar w:fldCharType="end"/>
            </w:r>
          </w:hyperlink>
        </w:p>
        <w:p w14:paraId="167C2178" w14:textId="5ED77380" w:rsidR="000C742E" w:rsidRDefault="00BD5C86">
          <w:pPr>
            <w:pStyle w:val="TOC2"/>
            <w:rPr>
              <w:smallCaps w:val="0"/>
              <w:noProof/>
              <w:sz w:val="22"/>
              <w:szCs w:val="22"/>
              <w:lang w:bidi="ar-SA"/>
            </w:rPr>
          </w:pPr>
          <w:hyperlink w:anchor="_Toc132641644" w:history="1">
            <w:r w:rsidR="000C742E" w:rsidRPr="00177C01">
              <w:rPr>
                <w:rStyle w:val="Hyperlink"/>
                <w:noProof/>
              </w:rPr>
              <w:t>EQR Recommendations</w:t>
            </w:r>
            <w:r w:rsidR="000C742E">
              <w:rPr>
                <w:noProof/>
                <w:webHidden/>
              </w:rPr>
              <w:tab/>
            </w:r>
            <w:r w:rsidR="000C742E">
              <w:rPr>
                <w:noProof/>
                <w:webHidden/>
              </w:rPr>
              <w:fldChar w:fldCharType="begin"/>
            </w:r>
            <w:r w:rsidR="000C742E">
              <w:rPr>
                <w:noProof/>
                <w:webHidden/>
              </w:rPr>
              <w:instrText xml:space="preserve"> PAGEREF _Toc132641644 \h </w:instrText>
            </w:r>
            <w:r w:rsidR="000C742E">
              <w:rPr>
                <w:noProof/>
                <w:webHidden/>
              </w:rPr>
            </w:r>
            <w:r w:rsidR="000C742E">
              <w:rPr>
                <w:noProof/>
                <w:webHidden/>
              </w:rPr>
              <w:fldChar w:fldCharType="separate"/>
            </w:r>
            <w:r w:rsidR="00885A0E">
              <w:rPr>
                <w:noProof/>
                <w:webHidden/>
              </w:rPr>
              <w:t>47</w:t>
            </w:r>
            <w:r w:rsidR="000C742E">
              <w:rPr>
                <w:noProof/>
                <w:webHidden/>
              </w:rPr>
              <w:fldChar w:fldCharType="end"/>
            </w:r>
          </w:hyperlink>
        </w:p>
        <w:p w14:paraId="331CB9EF" w14:textId="315DCD51" w:rsidR="000C742E" w:rsidRDefault="00BD5C86" w:rsidP="00155488">
          <w:pPr>
            <w:pStyle w:val="TOC1"/>
            <w:rPr>
              <w:noProof/>
              <w:sz w:val="22"/>
              <w:szCs w:val="22"/>
              <w:lang w:bidi="ar-SA"/>
            </w:rPr>
          </w:pPr>
          <w:hyperlink w:anchor="_Toc132641645" w:history="1">
            <w:r w:rsidR="000C742E" w:rsidRPr="00177C01">
              <w:rPr>
                <w:rStyle w:val="Hyperlink"/>
                <w:noProof/>
              </w:rPr>
              <w:t>VI: Summary of Activities</w:t>
            </w:r>
            <w:r w:rsidR="000C742E">
              <w:rPr>
                <w:noProof/>
                <w:webHidden/>
              </w:rPr>
              <w:tab/>
            </w:r>
            <w:r w:rsidR="000C742E">
              <w:rPr>
                <w:noProof/>
                <w:webHidden/>
              </w:rPr>
              <w:fldChar w:fldCharType="begin"/>
            </w:r>
            <w:r w:rsidR="000C742E">
              <w:rPr>
                <w:noProof/>
                <w:webHidden/>
              </w:rPr>
              <w:instrText xml:space="preserve"> PAGEREF _Toc132641645 \h </w:instrText>
            </w:r>
            <w:r w:rsidR="000C742E">
              <w:rPr>
                <w:noProof/>
                <w:webHidden/>
              </w:rPr>
            </w:r>
            <w:r w:rsidR="000C742E">
              <w:rPr>
                <w:noProof/>
                <w:webHidden/>
              </w:rPr>
              <w:fldChar w:fldCharType="separate"/>
            </w:r>
            <w:r w:rsidR="00885A0E">
              <w:rPr>
                <w:noProof/>
                <w:webHidden/>
              </w:rPr>
              <w:t>48</w:t>
            </w:r>
            <w:r w:rsidR="000C742E">
              <w:rPr>
                <w:noProof/>
                <w:webHidden/>
              </w:rPr>
              <w:fldChar w:fldCharType="end"/>
            </w:r>
          </w:hyperlink>
        </w:p>
        <w:p w14:paraId="7015C848" w14:textId="11C2FD7A" w:rsidR="000C742E" w:rsidRDefault="00BD5C86">
          <w:pPr>
            <w:pStyle w:val="TOC2"/>
            <w:rPr>
              <w:smallCaps w:val="0"/>
              <w:noProof/>
              <w:sz w:val="22"/>
              <w:szCs w:val="22"/>
              <w:lang w:bidi="ar-SA"/>
            </w:rPr>
          </w:pPr>
          <w:hyperlink w:anchor="_Toc132641646" w:history="1">
            <w:r w:rsidR="000C742E" w:rsidRPr="00177C01">
              <w:rPr>
                <w:rStyle w:val="Hyperlink"/>
                <w:noProof/>
              </w:rPr>
              <w:t>Performance Improvement Projects</w:t>
            </w:r>
            <w:r w:rsidR="000C742E">
              <w:rPr>
                <w:noProof/>
                <w:webHidden/>
              </w:rPr>
              <w:tab/>
            </w:r>
            <w:r w:rsidR="000C742E">
              <w:rPr>
                <w:noProof/>
                <w:webHidden/>
              </w:rPr>
              <w:fldChar w:fldCharType="begin"/>
            </w:r>
            <w:r w:rsidR="000C742E">
              <w:rPr>
                <w:noProof/>
                <w:webHidden/>
              </w:rPr>
              <w:instrText xml:space="preserve"> PAGEREF _Toc132641646 \h </w:instrText>
            </w:r>
            <w:r w:rsidR="000C742E">
              <w:rPr>
                <w:noProof/>
                <w:webHidden/>
              </w:rPr>
            </w:r>
            <w:r w:rsidR="000C742E">
              <w:rPr>
                <w:noProof/>
                <w:webHidden/>
              </w:rPr>
              <w:fldChar w:fldCharType="separate"/>
            </w:r>
            <w:r w:rsidR="00885A0E">
              <w:rPr>
                <w:noProof/>
                <w:webHidden/>
              </w:rPr>
              <w:t>48</w:t>
            </w:r>
            <w:r w:rsidR="000C742E">
              <w:rPr>
                <w:noProof/>
                <w:webHidden/>
              </w:rPr>
              <w:fldChar w:fldCharType="end"/>
            </w:r>
          </w:hyperlink>
        </w:p>
        <w:p w14:paraId="0EB176C8" w14:textId="0227DC43" w:rsidR="000C742E" w:rsidRDefault="00BD5C86">
          <w:pPr>
            <w:pStyle w:val="TOC2"/>
            <w:rPr>
              <w:smallCaps w:val="0"/>
              <w:noProof/>
              <w:sz w:val="22"/>
              <w:szCs w:val="22"/>
              <w:lang w:bidi="ar-SA"/>
            </w:rPr>
          </w:pPr>
          <w:hyperlink w:anchor="_Toc132641647" w:history="1">
            <w:r w:rsidR="000C742E" w:rsidRPr="00177C01">
              <w:rPr>
                <w:rStyle w:val="Hyperlink"/>
                <w:noProof/>
              </w:rPr>
              <w:t>Performance Measures</w:t>
            </w:r>
            <w:r w:rsidR="000C742E">
              <w:rPr>
                <w:noProof/>
                <w:webHidden/>
              </w:rPr>
              <w:tab/>
            </w:r>
            <w:r w:rsidR="000C742E">
              <w:rPr>
                <w:noProof/>
                <w:webHidden/>
              </w:rPr>
              <w:fldChar w:fldCharType="begin"/>
            </w:r>
            <w:r w:rsidR="000C742E">
              <w:rPr>
                <w:noProof/>
                <w:webHidden/>
              </w:rPr>
              <w:instrText xml:space="preserve"> PAGEREF _Toc132641647 \h </w:instrText>
            </w:r>
            <w:r w:rsidR="000C742E">
              <w:rPr>
                <w:noProof/>
                <w:webHidden/>
              </w:rPr>
            </w:r>
            <w:r w:rsidR="000C742E">
              <w:rPr>
                <w:noProof/>
                <w:webHidden/>
              </w:rPr>
              <w:fldChar w:fldCharType="separate"/>
            </w:r>
            <w:r w:rsidR="00885A0E">
              <w:rPr>
                <w:noProof/>
                <w:webHidden/>
              </w:rPr>
              <w:t>48</w:t>
            </w:r>
            <w:r w:rsidR="000C742E">
              <w:rPr>
                <w:noProof/>
                <w:webHidden/>
              </w:rPr>
              <w:fldChar w:fldCharType="end"/>
            </w:r>
          </w:hyperlink>
        </w:p>
        <w:p w14:paraId="49269D9D" w14:textId="474F7F27" w:rsidR="000C742E" w:rsidRDefault="00BD5C86">
          <w:pPr>
            <w:pStyle w:val="TOC2"/>
            <w:rPr>
              <w:smallCaps w:val="0"/>
              <w:noProof/>
              <w:sz w:val="22"/>
              <w:szCs w:val="22"/>
              <w:lang w:bidi="ar-SA"/>
            </w:rPr>
          </w:pPr>
          <w:hyperlink w:anchor="_Toc132641648" w:history="1">
            <w:r w:rsidR="000C742E" w:rsidRPr="00177C01">
              <w:rPr>
                <w:rStyle w:val="Hyperlink"/>
                <w:noProof/>
              </w:rPr>
              <w:t>Structure and Operations Standards</w:t>
            </w:r>
            <w:r w:rsidR="000C742E">
              <w:rPr>
                <w:noProof/>
                <w:webHidden/>
              </w:rPr>
              <w:tab/>
            </w:r>
            <w:r w:rsidR="000C742E">
              <w:rPr>
                <w:noProof/>
                <w:webHidden/>
              </w:rPr>
              <w:fldChar w:fldCharType="begin"/>
            </w:r>
            <w:r w:rsidR="000C742E">
              <w:rPr>
                <w:noProof/>
                <w:webHidden/>
              </w:rPr>
              <w:instrText xml:space="preserve"> PAGEREF _Toc132641648 \h </w:instrText>
            </w:r>
            <w:r w:rsidR="000C742E">
              <w:rPr>
                <w:noProof/>
                <w:webHidden/>
              </w:rPr>
            </w:r>
            <w:r w:rsidR="000C742E">
              <w:rPr>
                <w:noProof/>
                <w:webHidden/>
              </w:rPr>
              <w:fldChar w:fldCharType="separate"/>
            </w:r>
            <w:r w:rsidR="00885A0E">
              <w:rPr>
                <w:noProof/>
                <w:webHidden/>
              </w:rPr>
              <w:t>48</w:t>
            </w:r>
            <w:r w:rsidR="000C742E">
              <w:rPr>
                <w:noProof/>
                <w:webHidden/>
              </w:rPr>
              <w:fldChar w:fldCharType="end"/>
            </w:r>
          </w:hyperlink>
        </w:p>
        <w:p w14:paraId="69796A65" w14:textId="005E2E36" w:rsidR="000C742E" w:rsidRDefault="00BD5C86">
          <w:pPr>
            <w:pStyle w:val="TOC2"/>
            <w:rPr>
              <w:smallCaps w:val="0"/>
              <w:noProof/>
              <w:sz w:val="22"/>
              <w:szCs w:val="22"/>
              <w:lang w:bidi="ar-SA"/>
            </w:rPr>
          </w:pPr>
          <w:hyperlink w:anchor="_Toc132641649" w:history="1">
            <w:r w:rsidR="000C742E" w:rsidRPr="00177C01">
              <w:rPr>
                <w:rStyle w:val="Hyperlink"/>
                <w:noProof/>
              </w:rPr>
              <w:t>2021 Opportunities for Improvement MCO Response</w:t>
            </w:r>
            <w:r w:rsidR="000C742E">
              <w:rPr>
                <w:noProof/>
                <w:webHidden/>
              </w:rPr>
              <w:tab/>
            </w:r>
            <w:r w:rsidR="000C742E">
              <w:rPr>
                <w:noProof/>
                <w:webHidden/>
              </w:rPr>
              <w:fldChar w:fldCharType="begin"/>
            </w:r>
            <w:r w:rsidR="000C742E">
              <w:rPr>
                <w:noProof/>
                <w:webHidden/>
              </w:rPr>
              <w:instrText xml:space="preserve"> PAGEREF _Toc132641649 \h </w:instrText>
            </w:r>
            <w:r w:rsidR="000C742E">
              <w:rPr>
                <w:noProof/>
                <w:webHidden/>
              </w:rPr>
            </w:r>
            <w:r w:rsidR="000C742E">
              <w:rPr>
                <w:noProof/>
                <w:webHidden/>
              </w:rPr>
              <w:fldChar w:fldCharType="separate"/>
            </w:r>
            <w:r w:rsidR="00885A0E">
              <w:rPr>
                <w:noProof/>
                <w:webHidden/>
              </w:rPr>
              <w:t>48</w:t>
            </w:r>
            <w:r w:rsidR="000C742E">
              <w:rPr>
                <w:noProof/>
                <w:webHidden/>
              </w:rPr>
              <w:fldChar w:fldCharType="end"/>
            </w:r>
          </w:hyperlink>
        </w:p>
        <w:p w14:paraId="71F3A724" w14:textId="5B43A4F9" w:rsidR="000C742E" w:rsidRDefault="00BD5C86">
          <w:pPr>
            <w:pStyle w:val="TOC2"/>
            <w:rPr>
              <w:smallCaps w:val="0"/>
              <w:noProof/>
              <w:sz w:val="22"/>
              <w:szCs w:val="22"/>
              <w:lang w:bidi="ar-SA"/>
            </w:rPr>
          </w:pPr>
          <w:hyperlink w:anchor="_Toc132641650" w:history="1">
            <w:r w:rsidR="000C742E" w:rsidRPr="00177C01">
              <w:rPr>
                <w:rStyle w:val="Hyperlink"/>
                <w:noProof/>
              </w:rPr>
              <w:t>2022 Strengths and Opportunities for Improvement</w:t>
            </w:r>
            <w:r w:rsidR="000C742E">
              <w:rPr>
                <w:noProof/>
                <w:webHidden/>
              </w:rPr>
              <w:tab/>
            </w:r>
            <w:r w:rsidR="000C742E">
              <w:rPr>
                <w:noProof/>
                <w:webHidden/>
              </w:rPr>
              <w:fldChar w:fldCharType="begin"/>
            </w:r>
            <w:r w:rsidR="000C742E">
              <w:rPr>
                <w:noProof/>
                <w:webHidden/>
              </w:rPr>
              <w:instrText xml:space="preserve"> PAGEREF _Toc132641650 \h </w:instrText>
            </w:r>
            <w:r w:rsidR="000C742E">
              <w:rPr>
                <w:noProof/>
                <w:webHidden/>
              </w:rPr>
            </w:r>
            <w:r w:rsidR="000C742E">
              <w:rPr>
                <w:noProof/>
                <w:webHidden/>
              </w:rPr>
              <w:fldChar w:fldCharType="separate"/>
            </w:r>
            <w:r w:rsidR="00885A0E">
              <w:rPr>
                <w:noProof/>
                <w:webHidden/>
              </w:rPr>
              <w:t>48</w:t>
            </w:r>
            <w:r w:rsidR="000C742E">
              <w:rPr>
                <w:noProof/>
                <w:webHidden/>
              </w:rPr>
              <w:fldChar w:fldCharType="end"/>
            </w:r>
          </w:hyperlink>
        </w:p>
        <w:p w14:paraId="2B5FF2FC" w14:textId="033D2EB8" w:rsidR="000C742E" w:rsidRDefault="00BD5C86" w:rsidP="00155488">
          <w:pPr>
            <w:pStyle w:val="TOC1"/>
            <w:rPr>
              <w:noProof/>
              <w:sz w:val="22"/>
              <w:szCs w:val="22"/>
              <w:lang w:bidi="ar-SA"/>
            </w:rPr>
          </w:pPr>
          <w:hyperlink w:anchor="_Toc132641651" w:history="1">
            <w:r w:rsidR="000C742E" w:rsidRPr="00177C01">
              <w:rPr>
                <w:rStyle w:val="Hyperlink"/>
                <w:noProof/>
              </w:rPr>
              <w:t>Appendix</w:t>
            </w:r>
            <w:r w:rsidR="000C742E">
              <w:rPr>
                <w:noProof/>
                <w:webHidden/>
              </w:rPr>
              <w:tab/>
            </w:r>
            <w:r w:rsidR="000C742E">
              <w:rPr>
                <w:noProof/>
                <w:webHidden/>
              </w:rPr>
              <w:fldChar w:fldCharType="begin"/>
            </w:r>
            <w:r w:rsidR="000C742E">
              <w:rPr>
                <w:noProof/>
                <w:webHidden/>
              </w:rPr>
              <w:instrText xml:space="preserve"> PAGEREF _Toc132641651 \h </w:instrText>
            </w:r>
            <w:r w:rsidR="000C742E">
              <w:rPr>
                <w:noProof/>
                <w:webHidden/>
              </w:rPr>
            </w:r>
            <w:r w:rsidR="000C742E">
              <w:rPr>
                <w:noProof/>
                <w:webHidden/>
              </w:rPr>
              <w:fldChar w:fldCharType="separate"/>
            </w:r>
            <w:r w:rsidR="00885A0E">
              <w:rPr>
                <w:noProof/>
                <w:webHidden/>
              </w:rPr>
              <w:t>49</w:t>
            </w:r>
            <w:r w:rsidR="000C742E">
              <w:rPr>
                <w:noProof/>
                <w:webHidden/>
              </w:rPr>
              <w:fldChar w:fldCharType="end"/>
            </w:r>
          </w:hyperlink>
        </w:p>
        <w:p w14:paraId="1AF97E66" w14:textId="3F4EAA54" w:rsidR="000C742E" w:rsidRDefault="00BD5C86">
          <w:pPr>
            <w:pStyle w:val="TOC2"/>
            <w:rPr>
              <w:smallCaps w:val="0"/>
              <w:noProof/>
              <w:sz w:val="22"/>
              <w:szCs w:val="22"/>
              <w:lang w:bidi="ar-SA"/>
            </w:rPr>
          </w:pPr>
          <w:hyperlink w:anchor="_Toc132641652" w:history="1">
            <w:r w:rsidR="000C742E" w:rsidRPr="00177C01">
              <w:rPr>
                <w:rStyle w:val="Hyperlink"/>
                <w:noProof/>
              </w:rPr>
              <w:t>A.1.1. Performance Improvement Project Interventions</w:t>
            </w:r>
            <w:r w:rsidR="000C742E">
              <w:rPr>
                <w:noProof/>
                <w:webHidden/>
              </w:rPr>
              <w:tab/>
            </w:r>
            <w:r w:rsidR="000C742E">
              <w:rPr>
                <w:noProof/>
                <w:webHidden/>
              </w:rPr>
              <w:fldChar w:fldCharType="begin"/>
            </w:r>
            <w:r w:rsidR="000C742E">
              <w:rPr>
                <w:noProof/>
                <w:webHidden/>
              </w:rPr>
              <w:instrText xml:space="preserve"> PAGEREF _Toc132641652 \h </w:instrText>
            </w:r>
            <w:r w:rsidR="000C742E">
              <w:rPr>
                <w:noProof/>
                <w:webHidden/>
              </w:rPr>
            </w:r>
            <w:r w:rsidR="000C742E">
              <w:rPr>
                <w:noProof/>
                <w:webHidden/>
              </w:rPr>
              <w:fldChar w:fldCharType="separate"/>
            </w:r>
            <w:r w:rsidR="00885A0E">
              <w:rPr>
                <w:noProof/>
                <w:webHidden/>
              </w:rPr>
              <w:t>49</w:t>
            </w:r>
            <w:r w:rsidR="000C742E">
              <w:rPr>
                <w:noProof/>
                <w:webHidden/>
              </w:rPr>
              <w:fldChar w:fldCharType="end"/>
            </w:r>
          </w:hyperlink>
        </w:p>
        <w:p w14:paraId="7072C227" w14:textId="3BCD0753" w:rsidR="000C742E" w:rsidRDefault="00BD5C86">
          <w:pPr>
            <w:pStyle w:val="TOC2"/>
            <w:rPr>
              <w:smallCaps w:val="0"/>
              <w:noProof/>
              <w:sz w:val="22"/>
              <w:szCs w:val="22"/>
              <w:lang w:bidi="ar-SA"/>
            </w:rPr>
          </w:pPr>
          <w:hyperlink w:anchor="_Toc132641653" w:history="1">
            <w:r w:rsidR="000C742E" w:rsidRPr="00177C01">
              <w:rPr>
                <w:rStyle w:val="Hyperlink"/>
                <w:noProof/>
              </w:rPr>
              <w:t>A.2.1. Comprehensive Compliance Standards List</w:t>
            </w:r>
            <w:r w:rsidR="000C742E">
              <w:rPr>
                <w:noProof/>
                <w:webHidden/>
              </w:rPr>
              <w:tab/>
            </w:r>
            <w:r w:rsidR="000C742E">
              <w:rPr>
                <w:noProof/>
                <w:webHidden/>
              </w:rPr>
              <w:fldChar w:fldCharType="begin"/>
            </w:r>
            <w:r w:rsidR="000C742E">
              <w:rPr>
                <w:noProof/>
                <w:webHidden/>
              </w:rPr>
              <w:instrText xml:space="preserve"> PAGEREF _Toc132641653 \h </w:instrText>
            </w:r>
            <w:r w:rsidR="000C742E">
              <w:rPr>
                <w:noProof/>
                <w:webHidden/>
              </w:rPr>
            </w:r>
            <w:r w:rsidR="000C742E">
              <w:rPr>
                <w:noProof/>
                <w:webHidden/>
              </w:rPr>
              <w:fldChar w:fldCharType="separate"/>
            </w:r>
            <w:r w:rsidR="00885A0E">
              <w:rPr>
                <w:noProof/>
                <w:webHidden/>
              </w:rPr>
              <w:t>49</w:t>
            </w:r>
            <w:r w:rsidR="000C742E">
              <w:rPr>
                <w:noProof/>
                <w:webHidden/>
              </w:rPr>
              <w:fldChar w:fldCharType="end"/>
            </w:r>
          </w:hyperlink>
        </w:p>
        <w:p w14:paraId="7D8F4DB9" w14:textId="3A2B75B9" w:rsidR="000C742E" w:rsidRDefault="00BD5C86">
          <w:pPr>
            <w:pStyle w:val="TOC2"/>
            <w:rPr>
              <w:smallCaps w:val="0"/>
              <w:noProof/>
              <w:sz w:val="22"/>
              <w:szCs w:val="22"/>
              <w:lang w:bidi="ar-SA"/>
            </w:rPr>
          </w:pPr>
          <w:hyperlink w:anchor="_Toc132641654" w:history="1">
            <w:r w:rsidR="000C742E" w:rsidRPr="00177C01">
              <w:rPr>
                <w:rStyle w:val="Hyperlink"/>
                <w:noProof/>
              </w:rPr>
              <w:t>A.3.1. Performance Measure Graphs</w:t>
            </w:r>
            <w:r w:rsidR="000C742E">
              <w:rPr>
                <w:noProof/>
                <w:webHidden/>
              </w:rPr>
              <w:tab/>
            </w:r>
            <w:r w:rsidR="000C742E">
              <w:rPr>
                <w:noProof/>
                <w:webHidden/>
              </w:rPr>
              <w:fldChar w:fldCharType="begin"/>
            </w:r>
            <w:r w:rsidR="000C742E">
              <w:rPr>
                <w:noProof/>
                <w:webHidden/>
              </w:rPr>
              <w:instrText xml:space="preserve"> PAGEREF _Toc132641654 \h </w:instrText>
            </w:r>
            <w:r w:rsidR="000C742E">
              <w:rPr>
                <w:noProof/>
                <w:webHidden/>
              </w:rPr>
            </w:r>
            <w:r w:rsidR="000C742E">
              <w:rPr>
                <w:noProof/>
                <w:webHidden/>
              </w:rPr>
              <w:fldChar w:fldCharType="separate"/>
            </w:r>
            <w:r w:rsidR="00885A0E">
              <w:rPr>
                <w:noProof/>
                <w:webHidden/>
              </w:rPr>
              <w:t>50</w:t>
            </w:r>
            <w:r w:rsidR="000C742E">
              <w:rPr>
                <w:noProof/>
                <w:webHidden/>
              </w:rPr>
              <w:fldChar w:fldCharType="end"/>
            </w:r>
          </w:hyperlink>
        </w:p>
        <w:p w14:paraId="751E98EA" w14:textId="7DA5A046" w:rsidR="004636AB" w:rsidRPr="00F7033D" w:rsidRDefault="00C9378F">
          <w:r w:rsidRPr="00F7033D">
            <w:rPr>
              <w:b/>
              <w:bCs/>
            </w:rPr>
            <w:fldChar w:fldCharType="end"/>
          </w:r>
        </w:p>
      </w:sdtContent>
    </w:sdt>
    <w:p w14:paraId="7D3382F3" w14:textId="7717A621" w:rsidR="00231C6F" w:rsidRDefault="00231C6F" w:rsidP="00231C6F">
      <w:pPr>
        <w:tabs>
          <w:tab w:val="left" w:pos="4125"/>
        </w:tabs>
        <w:rPr>
          <w:rFonts w:asciiTheme="majorHAnsi" w:eastAsiaTheme="majorEastAsia" w:hAnsiTheme="majorHAnsi" w:cstheme="majorBidi"/>
          <w:b/>
          <w:bCs/>
          <w:color w:val="365F91" w:themeColor="accent1" w:themeShade="BF"/>
          <w:sz w:val="28"/>
          <w:szCs w:val="28"/>
          <w:lang w:eastAsia="ja-JP" w:bidi="ar-SA"/>
        </w:rPr>
      </w:pPr>
      <w:r>
        <w:rPr>
          <w:rFonts w:asciiTheme="majorHAnsi" w:eastAsiaTheme="majorEastAsia" w:hAnsiTheme="majorHAnsi" w:cstheme="majorBidi"/>
          <w:b/>
          <w:bCs/>
          <w:color w:val="365F91" w:themeColor="accent1" w:themeShade="BF"/>
          <w:sz w:val="28"/>
          <w:szCs w:val="28"/>
          <w:lang w:eastAsia="ja-JP" w:bidi="ar-SA"/>
        </w:rPr>
        <w:tab/>
      </w:r>
    </w:p>
    <w:p w14:paraId="6ACED68E" w14:textId="7D520FE7" w:rsidR="00D06888" w:rsidRPr="00F7033D" w:rsidRDefault="00D06888" w:rsidP="004A69DB">
      <w:pPr>
        <w:rPr>
          <w:rFonts w:asciiTheme="majorHAnsi" w:eastAsiaTheme="majorEastAsia" w:hAnsiTheme="majorHAnsi" w:cstheme="majorBidi"/>
          <w:b/>
          <w:bCs/>
          <w:color w:val="365F91" w:themeColor="accent1" w:themeShade="BF"/>
          <w:sz w:val="28"/>
          <w:szCs w:val="28"/>
          <w:lang w:eastAsia="ja-JP" w:bidi="ar-SA"/>
        </w:rPr>
      </w:pPr>
      <w:r w:rsidRPr="00F7033D">
        <w:rPr>
          <w:rFonts w:asciiTheme="majorHAnsi" w:eastAsiaTheme="majorEastAsia" w:hAnsiTheme="majorHAnsi" w:cstheme="majorBidi"/>
          <w:b/>
          <w:bCs/>
          <w:color w:val="365F91" w:themeColor="accent1" w:themeShade="BF"/>
          <w:sz w:val="28"/>
          <w:szCs w:val="28"/>
          <w:lang w:eastAsia="ja-JP" w:bidi="ar-SA"/>
        </w:rPr>
        <w:lastRenderedPageBreak/>
        <w:t>List of Tables and Figures</w:t>
      </w:r>
    </w:p>
    <w:p w14:paraId="24D718CA" w14:textId="77777777" w:rsidR="00FF71FC" w:rsidRPr="00F7033D" w:rsidRDefault="00FF71FC" w:rsidP="00FF71FC">
      <w:pPr>
        <w:rPr>
          <w:lang w:eastAsia="ja-JP" w:bidi="ar-SA"/>
        </w:rPr>
      </w:pPr>
    </w:p>
    <w:p w14:paraId="47E86CDE" w14:textId="5B8CFF01" w:rsidR="00155488" w:rsidRDefault="00D06888">
      <w:pPr>
        <w:pStyle w:val="TableofFigures"/>
        <w:tabs>
          <w:tab w:val="right" w:leader="dot" w:pos="10790"/>
        </w:tabs>
        <w:rPr>
          <w:noProof/>
          <w:lang w:bidi="ar-SA"/>
        </w:rPr>
      </w:pPr>
      <w:r w:rsidRPr="00F7033D">
        <w:rPr>
          <w:rFonts w:eastAsiaTheme="majorEastAsia" w:cstheme="majorBidi"/>
          <w:color w:val="365F91" w:themeColor="accent1" w:themeShade="BF"/>
        </w:rPr>
        <w:fldChar w:fldCharType="begin"/>
      </w:r>
      <w:r w:rsidRPr="00F7033D">
        <w:rPr>
          <w:rFonts w:eastAsiaTheme="majorEastAsia" w:cstheme="majorBidi"/>
          <w:color w:val="365F91" w:themeColor="accent1" w:themeShade="BF"/>
        </w:rPr>
        <w:instrText xml:space="preserve"> TOC \h \z \t "table heading,1" \c "Figure" </w:instrText>
      </w:r>
      <w:r w:rsidRPr="00F7033D">
        <w:rPr>
          <w:rFonts w:eastAsiaTheme="majorEastAsia" w:cstheme="majorBidi"/>
          <w:color w:val="365F91" w:themeColor="accent1" w:themeShade="BF"/>
        </w:rPr>
        <w:fldChar w:fldCharType="separate"/>
      </w:r>
      <w:hyperlink w:anchor="_Toc132641659" w:history="1">
        <w:r w:rsidR="00155488" w:rsidRPr="00A5604B">
          <w:rPr>
            <w:rStyle w:val="Hyperlink"/>
            <w:noProof/>
          </w:rPr>
          <w:t>Table 1.1: Element Designation</w:t>
        </w:r>
        <w:r w:rsidR="00155488">
          <w:rPr>
            <w:noProof/>
            <w:webHidden/>
          </w:rPr>
          <w:tab/>
        </w:r>
        <w:r w:rsidR="00155488">
          <w:rPr>
            <w:noProof/>
            <w:webHidden/>
          </w:rPr>
          <w:fldChar w:fldCharType="begin"/>
        </w:r>
        <w:r w:rsidR="00155488">
          <w:rPr>
            <w:noProof/>
            <w:webHidden/>
          </w:rPr>
          <w:instrText xml:space="preserve"> PAGEREF _Toc132641659 \h </w:instrText>
        </w:r>
        <w:r w:rsidR="00155488">
          <w:rPr>
            <w:noProof/>
            <w:webHidden/>
          </w:rPr>
        </w:r>
        <w:r w:rsidR="00155488">
          <w:rPr>
            <w:noProof/>
            <w:webHidden/>
          </w:rPr>
          <w:fldChar w:fldCharType="separate"/>
        </w:r>
        <w:r w:rsidR="00885A0E">
          <w:rPr>
            <w:noProof/>
            <w:webHidden/>
          </w:rPr>
          <w:t>8</w:t>
        </w:r>
        <w:r w:rsidR="00155488">
          <w:rPr>
            <w:noProof/>
            <w:webHidden/>
          </w:rPr>
          <w:fldChar w:fldCharType="end"/>
        </w:r>
      </w:hyperlink>
    </w:p>
    <w:p w14:paraId="3AA56115" w14:textId="229C75C6" w:rsidR="00155488" w:rsidRDefault="00BD5C86">
      <w:pPr>
        <w:pStyle w:val="TableofFigures"/>
        <w:tabs>
          <w:tab w:val="right" w:leader="dot" w:pos="10790"/>
        </w:tabs>
        <w:rPr>
          <w:noProof/>
          <w:lang w:bidi="ar-SA"/>
        </w:rPr>
      </w:pPr>
      <w:hyperlink w:anchor="_Toc132641660" w:history="1">
        <w:r w:rsidR="00155488" w:rsidRPr="00A5604B">
          <w:rPr>
            <w:rStyle w:val="Hyperlink"/>
            <w:rFonts w:eastAsia="Times New Roman"/>
            <w:noProof/>
          </w:rPr>
          <w:t>Table 1.2: UPMC PIP Compliance Assessments – 2022 Proposal and Baseline Report</w:t>
        </w:r>
        <w:r w:rsidR="00155488">
          <w:rPr>
            <w:noProof/>
            <w:webHidden/>
          </w:rPr>
          <w:tab/>
        </w:r>
        <w:r w:rsidR="00155488">
          <w:rPr>
            <w:noProof/>
            <w:webHidden/>
          </w:rPr>
          <w:fldChar w:fldCharType="begin"/>
        </w:r>
        <w:r w:rsidR="00155488">
          <w:rPr>
            <w:noProof/>
            <w:webHidden/>
          </w:rPr>
          <w:instrText xml:space="preserve"> PAGEREF _Toc132641660 \h </w:instrText>
        </w:r>
        <w:r w:rsidR="00155488">
          <w:rPr>
            <w:noProof/>
            <w:webHidden/>
          </w:rPr>
        </w:r>
        <w:r w:rsidR="00155488">
          <w:rPr>
            <w:noProof/>
            <w:webHidden/>
          </w:rPr>
          <w:fldChar w:fldCharType="separate"/>
        </w:r>
        <w:r w:rsidR="00885A0E">
          <w:rPr>
            <w:noProof/>
            <w:webHidden/>
          </w:rPr>
          <w:t>10</w:t>
        </w:r>
        <w:r w:rsidR="00155488">
          <w:rPr>
            <w:noProof/>
            <w:webHidden/>
          </w:rPr>
          <w:fldChar w:fldCharType="end"/>
        </w:r>
      </w:hyperlink>
    </w:p>
    <w:p w14:paraId="758A33B3" w14:textId="07CBBFC1" w:rsidR="00155488" w:rsidRDefault="00BD5C86">
      <w:pPr>
        <w:pStyle w:val="TableofFigures"/>
        <w:tabs>
          <w:tab w:val="right" w:leader="dot" w:pos="10790"/>
        </w:tabs>
        <w:rPr>
          <w:noProof/>
          <w:lang w:bidi="ar-SA"/>
        </w:rPr>
      </w:pPr>
      <w:hyperlink w:anchor="_Toc132641661" w:history="1">
        <w:r w:rsidR="00155488" w:rsidRPr="00A5604B">
          <w:rPr>
            <w:rStyle w:val="Hyperlink"/>
            <w:noProof/>
          </w:rPr>
          <w:t>Table 2.1: Performance Measure Groupings</w:t>
        </w:r>
        <w:r w:rsidR="00155488">
          <w:rPr>
            <w:noProof/>
            <w:webHidden/>
          </w:rPr>
          <w:tab/>
        </w:r>
        <w:r w:rsidR="00155488">
          <w:rPr>
            <w:noProof/>
            <w:webHidden/>
          </w:rPr>
          <w:fldChar w:fldCharType="begin"/>
        </w:r>
        <w:r w:rsidR="00155488">
          <w:rPr>
            <w:noProof/>
            <w:webHidden/>
          </w:rPr>
          <w:instrText xml:space="preserve"> PAGEREF _Toc132641661 \h </w:instrText>
        </w:r>
        <w:r w:rsidR="00155488">
          <w:rPr>
            <w:noProof/>
            <w:webHidden/>
          </w:rPr>
        </w:r>
        <w:r w:rsidR="00155488">
          <w:rPr>
            <w:noProof/>
            <w:webHidden/>
          </w:rPr>
          <w:fldChar w:fldCharType="separate"/>
        </w:r>
        <w:r w:rsidR="00885A0E">
          <w:rPr>
            <w:noProof/>
            <w:webHidden/>
          </w:rPr>
          <w:t>11</w:t>
        </w:r>
        <w:r w:rsidR="00155488">
          <w:rPr>
            <w:noProof/>
            <w:webHidden/>
          </w:rPr>
          <w:fldChar w:fldCharType="end"/>
        </w:r>
      </w:hyperlink>
    </w:p>
    <w:p w14:paraId="51EE4865" w14:textId="3B118FFF" w:rsidR="00155488" w:rsidRDefault="00BD5C86">
      <w:pPr>
        <w:pStyle w:val="TableofFigures"/>
        <w:tabs>
          <w:tab w:val="right" w:leader="dot" w:pos="10790"/>
        </w:tabs>
        <w:rPr>
          <w:noProof/>
          <w:lang w:bidi="ar-SA"/>
        </w:rPr>
      </w:pPr>
      <w:hyperlink w:anchor="_Toc132641662" w:history="1">
        <w:r w:rsidR="00155488" w:rsidRPr="00A5604B">
          <w:rPr>
            <w:rStyle w:val="Hyperlink"/>
            <w:noProof/>
          </w:rPr>
          <w:t>Table 2.2: Access to/Availability of Care</w:t>
        </w:r>
        <w:r w:rsidR="00155488">
          <w:rPr>
            <w:noProof/>
            <w:webHidden/>
          </w:rPr>
          <w:tab/>
        </w:r>
        <w:r w:rsidR="00155488">
          <w:rPr>
            <w:noProof/>
            <w:webHidden/>
          </w:rPr>
          <w:fldChar w:fldCharType="begin"/>
        </w:r>
        <w:r w:rsidR="00155488">
          <w:rPr>
            <w:noProof/>
            <w:webHidden/>
          </w:rPr>
          <w:instrText xml:space="preserve"> PAGEREF _Toc132641662 \h </w:instrText>
        </w:r>
        <w:r w:rsidR="00155488">
          <w:rPr>
            <w:noProof/>
            <w:webHidden/>
          </w:rPr>
        </w:r>
        <w:r w:rsidR="00155488">
          <w:rPr>
            <w:noProof/>
            <w:webHidden/>
          </w:rPr>
          <w:fldChar w:fldCharType="separate"/>
        </w:r>
        <w:r w:rsidR="00885A0E">
          <w:rPr>
            <w:noProof/>
            <w:webHidden/>
          </w:rPr>
          <w:t>22</w:t>
        </w:r>
        <w:r w:rsidR="00155488">
          <w:rPr>
            <w:noProof/>
            <w:webHidden/>
          </w:rPr>
          <w:fldChar w:fldCharType="end"/>
        </w:r>
      </w:hyperlink>
    </w:p>
    <w:p w14:paraId="3D5C39F6" w14:textId="4151AD34" w:rsidR="00155488" w:rsidRDefault="00BD5C86">
      <w:pPr>
        <w:pStyle w:val="TableofFigures"/>
        <w:tabs>
          <w:tab w:val="right" w:leader="dot" w:pos="10790"/>
        </w:tabs>
        <w:rPr>
          <w:noProof/>
          <w:lang w:bidi="ar-SA"/>
        </w:rPr>
      </w:pPr>
      <w:hyperlink w:anchor="_Toc132641663" w:history="1">
        <w:r w:rsidR="00155488" w:rsidRPr="00A5604B">
          <w:rPr>
            <w:rStyle w:val="Hyperlink"/>
            <w:noProof/>
          </w:rPr>
          <w:t>Table 2.3: Well-Care Visits and Immunizations</w:t>
        </w:r>
        <w:r w:rsidR="00155488">
          <w:rPr>
            <w:noProof/>
            <w:webHidden/>
          </w:rPr>
          <w:tab/>
        </w:r>
        <w:r w:rsidR="00155488">
          <w:rPr>
            <w:noProof/>
            <w:webHidden/>
          </w:rPr>
          <w:fldChar w:fldCharType="begin"/>
        </w:r>
        <w:r w:rsidR="00155488">
          <w:rPr>
            <w:noProof/>
            <w:webHidden/>
          </w:rPr>
          <w:instrText xml:space="preserve"> PAGEREF _Toc132641663 \h </w:instrText>
        </w:r>
        <w:r w:rsidR="00155488">
          <w:rPr>
            <w:noProof/>
            <w:webHidden/>
          </w:rPr>
        </w:r>
        <w:r w:rsidR="00155488">
          <w:rPr>
            <w:noProof/>
            <w:webHidden/>
          </w:rPr>
          <w:fldChar w:fldCharType="separate"/>
        </w:r>
        <w:r w:rsidR="00885A0E">
          <w:rPr>
            <w:noProof/>
            <w:webHidden/>
          </w:rPr>
          <w:t>23</w:t>
        </w:r>
        <w:r w:rsidR="00155488">
          <w:rPr>
            <w:noProof/>
            <w:webHidden/>
          </w:rPr>
          <w:fldChar w:fldCharType="end"/>
        </w:r>
      </w:hyperlink>
    </w:p>
    <w:p w14:paraId="16286218" w14:textId="40D4E601" w:rsidR="00155488" w:rsidRDefault="00BD5C86">
      <w:pPr>
        <w:pStyle w:val="TableofFigures"/>
        <w:tabs>
          <w:tab w:val="right" w:leader="dot" w:pos="10790"/>
        </w:tabs>
        <w:rPr>
          <w:noProof/>
          <w:lang w:bidi="ar-SA"/>
        </w:rPr>
      </w:pPr>
      <w:hyperlink w:anchor="_Toc132641664" w:history="1">
        <w:r w:rsidR="00155488" w:rsidRPr="00A5604B">
          <w:rPr>
            <w:rStyle w:val="Hyperlink"/>
            <w:noProof/>
          </w:rPr>
          <w:t>Table 2.4: EPSDT: Screenings and Follow-up</w:t>
        </w:r>
        <w:r w:rsidR="00155488">
          <w:rPr>
            <w:noProof/>
            <w:webHidden/>
          </w:rPr>
          <w:tab/>
        </w:r>
        <w:r w:rsidR="00155488">
          <w:rPr>
            <w:noProof/>
            <w:webHidden/>
          </w:rPr>
          <w:fldChar w:fldCharType="begin"/>
        </w:r>
        <w:r w:rsidR="00155488">
          <w:rPr>
            <w:noProof/>
            <w:webHidden/>
          </w:rPr>
          <w:instrText xml:space="preserve"> PAGEREF _Toc132641664 \h </w:instrText>
        </w:r>
        <w:r w:rsidR="00155488">
          <w:rPr>
            <w:noProof/>
            <w:webHidden/>
          </w:rPr>
        </w:r>
        <w:r w:rsidR="00155488">
          <w:rPr>
            <w:noProof/>
            <w:webHidden/>
          </w:rPr>
          <w:fldChar w:fldCharType="separate"/>
        </w:r>
        <w:r w:rsidR="00885A0E">
          <w:rPr>
            <w:noProof/>
            <w:webHidden/>
          </w:rPr>
          <w:t>27</w:t>
        </w:r>
        <w:r w:rsidR="00155488">
          <w:rPr>
            <w:noProof/>
            <w:webHidden/>
          </w:rPr>
          <w:fldChar w:fldCharType="end"/>
        </w:r>
      </w:hyperlink>
    </w:p>
    <w:p w14:paraId="2647F063" w14:textId="5B29B12D" w:rsidR="00155488" w:rsidRDefault="00BD5C86">
      <w:pPr>
        <w:pStyle w:val="TableofFigures"/>
        <w:tabs>
          <w:tab w:val="right" w:leader="dot" w:pos="10790"/>
        </w:tabs>
        <w:rPr>
          <w:noProof/>
          <w:lang w:bidi="ar-SA"/>
        </w:rPr>
      </w:pPr>
      <w:hyperlink w:anchor="_Toc132641665" w:history="1">
        <w:r w:rsidR="00155488" w:rsidRPr="00A5604B">
          <w:rPr>
            <w:rStyle w:val="Hyperlink"/>
            <w:noProof/>
          </w:rPr>
          <w:t>Table 2.5: Dental Care for Children</w:t>
        </w:r>
        <w:r w:rsidR="00155488">
          <w:rPr>
            <w:noProof/>
            <w:webHidden/>
          </w:rPr>
          <w:tab/>
        </w:r>
        <w:r w:rsidR="00155488">
          <w:rPr>
            <w:noProof/>
            <w:webHidden/>
          </w:rPr>
          <w:fldChar w:fldCharType="begin"/>
        </w:r>
        <w:r w:rsidR="00155488">
          <w:rPr>
            <w:noProof/>
            <w:webHidden/>
          </w:rPr>
          <w:instrText xml:space="preserve"> PAGEREF _Toc132641665 \h </w:instrText>
        </w:r>
        <w:r w:rsidR="00155488">
          <w:rPr>
            <w:noProof/>
            <w:webHidden/>
          </w:rPr>
        </w:r>
        <w:r w:rsidR="00155488">
          <w:rPr>
            <w:noProof/>
            <w:webHidden/>
          </w:rPr>
          <w:fldChar w:fldCharType="separate"/>
        </w:r>
        <w:r w:rsidR="00885A0E">
          <w:rPr>
            <w:noProof/>
            <w:webHidden/>
          </w:rPr>
          <w:t>28</w:t>
        </w:r>
        <w:r w:rsidR="00155488">
          <w:rPr>
            <w:noProof/>
            <w:webHidden/>
          </w:rPr>
          <w:fldChar w:fldCharType="end"/>
        </w:r>
      </w:hyperlink>
    </w:p>
    <w:p w14:paraId="30DDCC40" w14:textId="305A6CB1" w:rsidR="00155488" w:rsidRDefault="00BD5C86">
      <w:pPr>
        <w:pStyle w:val="TableofFigures"/>
        <w:tabs>
          <w:tab w:val="right" w:leader="dot" w:pos="10790"/>
        </w:tabs>
        <w:rPr>
          <w:noProof/>
          <w:lang w:bidi="ar-SA"/>
        </w:rPr>
      </w:pPr>
      <w:hyperlink w:anchor="_Toc132641666" w:history="1">
        <w:r w:rsidR="00155488" w:rsidRPr="00A5604B">
          <w:rPr>
            <w:rStyle w:val="Hyperlink"/>
            <w:noProof/>
          </w:rPr>
          <w:t>Table 2.6: Respiratory Conditions</w:t>
        </w:r>
        <w:r w:rsidR="00155488">
          <w:rPr>
            <w:noProof/>
            <w:webHidden/>
          </w:rPr>
          <w:tab/>
        </w:r>
        <w:r w:rsidR="00155488">
          <w:rPr>
            <w:noProof/>
            <w:webHidden/>
          </w:rPr>
          <w:fldChar w:fldCharType="begin"/>
        </w:r>
        <w:r w:rsidR="00155488">
          <w:rPr>
            <w:noProof/>
            <w:webHidden/>
          </w:rPr>
          <w:instrText xml:space="preserve"> PAGEREF _Toc132641666 \h </w:instrText>
        </w:r>
        <w:r w:rsidR="00155488">
          <w:rPr>
            <w:noProof/>
            <w:webHidden/>
          </w:rPr>
        </w:r>
        <w:r w:rsidR="00155488">
          <w:rPr>
            <w:noProof/>
            <w:webHidden/>
          </w:rPr>
          <w:fldChar w:fldCharType="separate"/>
        </w:r>
        <w:r w:rsidR="00885A0E">
          <w:rPr>
            <w:noProof/>
            <w:webHidden/>
          </w:rPr>
          <w:t>29</w:t>
        </w:r>
        <w:r w:rsidR="00155488">
          <w:rPr>
            <w:noProof/>
            <w:webHidden/>
          </w:rPr>
          <w:fldChar w:fldCharType="end"/>
        </w:r>
      </w:hyperlink>
    </w:p>
    <w:p w14:paraId="47F17543" w14:textId="32BA856E" w:rsidR="00155488" w:rsidRDefault="00BD5C86">
      <w:pPr>
        <w:pStyle w:val="TableofFigures"/>
        <w:tabs>
          <w:tab w:val="right" w:leader="dot" w:pos="10790"/>
        </w:tabs>
        <w:rPr>
          <w:noProof/>
          <w:lang w:bidi="ar-SA"/>
        </w:rPr>
      </w:pPr>
      <w:hyperlink w:anchor="_Toc132641667" w:history="1">
        <w:r w:rsidR="00155488" w:rsidRPr="00A5604B">
          <w:rPr>
            <w:rStyle w:val="Hyperlink"/>
            <w:noProof/>
          </w:rPr>
          <w:t>Table 2.7: Behavioral Health</w:t>
        </w:r>
        <w:r w:rsidR="00155488">
          <w:rPr>
            <w:noProof/>
            <w:webHidden/>
          </w:rPr>
          <w:tab/>
        </w:r>
        <w:r w:rsidR="00155488">
          <w:rPr>
            <w:noProof/>
            <w:webHidden/>
          </w:rPr>
          <w:fldChar w:fldCharType="begin"/>
        </w:r>
        <w:r w:rsidR="00155488">
          <w:rPr>
            <w:noProof/>
            <w:webHidden/>
          </w:rPr>
          <w:instrText xml:space="preserve"> PAGEREF _Toc132641667 \h </w:instrText>
        </w:r>
        <w:r w:rsidR="00155488">
          <w:rPr>
            <w:noProof/>
            <w:webHidden/>
          </w:rPr>
        </w:r>
        <w:r w:rsidR="00155488">
          <w:rPr>
            <w:noProof/>
            <w:webHidden/>
          </w:rPr>
          <w:fldChar w:fldCharType="separate"/>
        </w:r>
        <w:r w:rsidR="00885A0E">
          <w:rPr>
            <w:noProof/>
            <w:webHidden/>
          </w:rPr>
          <w:t>30</w:t>
        </w:r>
        <w:r w:rsidR="00155488">
          <w:rPr>
            <w:noProof/>
            <w:webHidden/>
          </w:rPr>
          <w:fldChar w:fldCharType="end"/>
        </w:r>
      </w:hyperlink>
    </w:p>
    <w:p w14:paraId="152C6628" w14:textId="624BE995" w:rsidR="00155488" w:rsidRDefault="00BD5C86">
      <w:pPr>
        <w:pStyle w:val="TableofFigures"/>
        <w:tabs>
          <w:tab w:val="right" w:leader="dot" w:pos="10790"/>
        </w:tabs>
        <w:rPr>
          <w:noProof/>
          <w:lang w:bidi="ar-SA"/>
        </w:rPr>
      </w:pPr>
      <w:hyperlink w:anchor="_Toc132641668" w:history="1">
        <w:r w:rsidR="00155488" w:rsidRPr="00A5604B">
          <w:rPr>
            <w:rStyle w:val="Hyperlink"/>
            <w:noProof/>
          </w:rPr>
          <w:t>Table 2.8: Utilization</w:t>
        </w:r>
        <w:r w:rsidR="00155488">
          <w:rPr>
            <w:noProof/>
            <w:webHidden/>
          </w:rPr>
          <w:tab/>
        </w:r>
        <w:r w:rsidR="00155488">
          <w:rPr>
            <w:noProof/>
            <w:webHidden/>
          </w:rPr>
          <w:fldChar w:fldCharType="begin"/>
        </w:r>
        <w:r w:rsidR="00155488">
          <w:rPr>
            <w:noProof/>
            <w:webHidden/>
          </w:rPr>
          <w:instrText xml:space="preserve"> PAGEREF _Toc132641668 \h </w:instrText>
        </w:r>
        <w:r w:rsidR="00155488">
          <w:rPr>
            <w:noProof/>
            <w:webHidden/>
          </w:rPr>
        </w:r>
        <w:r w:rsidR="00155488">
          <w:rPr>
            <w:noProof/>
            <w:webHidden/>
          </w:rPr>
          <w:fldChar w:fldCharType="separate"/>
        </w:r>
        <w:r w:rsidR="00885A0E">
          <w:rPr>
            <w:noProof/>
            <w:webHidden/>
          </w:rPr>
          <w:t>32</w:t>
        </w:r>
        <w:r w:rsidR="00155488">
          <w:rPr>
            <w:noProof/>
            <w:webHidden/>
          </w:rPr>
          <w:fldChar w:fldCharType="end"/>
        </w:r>
      </w:hyperlink>
    </w:p>
    <w:p w14:paraId="6357C5B3" w14:textId="16B82DFD" w:rsidR="00155488" w:rsidRDefault="00BD5C86">
      <w:pPr>
        <w:pStyle w:val="TableofFigures"/>
        <w:tabs>
          <w:tab w:val="right" w:leader="dot" w:pos="10790"/>
        </w:tabs>
        <w:rPr>
          <w:noProof/>
          <w:lang w:bidi="ar-SA"/>
        </w:rPr>
      </w:pPr>
      <w:hyperlink w:anchor="_Toc132641669" w:history="1">
        <w:r w:rsidR="00155488" w:rsidRPr="00A5604B">
          <w:rPr>
            <w:rStyle w:val="Hyperlink"/>
            <w:noProof/>
          </w:rPr>
          <w:t>Table 2.9: CAHPS MY 2021 Child Survey Results</w:t>
        </w:r>
        <w:r w:rsidR="00155488">
          <w:rPr>
            <w:noProof/>
            <w:webHidden/>
          </w:rPr>
          <w:tab/>
        </w:r>
        <w:r w:rsidR="00155488">
          <w:rPr>
            <w:noProof/>
            <w:webHidden/>
          </w:rPr>
          <w:fldChar w:fldCharType="begin"/>
        </w:r>
        <w:r w:rsidR="00155488">
          <w:rPr>
            <w:noProof/>
            <w:webHidden/>
          </w:rPr>
          <w:instrText xml:space="preserve"> PAGEREF _Toc132641669 \h </w:instrText>
        </w:r>
        <w:r w:rsidR="00155488">
          <w:rPr>
            <w:noProof/>
            <w:webHidden/>
          </w:rPr>
        </w:r>
        <w:r w:rsidR="00155488">
          <w:rPr>
            <w:noProof/>
            <w:webHidden/>
          </w:rPr>
          <w:fldChar w:fldCharType="separate"/>
        </w:r>
        <w:r w:rsidR="00885A0E">
          <w:rPr>
            <w:noProof/>
            <w:webHidden/>
          </w:rPr>
          <w:t>40</w:t>
        </w:r>
        <w:r w:rsidR="00155488">
          <w:rPr>
            <w:noProof/>
            <w:webHidden/>
          </w:rPr>
          <w:fldChar w:fldCharType="end"/>
        </w:r>
      </w:hyperlink>
    </w:p>
    <w:p w14:paraId="39485492" w14:textId="4F925011" w:rsidR="00155488" w:rsidRDefault="00BD5C86">
      <w:pPr>
        <w:pStyle w:val="TableofFigures"/>
        <w:tabs>
          <w:tab w:val="right" w:leader="dot" w:pos="10790"/>
        </w:tabs>
        <w:rPr>
          <w:noProof/>
          <w:lang w:bidi="ar-SA"/>
        </w:rPr>
      </w:pPr>
      <w:hyperlink w:anchor="_Toc132641670" w:history="1">
        <w:r w:rsidR="00155488" w:rsidRPr="00A5604B">
          <w:rPr>
            <w:rStyle w:val="Hyperlink"/>
            <w:noProof/>
          </w:rPr>
          <w:t>Table 3.1: SMART Items Count per Regulation</w:t>
        </w:r>
        <w:r w:rsidR="00155488">
          <w:rPr>
            <w:noProof/>
            <w:webHidden/>
          </w:rPr>
          <w:tab/>
        </w:r>
        <w:r w:rsidR="00155488">
          <w:rPr>
            <w:noProof/>
            <w:webHidden/>
          </w:rPr>
          <w:fldChar w:fldCharType="begin"/>
        </w:r>
        <w:r w:rsidR="00155488">
          <w:rPr>
            <w:noProof/>
            <w:webHidden/>
          </w:rPr>
          <w:instrText xml:space="preserve"> PAGEREF _Toc132641670 \h </w:instrText>
        </w:r>
        <w:r w:rsidR="00155488">
          <w:rPr>
            <w:noProof/>
            <w:webHidden/>
          </w:rPr>
        </w:r>
        <w:r w:rsidR="00155488">
          <w:rPr>
            <w:noProof/>
            <w:webHidden/>
          </w:rPr>
          <w:fldChar w:fldCharType="separate"/>
        </w:r>
        <w:r w:rsidR="00885A0E">
          <w:rPr>
            <w:noProof/>
            <w:webHidden/>
          </w:rPr>
          <w:t>42</w:t>
        </w:r>
        <w:r w:rsidR="00155488">
          <w:rPr>
            <w:noProof/>
            <w:webHidden/>
          </w:rPr>
          <w:fldChar w:fldCharType="end"/>
        </w:r>
      </w:hyperlink>
    </w:p>
    <w:p w14:paraId="26E13823" w14:textId="6F1417E8" w:rsidR="00155488" w:rsidRDefault="00BD5C86">
      <w:pPr>
        <w:pStyle w:val="TableofFigures"/>
        <w:tabs>
          <w:tab w:val="right" w:leader="dot" w:pos="10790"/>
        </w:tabs>
        <w:rPr>
          <w:noProof/>
          <w:lang w:bidi="ar-SA"/>
        </w:rPr>
      </w:pPr>
      <w:hyperlink w:anchor="_Toc132641671" w:history="1">
        <w:r w:rsidR="00155488" w:rsidRPr="00A5604B">
          <w:rPr>
            <w:rStyle w:val="Hyperlink"/>
            <w:noProof/>
          </w:rPr>
          <w:t>Table 3.2: MCO Compliance with Enrollee Rights and Protections Regulations</w:t>
        </w:r>
        <w:r w:rsidR="00155488">
          <w:rPr>
            <w:noProof/>
            <w:webHidden/>
          </w:rPr>
          <w:tab/>
        </w:r>
        <w:r w:rsidR="00155488">
          <w:rPr>
            <w:noProof/>
            <w:webHidden/>
          </w:rPr>
          <w:fldChar w:fldCharType="begin"/>
        </w:r>
        <w:r w:rsidR="00155488">
          <w:rPr>
            <w:noProof/>
            <w:webHidden/>
          </w:rPr>
          <w:instrText xml:space="preserve"> PAGEREF _Toc132641671 \h </w:instrText>
        </w:r>
        <w:r w:rsidR="00155488">
          <w:rPr>
            <w:noProof/>
            <w:webHidden/>
          </w:rPr>
        </w:r>
        <w:r w:rsidR="00155488">
          <w:rPr>
            <w:noProof/>
            <w:webHidden/>
          </w:rPr>
          <w:fldChar w:fldCharType="separate"/>
        </w:r>
        <w:r w:rsidR="00885A0E">
          <w:rPr>
            <w:noProof/>
            <w:webHidden/>
          </w:rPr>
          <w:t>43</w:t>
        </w:r>
        <w:r w:rsidR="00155488">
          <w:rPr>
            <w:noProof/>
            <w:webHidden/>
          </w:rPr>
          <w:fldChar w:fldCharType="end"/>
        </w:r>
      </w:hyperlink>
    </w:p>
    <w:p w14:paraId="29335B0D" w14:textId="0F7263F7" w:rsidR="00155488" w:rsidRDefault="00BD5C86">
      <w:pPr>
        <w:pStyle w:val="TableofFigures"/>
        <w:tabs>
          <w:tab w:val="right" w:leader="dot" w:pos="10790"/>
        </w:tabs>
        <w:rPr>
          <w:noProof/>
          <w:lang w:bidi="ar-SA"/>
        </w:rPr>
      </w:pPr>
      <w:hyperlink w:anchor="_Toc132641672" w:history="1">
        <w:r w:rsidR="00155488" w:rsidRPr="00A5604B">
          <w:rPr>
            <w:rStyle w:val="Hyperlink"/>
            <w:noProof/>
          </w:rPr>
          <w:t>Table 3.3: MCO Compliance with Quality Assessment and Performance Improvement Regulations</w:t>
        </w:r>
        <w:r w:rsidR="00155488">
          <w:rPr>
            <w:noProof/>
            <w:webHidden/>
          </w:rPr>
          <w:tab/>
        </w:r>
        <w:r w:rsidR="00155488">
          <w:rPr>
            <w:noProof/>
            <w:webHidden/>
          </w:rPr>
          <w:fldChar w:fldCharType="begin"/>
        </w:r>
        <w:r w:rsidR="00155488">
          <w:rPr>
            <w:noProof/>
            <w:webHidden/>
          </w:rPr>
          <w:instrText xml:space="preserve"> PAGEREF _Toc132641672 \h </w:instrText>
        </w:r>
        <w:r w:rsidR="00155488">
          <w:rPr>
            <w:noProof/>
            <w:webHidden/>
          </w:rPr>
        </w:r>
        <w:r w:rsidR="00155488">
          <w:rPr>
            <w:noProof/>
            <w:webHidden/>
          </w:rPr>
          <w:fldChar w:fldCharType="separate"/>
        </w:r>
        <w:r w:rsidR="00885A0E">
          <w:rPr>
            <w:noProof/>
            <w:webHidden/>
          </w:rPr>
          <w:t>44</w:t>
        </w:r>
        <w:r w:rsidR="00155488">
          <w:rPr>
            <w:noProof/>
            <w:webHidden/>
          </w:rPr>
          <w:fldChar w:fldCharType="end"/>
        </w:r>
      </w:hyperlink>
    </w:p>
    <w:p w14:paraId="3238CE60" w14:textId="6CB45D53" w:rsidR="00155488" w:rsidRDefault="00BD5C86">
      <w:pPr>
        <w:pStyle w:val="TableofFigures"/>
        <w:tabs>
          <w:tab w:val="right" w:leader="dot" w:pos="10790"/>
        </w:tabs>
        <w:rPr>
          <w:noProof/>
          <w:lang w:bidi="ar-SA"/>
        </w:rPr>
      </w:pPr>
      <w:hyperlink w:anchor="_Toc132641673" w:history="1">
        <w:r w:rsidR="00155488" w:rsidRPr="00A5604B">
          <w:rPr>
            <w:rStyle w:val="Hyperlink"/>
            <w:noProof/>
          </w:rPr>
          <w:t>Table 4.1: UPMC Response to Previous EQR Recommendations</w:t>
        </w:r>
        <w:r w:rsidR="00155488">
          <w:rPr>
            <w:noProof/>
            <w:webHidden/>
          </w:rPr>
          <w:tab/>
        </w:r>
        <w:r w:rsidR="00155488">
          <w:rPr>
            <w:noProof/>
            <w:webHidden/>
          </w:rPr>
          <w:fldChar w:fldCharType="begin"/>
        </w:r>
        <w:r w:rsidR="00155488">
          <w:rPr>
            <w:noProof/>
            <w:webHidden/>
          </w:rPr>
          <w:instrText xml:space="preserve"> PAGEREF _Toc132641673 \h </w:instrText>
        </w:r>
        <w:r w:rsidR="00155488">
          <w:rPr>
            <w:noProof/>
            <w:webHidden/>
          </w:rPr>
        </w:r>
        <w:r w:rsidR="00155488">
          <w:rPr>
            <w:noProof/>
            <w:webHidden/>
          </w:rPr>
          <w:fldChar w:fldCharType="separate"/>
        </w:r>
        <w:r w:rsidR="00885A0E">
          <w:rPr>
            <w:noProof/>
            <w:webHidden/>
          </w:rPr>
          <w:t>45</w:t>
        </w:r>
        <w:r w:rsidR="00155488">
          <w:rPr>
            <w:noProof/>
            <w:webHidden/>
          </w:rPr>
          <w:fldChar w:fldCharType="end"/>
        </w:r>
      </w:hyperlink>
    </w:p>
    <w:p w14:paraId="48520BBF" w14:textId="651B1B6B" w:rsidR="00155488" w:rsidRDefault="00BD5C86">
      <w:pPr>
        <w:pStyle w:val="TableofFigures"/>
        <w:tabs>
          <w:tab w:val="right" w:leader="dot" w:pos="10790"/>
        </w:tabs>
        <w:rPr>
          <w:noProof/>
          <w:lang w:bidi="ar-SA"/>
        </w:rPr>
      </w:pPr>
      <w:hyperlink w:anchor="_Toc132641674" w:history="1">
        <w:r w:rsidR="00155488" w:rsidRPr="00A5604B">
          <w:rPr>
            <w:rStyle w:val="Hyperlink"/>
            <w:noProof/>
          </w:rPr>
          <w:t>Table 5.1: EQR Recommendations</w:t>
        </w:r>
        <w:r w:rsidR="00155488">
          <w:rPr>
            <w:noProof/>
            <w:webHidden/>
          </w:rPr>
          <w:tab/>
        </w:r>
        <w:r w:rsidR="00155488">
          <w:rPr>
            <w:noProof/>
            <w:webHidden/>
          </w:rPr>
          <w:fldChar w:fldCharType="begin"/>
        </w:r>
        <w:r w:rsidR="00155488">
          <w:rPr>
            <w:noProof/>
            <w:webHidden/>
          </w:rPr>
          <w:instrText xml:space="preserve"> PAGEREF _Toc132641674 \h </w:instrText>
        </w:r>
        <w:r w:rsidR="00155488">
          <w:rPr>
            <w:noProof/>
            <w:webHidden/>
          </w:rPr>
        </w:r>
        <w:r w:rsidR="00155488">
          <w:rPr>
            <w:noProof/>
            <w:webHidden/>
          </w:rPr>
          <w:fldChar w:fldCharType="separate"/>
        </w:r>
        <w:r w:rsidR="00885A0E">
          <w:rPr>
            <w:noProof/>
            <w:webHidden/>
          </w:rPr>
          <w:t>47</w:t>
        </w:r>
        <w:r w:rsidR="00155488">
          <w:rPr>
            <w:noProof/>
            <w:webHidden/>
          </w:rPr>
          <w:fldChar w:fldCharType="end"/>
        </w:r>
      </w:hyperlink>
    </w:p>
    <w:p w14:paraId="0E99742F" w14:textId="0942497C" w:rsidR="00155488" w:rsidRDefault="00BD5C86">
      <w:pPr>
        <w:pStyle w:val="TableofFigures"/>
        <w:tabs>
          <w:tab w:val="right" w:leader="dot" w:pos="10790"/>
        </w:tabs>
        <w:rPr>
          <w:noProof/>
          <w:lang w:bidi="ar-SA"/>
        </w:rPr>
      </w:pPr>
      <w:hyperlink w:anchor="_Toc132641675" w:history="1">
        <w:r w:rsidR="00155488" w:rsidRPr="00A5604B">
          <w:rPr>
            <w:rStyle w:val="Hyperlink"/>
            <w:rFonts w:eastAsia="Times New Roman"/>
            <w:noProof/>
          </w:rPr>
          <w:t>Table A.1.1: PIP Interventions</w:t>
        </w:r>
        <w:r w:rsidR="00155488">
          <w:rPr>
            <w:noProof/>
            <w:webHidden/>
          </w:rPr>
          <w:tab/>
        </w:r>
        <w:r w:rsidR="00155488">
          <w:rPr>
            <w:noProof/>
            <w:webHidden/>
          </w:rPr>
          <w:fldChar w:fldCharType="begin"/>
        </w:r>
        <w:r w:rsidR="00155488">
          <w:rPr>
            <w:noProof/>
            <w:webHidden/>
          </w:rPr>
          <w:instrText xml:space="preserve"> PAGEREF _Toc132641675 \h </w:instrText>
        </w:r>
        <w:r w:rsidR="00155488">
          <w:rPr>
            <w:noProof/>
            <w:webHidden/>
          </w:rPr>
        </w:r>
        <w:r w:rsidR="00155488">
          <w:rPr>
            <w:noProof/>
            <w:webHidden/>
          </w:rPr>
          <w:fldChar w:fldCharType="separate"/>
        </w:r>
        <w:r w:rsidR="00885A0E">
          <w:rPr>
            <w:noProof/>
            <w:webHidden/>
          </w:rPr>
          <w:t>49</w:t>
        </w:r>
        <w:r w:rsidR="00155488">
          <w:rPr>
            <w:noProof/>
            <w:webHidden/>
          </w:rPr>
          <w:fldChar w:fldCharType="end"/>
        </w:r>
      </w:hyperlink>
    </w:p>
    <w:p w14:paraId="300AE1BA" w14:textId="7333921C" w:rsidR="00155488" w:rsidRDefault="00BD5C86">
      <w:pPr>
        <w:pStyle w:val="TableofFigures"/>
        <w:tabs>
          <w:tab w:val="right" w:leader="dot" w:pos="10790"/>
        </w:tabs>
        <w:rPr>
          <w:noProof/>
          <w:lang w:bidi="ar-SA"/>
        </w:rPr>
      </w:pPr>
      <w:hyperlink w:anchor="_Toc132641676" w:history="1">
        <w:r w:rsidR="00155488" w:rsidRPr="00A5604B">
          <w:rPr>
            <w:rStyle w:val="Hyperlink"/>
            <w:rFonts w:eastAsia="Times New Roman"/>
            <w:noProof/>
          </w:rPr>
          <w:t>Table A.2.1: Required and Related Structure and Compliance Standards</w:t>
        </w:r>
        <w:r w:rsidR="00155488">
          <w:rPr>
            <w:noProof/>
            <w:webHidden/>
          </w:rPr>
          <w:tab/>
        </w:r>
        <w:r w:rsidR="00155488">
          <w:rPr>
            <w:noProof/>
            <w:webHidden/>
          </w:rPr>
          <w:fldChar w:fldCharType="begin"/>
        </w:r>
        <w:r w:rsidR="00155488">
          <w:rPr>
            <w:noProof/>
            <w:webHidden/>
          </w:rPr>
          <w:instrText xml:space="preserve"> PAGEREF _Toc132641676 \h </w:instrText>
        </w:r>
        <w:r w:rsidR="00155488">
          <w:rPr>
            <w:noProof/>
            <w:webHidden/>
          </w:rPr>
        </w:r>
        <w:r w:rsidR="00155488">
          <w:rPr>
            <w:noProof/>
            <w:webHidden/>
          </w:rPr>
          <w:fldChar w:fldCharType="separate"/>
        </w:r>
        <w:r w:rsidR="00885A0E">
          <w:rPr>
            <w:noProof/>
            <w:webHidden/>
          </w:rPr>
          <w:t>49</w:t>
        </w:r>
        <w:r w:rsidR="00155488">
          <w:rPr>
            <w:noProof/>
            <w:webHidden/>
          </w:rPr>
          <w:fldChar w:fldCharType="end"/>
        </w:r>
      </w:hyperlink>
    </w:p>
    <w:p w14:paraId="2C826E52" w14:textId="0A15C308" w:rsidR="00155488" w:rsidRDefault="00BD5C86">
      <w:pPr>
        <w:pStyle w:val="TableofFigures"/>
        <w:tabs>
          <w:tab w:val="right" w:leader="dot" w:pos="10790"/>
        </w:tabs>
        <w:rPr>
          <w:noProof/>
          <w:lang w:bidi="ar-SA"/>
        </w:rPr>
      </w:pPr>
      <w:hyperlink w:anchor="_Toc132641677" w:history="1">
        <w:r w:rsidR="00155488" w:rsidRPr="00A5604B">
          <w:rPr>
            <w:rStyle w:val="Hyperlink"/>
            <w:noProof/>
          </w:rPr>
          <w:t>Figure A.3.1: Access to Care</w:t>
        </w:r>
        <w:r w:rsidR="00155488">
          <w:rPr>
            <w:noProof/>
            <w:webHidden/>
          </w:rPr>
          <w:tab/>
        </w:r>
        <w:r w:rsidR="00155488">
          <w:rPr>
            <w:noProof/>
            <w:webHidden/>
          </w:rPr>
          <w:fldChar w:fldCharType="begin"/>
        </w:r>
        <w:r w:rsidR="00155488">
          <w:rPr>
            <w:noProof/>
            <w:webHidden/>
          </w:rPr>
          <w:instrText xml:space="preserve"> PAGEREF _Toc132641677 \h </w:instrText>
        </w:r>
        <w:r w:rsidR="00155488">
          <w:rPr>
            <w:noProof/>
            <w:webHidden/>
          </w:rPr>
        </w:r>
        <w:r w:rsidR="00155488">
          <w:rPr>
            <w:noProof/>
            <w:webHidden/>
          </w:rPr>
          <w:fldChar w:fldCharType="separate"/>
        </w:r>
        <w:r w:rsidR="00885A0E">
          <w:rPr>
            <w:noProof/>
            <w:webHidden/>
          </w:rPr>
          <w:t>50</w:t>
        </w:r>
        <w:r w:rsidR="00155488">
          <w:rPr>
            <w:noProof/>
            <w:webHidden/>
          </w:rPr>
          <w:fldChar w:fldCharType="end"/>
        </w:r>
      </w:hyperlink>
    </w:p>
    <w:p w14:paraId="22CEF9C9" w14:textId="6525A358" w:rsidR="00155488" w:rsidRDefault="00BD5C86">
      <w:pPr>
        <w:pStyle w:val="TableofFigures"/>
        <w:tabs>
          <w:tab w:val="right" w:leader="dot" w:pos="10790"/>
        </w:tabs>
        <w:rPr>
          <w:noProof/>
          <w:lang w:bidi="ar-SA"/>
        </w:rPr>
      </w:pPr>
      <w:hyperlink w:anchor="_Toc132641678" w:history="1">
        <w:r w:rsidR="00155488" w:rsidRPr="00A5604B">
          <w:rPr>
            <w:rStyle w:val="Hyperlink"/>
            <w:noProof/>
          </w:rPr>
          <w:t>Figure A.3.2: Dental Care for Children I</w:t>
        </w:r>
        <w:r w:rsidR="00155488">
          <w:rPr>
            <w:noProof/>
            <w:webHidden/>
          </w:rPr>
          <w:tab/>
        </w:r>
        <w:r w:rsidR="00155488">
          <w:rPr>
            <w:noProof/>
            <w:webHidden/>
          </w:rPr>
          <w:fldChar w:fldCharType="begin"/>
        </w:r>
        <w:r w:rsidR="00155488">
          <w:rPr>
            <w:noProof/>
            <w:webHidden/>
          </w:rPr>
          <w:instrText xml:space="preserve"> PAGEREF _Toc132641678 \h </w:instrText>
        </w:r>
        <w:r w:rsidR="00155488">
          <w:rPr>
            <w:noProof/>
            <w:webHidden/>
          </w:rPr>
        </w:r>
        <w:r w:rsidR="00155488">
          <w:rPr>
            <w:noProof/>
            <w:webHidden/>
          </w:rPr>
          <w:fldChar w:fldCharType="separate"/>
        </w:r>
        <w:r w:rsidR="00885A0E">
          <w:rPr>
            <w:noProof/>
            <w:webHidden/>
          </w:rPr>
          <w:t>51</w:t>
        </w:r>
        <w:r w:rsidR="00155488">
          <w:rPr>
            <w:noProof/>
            <w:webHidden/>
          </w:rPr>
          <w:fldChar w:fldCharType="end"/>
        </w:r>
      </w:hyperlink>
    </w:p>
    <w:p w14:paraId="79515E1F" w14:textId="4405F201" w:rsidR="00155488" w:rsidRDefault="00BD5C86">
      <w:pPr>
        <w:pStyle w:val="TableofFigures"/>
        <w:tabs>
          <w:tab w:val="right" w:leader="dot" w:pos="10790"/>
        </w:tabs>
        <w:rPr>
          <w:noProof/>
          <w:lang w:bidi="ar-SA"/>
        </w:rPr>
      </w:pPr>
      <w:hyperlink w:anchor="_Toc132641679" w:history="1">
        <w:r w:rsidR="00155488" w:rsidRPr="00A5604B">
          <w:rPr>
            <w:rStyle w:val="Hyperlink"/>
            <w:noProof/>
          </w:rPr>
          <w:t>Figure A.3.3: Dental Care for Children II</w:t>
        </w:r>
        <w:r w:rsidR="00155488">
          <w:rPr>
            <w:noProof/>
            <w:webHidden/>
          </w:rPr>
          <w:tab/>
        </w:r>
        <w:r w:rsidR="00155488">
          <w:rPr>
            <w:noProof/>
            <w:webHidden/>
          </w:rPr>
          <w:fldChar w:fldCharType="begin"/>
        </w:r>
        <w:r w:rsidR="00155488">
          <w:rPr>
            <w:noProof/>
            <w:webHidden/>
          </w:rPr>
          <w:instrText xml:space="preserve"> PAGEREF _Toc132641679 \h </w:instrText>
        </w:r>
        <w:r w:rsidR="00155488">
          <w:rPr>
            <w:noProof/>
            <w:webHidden/>
          </w:rPr>
        </w:r>
        <w:r w:rsidR="00155488">
          <w:rPr>
            <w:noProof/>
            <w:webHidden/>
          </w:rPr>
          <w:fldChar w:fldCharType="separate"/>
        </w:r>
        <w:r w:rsidR="00885A0E">
          <w:rPr>
            <w:noProof/>
            <w:webHidden/>
          </w:rPr>
          <w:t>51</w:t>
        </w:r>
        <w:r w:rsidR="00155488">
          <w:rPr>
            <w:noProof/>
            <w:webHidden/>
          </w:rPr>
          <w:fldChar w:fldCharType="end"/>
        </w:r>
      </w:hyperlink>
    </w:p>
    <w:p w14:paraId="4194BDC1" w14:textId="585BCFCB" w:rsidR="00155488" w:rsidRDefault="00BD5C86">
      <w:pPr>
        <w:pStyle w:val="TableofFigures"/>
        <w:tabs>
          <w:tab w:val="right" w:leader="dot" w:pos="10790"/>
        </w:tabs>
        <w:rPr>
          <w:noProof/>
          <w:lang w:bidi="ar-SA"/>
        </w:rPr>
      </w:pPr>
      <w:hyperlink w:anchor="_Toc132641680" w:history="1">
        <w:r w:rsidR="00155488" w:rsidRPr="00A5604B">
          <w:rPr>
            <w:rStyle w:val="Hyperlink"/>
            <w:noProof/>
          </w:rPr>
          <w:t>Figure A.3.4: EPSDT: Screenings and Follow-Up I</w:t>
        </w:r>
        <w:r w:rsidR="00155488">
          <w:rPr>
            <w:noProof/>
            <w:webHidden/>
          </w:rPr>
          <w:tab/>
        </w:r>
        <w:r w:rsidR="00155488">
          <w:rPr>
            <w:noProof/>
            <w:webHidden/>
          </w:rPr>
          <w:fldChar w:fldCharType="begin"/>
        </w:r>
        <w:r w:rsidR="00155488">
          <w:rPr>
            <w:noProof/>
            <w:webHidden/>
          </w:rPr>
          <w:instrText xml:space="preserve"> PAGEREF _Toc132641680 \h </w:instrText>
        </w:r>
        <w:r w:rsidR="00155488">
          <w:rPr>
            <w:noProof/>
            <w:webHidden/>
          </w:rPr>
        </w:r>
        <w:r w:rsidR="00155488">
          <w:rPr>
            <w:noProof/>
            <w:webHidden/>
          </w:rPr>
          <w:fldChar w:fldCharType="separate"/>
        </w:r>
        <w:r w:rsidR="00885A0E">
          <w:rPr>
            <w:noProof/>
            <w:webHidden/>
          </w:rPr>
          <w:t>52</w:t>
        </w:r>
        <w:r w:rsidR="00155488">
          <w:rPr>
            <w:noProof/>
            <w:webHidden/>
          </w:rPr>
          <w:fldChar w:fldCharType="end"/>
        </w:r>
      </w:hyperlink>
    </w:p>
    <w:p w14:paraId="02405D93" w14:textId="5FAFC35C" w:rsidR="00155488" w:rsidRDefault="00BD5C86">
      <w:pPr>
        <w:pStyle w:val="TableofFigures"/>
        <w:tabs>
          <w:tab w:val="right" w:leader="dot" w:pos="10790"/>
        </w:tabs>
        <w:rPr>
          <w:noProof/>
          <w:lang w:bidi="ar-SA"/>
        </w:rPr>
      </w:pPr>
      <w:hyperlink w:anchor="_Toc132641681" w:history="1">
        <w:r w:rsidR="00155488" w:rsidRPr="00A5604B">
          <w:rPr>
            <w:rStyle w:val="Hyperlink"/>
            <w:noProof/>
          </w:rPr>
          <w:t>Figure A.3.5: EPSDT: Screenings and Follow-Up II</w:t>
        </w:r>
        <w:r w:rsidR="00155488">
          <w:rPr>
            <w:noProof/>
            <w:webHidden/>
          </w:rPr>
          <w:tab/>
        </w:r>
        <w:r w:rsidR="00155488">
          <w:rPr>
            <w:noProof/>
            <w:webHidden/>
          </w:rPr>
          <w:fldChar w:fldCharType="begin"/>
        </w:r>
        <w:r w:rsidR="00155488">
          <w:rPr>
            <w:noProof/>
            <w:webHidden/>
          </w:rPr>
          <w:instrText xml:space="preserve"> PAGEREF _Toc132641681 \h </w:instrText>
        </w:r>
        <w:r w:rsidR="00155488">
          <w:rPr>
            <w:noProof/>
            <w:webHidden/>
          </w:rPr>
        </w:r>
        <w:r w:rsidR="00155488">
          <w:rPr>
            <w:noProof/>
            <w:webHidden/>
          </w:rPr>
          <w:fldChar w:fldCharType="separate"/>
        </w:r>
        <w:r w:rsidR="00885A0E">
          <w:rPr>
            <w:noProof/>
            <w:webHidden/>
          </w:rPr>
          <w:t>52</w:t>
        </w:r>
        <w:r w:rsidR="00155488">
          <w:rPr>
            <w:noProof/>
            <w:webHidden/>
          </w:rPr>
          <w:fldChar w:fldCharType="end"/>
        </w:r>
      </w:hyperlink>
    </w:p>
    <w:p w14:paraId="7A527650" w14:textId="2A410EC3" w:rsidR="00155488" w:rsidRDefault="00BD5C86">
      <w:pPr>
        <w:pStyle w:val="TableofFigures"/>
        <w:tabs>
          <w:tab w:val="right" w:leader="dot" w:pos="10790"/>
        </w:tabs>
        <w:rPr>
          <w:noProof/>
          <w:lang w:bidi="ar-SA"/>
        </w:rPr>
      </w:pPr>
      <w:hyperlink w:anchor="_Toc132641682" w:history="1">
        <w:r w:rsidR="00155488" w:rsidRPr="00A5604B">
          <w:rPr>
            <w:rStyle w:val="Hyperlink"/>
            <w:noProof/>
          </w:rPr>
          <w:t>Figure A.3.6: Respiratory Conditions</w:t>
        </w:r>
        <w:r w:rsidR="00155488">
          <w:rPr>
            <w:noProof/>
            <w:webHidden/>
          </w:rPr>
          <w:tab/>
        </w:r>
        <w:r w:rsidR="00155488">
          <w:rPr>
            <w:noProof/>
            <w:webHidden/>
          </w:rPr>
          <w:fldChar w:fldCharType="begin"/>
        </w:r>
        <w:r w:rsidR="00155488">
          <w:rPr>
            <w:noProof/>
            <w:webHidden/>
          </w:rPr>
          <w:instrText xml:space="preserve"> PAGEREF _Toc132641682 \h </w:instrText>
        </w:r>
        <w:r w:rsidR="00155488">
          <w:rPr>
            <w:noProof/>
            <w:webHidden/>
          </w:rPr>
        </w:r>
        <w:r w:rsidR="00155488">
          <w:rPr>
            <w:noProof/>
            <w:webHidden/>
          </w:rPr>
          <w:fldChar w:fldCharType="separate"/>
        </w:r>
        <w:r w:rsidR="00885A0E">
          <w:rPr>
            <w:noProof/>
            <w:webHidden/>
          </w:rPr>
          <w:t>53</w:t>
        </w:r>
        <w:r w:rsidR="00155488">
          <w:rPr>
            <w:noProof/>
            <w:webHidden/>
          </w:rPr>
          <w:fldChar w:fldCharType="end"/>
        </w:r>
      </w:hyperlink>
    </w:p>
    <w:p w14:paraId="4891D7D2" w14:textId="4C35F082" w:rsidR="00155488" w:rsidRDefault="00BD5C86">
      <w:pPr>
        <w:pStyle w:val="TableofFigures"/>
        <w:tabs>
          <w:tab w:val="right" w:leader="dot" w:pos="10790"/>
        </w:tabs>
        <w:rPr>
          <w:noProof/>
          <w:lang w:bidi="ar-SA"/>
        </w:rPr>
      </w:pPr>
      <w:hyperlink w:anchor="_Toc132641683" w:history="1">
        <w:r w:rsidR="00155488" w:rsidRPr="00A5604B">
          <w:rPr>
            <w:rStyle w:val="Hyperlink"/>
            <w:noProof/>
          </w:rPr>
          <w:t>Figure A.3.7: Well Care I</w:t>
        </w:r>
        <w:r w:rsidR="00155488">
          <w:rPr>
            <w:noProof/>
            <w:webHidden/>
          </w:rPr>
          <w:tab/>
        </w:r>
        <w:r w:rsidR="00155488">
          <w:rPr>
            <w:noProof/>
            <w:webHidden/>
          </w:rPr>
          <w:fldChar w:fldCharType="begin"/>
        </w:r>
        <w:r w:rsidR="00155488">
          <w:rPr>
            <w:noProof/>
            <w:webHidden/>
          </w:rPr>
          <w:instrText xml:space="preserve"> PAGEREF _Toc132641683 \h </w:instrText>
        </w:r>
        <w:r w:rsidR="00155488">
          <w:rPr>
            <w:noProof/>
            <w:webHidden/>
          </w:rPr>
        </w:r>
        <w:r w:rsidR="00155488">
          <w:rPr>
            <w:noProof/>
            <w:webHidden/>
          </w:rPr>
          <w:fldChar w:fldCharType="separate"/>
        </w:r>
        <w:r w:rsidR="00885A0E">
          <w:rPr>
            <w:noProof/>
            <w:webHidden/>
          </w:rPr>
          <w:t>53</w:t>
        </w:r>
        <w:r w:rsidR="00155488">
          <w:rPr>
            <w:noProof/>
            <w:webHidden/>
          </w:rPr>
          <w:fldChar w:fldCharType="end"/>
        </w:r>
      </w:hyperlink>
    </w:p>
    <w:p w14:paraId="1E116E54" w14:textId="37EB9837" w:rsidR="00155488" w:rsidRDefault="00BD5C86">
      <w:pPr>
        <w:pStyle w:val="TableofFigures"/>
        <w:tabs>
          <w:tab w:val="right" w:leader="dot" w:pos="10790"/>
        </w:tabs>
        <w:rPr>
          <w:noProof/>
          <w:lang w:bidi="ar-SA"/>
        </w:rPr>
      </w:pPr>
      <w:hyperlink w:anchor="_Toc132641684" w:history="1">
        <w:r w:rsidR="00155488" w:rsidRPr="00A5604B">
          <w:rPr>
            <w:rStyle w:val="Hyperlink"/>
            <w:noProof/>
          </w:rPr>
          <w:t>Figure A.3.8: Well Care II</w:t>
        </w:r>
        <w:r w:rsidR="00155488">
          <w:rPr>
            <w:noProof/>
            <w:webHidden/>
          </w:rPr>
          <w:tab/>
        </w:r>
        <w:r w:rsidR="00155488">
          <w:rPr>
            <w:noProof/>
            <w:webHidden/>
          </w:rPr>
          <w:fldChar w:fldCharType="begin"/>
        </w:r>
        <w:r w:rsidR="00155488">
          <w:rPr>
            <w:noProof/>
            <w:webHidden/>
          </w:rPr>
          <w:instrText xml:space="preserve"> PAGEREF _Toc132641684 \h </w:instrText>
        </w:r>
        <w:r w:rsidR="00155488">
          <w:rPr>
            <w:noProof/>
            <w:webHidden/>
          </w:rPr>
        </w:r>
        <w:r w:rsidR="00155488">
          <w:rPr>
            <w:noProof/>
            <w:webHidden/>
          </w:rPr>
          <w:fldChar w:fldCharType="separate"/>
        </w:r>
        <w:r w:rsidR="00885A0E">
          <w:rPr>
            <w:noProof/>
            <w:webHidden/>
          </w:rPr>
          <w:t>54</w:t>
        </w:r>
        <w:r w:rsidR="00155488">
          <w:rPr>
            <w:noProof/>
            <w:webHidden/>
          </w:rPr>
          <w:fldChar w:fldCharType="end"/>
        </w:r>
      </w:hyperlink>
    </w:p>
    <w:p w14:paraId="1DC25A98" w14:textId="54456BB7" w:rsidR="00155488" w:rsidRDefault="00BD5C86">
      <w:pPr>
        <w:pStyle w:val="TableofFigures"/>
        <w:tabs>
          <w:tab w:val="right" w:leader="dot" w:pos="10790"/>
        </w:tabs>
        <w:rPr>
          <w:noProof/>
          <w:lang w:bidi="ar-SA"/>
        </w:rPr>
      </w:pPr>
      <w:hyperlink w:anchor="_Toc132641685" w:history="1">
        <w:r w:rsidR="00155488" w:rsidRPr="00A5604B">
          <w:rPr>
            <w:rStyle w:val="Hyperlink"/>
            <w:noProof/>
          </w:rPr>
          <w:t>Figure A.3.9: Well Care III</w:t>
        </w:r>
        <w:r w:rsidR="00155488">
          <w:rPr>
            <w:noProof/>
            <w:webHidden/>
          </w:rPr>
          <w:tab/>
        </w:r>
        <w:r w:rsidR="00155488">
          <w:rPr>
            <w:noProof/>
            <w:webHidden/>
          </w:rPr>
          <w:fldChar w:fldCharType="begin"/>
        </w:r>
        <w:r w:rsidR="00155488">
          <w:rPr>
            <w:noProof/>
            <w:webHidden/>
          </w:rPr>
          <w:instrText xml:space="preserve"> PAGEREF _Toc132641685 \h </w:instrText>
        </w:r>
        <w:r w:rsidR="00155488">
          <w:rPr>
            <w:noProof/>
            <w:webHidden/>
          </w:rPr>
        </w:r>
        <w:r w:rsidR="00155488">
          <w:rPr>
            <w:noProof/>
            <w:webHidden/>
          </w:rPr>
          <w:fldChar w:fldCharType="separate"/>
        </w:r>
        <w:r w:rsidR="00885A0E">
          <w:rPr>
            <w:noProof/>
            <w:webHidden/>
          </w:rPr>
          <w:t>54</w:t>
        </w:r>
        <w:r w:rsidR="00155488">
          <w:rPr>
            <w:noProof/>
            <w:webHidden/>
          </w:rPr>
          <w:fldChar w:fldCharType="end"/>
        </w:r>
      </w:hyperlink>
    </w:p>
    <w:p w14:paraId="441A3709" w14:textId="62BDE83F" w:rsidR="00155488" w:rsidRDefault="00BD5C86">
      <w:pPr>
        <w:pStyle w:val="TableofFigures"/>
        <w:tabs>
          <w:tab w:val="right" w:leader="dot" w:pos="10790"/>
        </w:tabs>
        <w:rPr>
          <w:noProof/>
          <w:lang w:bidi="ar-SA"/>
        </w:rPr>
      </w:pPr>
      <w:hyperlink w:anchor="_Toc132641686" w:history="1">
        <w:r w:rsidR="00155488" w:rsidRPr="00A5604B">
          <w:rPr>
            <w:rStyle w:val="Hyperlink"/>
            <w:noProof/>
          </w:rPr>
          <w:t>Figure A.3.10: Well Care IV</w:t>
        </w:r>
        <w:r w:rsidR="00155488">
          <w:rPr>
            <w:noProof/>
            <w:webHidden/>
          </w:rPr>
          <w:tab/>
        </w:r>
        <w:r w:rsidR="00155488">
          <w:rPr>
            <w:noProof/>
            <w:webHidden/>
          </w:rPr>
          <w:fldChar w:fldCharType="begin"/>
        </w:r>
        <w:r w:rsidR="00155488">
          <w:rPr>
            <w:noProof/>
            <w:webHidden/>
          </w:rPr>
          <w:instrText xml:space="preserve"> PAGEREF _Toc132641686 \h </w:instrText>
        </w:r>
        <w:r w:rsidR="00155488">
          <w:rPr>
            <w:noProof/>
            <w:webHidden/>
          </w:rPr>
        </w:r>
        <w:r w:rsidR="00155488">
          <w:rPr>
            <w:noProof/>
            <w:webHidden/>
          </w:rPr>
          <w:fldChar w:fldCharType="separate"/>
        </w:r>
        <w:r w:rsidR="00885A0E">
          <w:rPr>
            <w:noProof/>
            <w:webHidden/>
          </w:rPr>
          <w:t>55</w:t>
        </w:r>
        <w:r w:rsidR="00155488">
          <w:rPr>
            <w:noProof/>
            <w:webHidden/>
          </w:rPr>
          <w:fldChar w:fldCharType="end"/>
        </w:r>
      </w:hyperlink>
    </w:p>
    <w:p w14:paraId="3CBE287D" w14:textId="2A54A94A" w:rsidR="00155488" w:rsidRDefault="00BD5C86">
      <w:pPr>
        <w:pStyle w:val="TableofFigures"/>
        <w:tabs>
          <w:tab w:val="right" w:leader="dot" w:pos="10790"/>
        </w:tabs>
        <w:rPr>
          <w:noProof/>
          <w:lang w:bidi="ar-SA"/>
        </w:rPr>
      </w:pPr>
      <w:hyperlink w:anchor="_Toc132641687" w:history="1">
        <w:r w:rsidR="00155488" w:rsidRPr="00A5604B">
          <w:rPr>
            <w:rStyle w:val="Hyperlink"/>
            <w:noProof/>
          </w:rPr>
          <w:t>Figure A.3.11: Well Care V</w:t>
        </w:r>
        <w:r w:rsidR="00155488">
          <w:rPr>
            <w:noProof/>
            <w:webHidden/>
          </w:rPr>
          <w:tab/>
        </w:r>
        <w:r w:rsidR="00155488">
          <w:rPr>
            <w:noProof/>
            <w:webHidden/>
          </w:rPr>
          <w:fldChar w:fldCharType="begin"/>
        </w:r>
        <w:r w:rsidR="00155488">
          <w:rPr>
            <w:noProof/>
            <w:webHidden/>
          </w:rPr>
          <w:instrText xml:space="preserve"> PAGEREF _Toc132641687 \h </w:instrText>
        </w:r>
        <w:r w:rsidR="00155488">
          <w:rPr>
            <w:noProof/>
            <w:webHidden/>
          </w:rPr>
        </w:r>
        <w:r w:rsidR="00155488">
          <w:rPr>
            <w:noProof/>
            <w:webHidden/>
          </w:rPr>
          <w:fldChar w:fldCharType="separate"/>
        </w:r>
        <w:r w:rsidR="00885A0E">
          <w:rPr>
            <w:noProof/>
            <w:webHidden/>
          </w:rPr>
          <w:t>55</w:t>
        </w:r>
        <w:r w:rsidR="00155488">
          <w:rPr>
            <w:noProof/>
            <w:webHidden/>
          </w:rPr>
          <w:fldChar w:fldCharType="end"/>
        </w:r>
      </w:hyperlink>
    </w:p>
    <w:p w14:paraId="1200E997" w14:textId="6624238B" w:rsidR="00D06888" w:rsidRPr="00F7033D" w:rsidRDefault="00D06888" w:rsidP="00D06888">
      <w:pPr>
        <w:rPr>
          <w:rFonts w:asciiTheme="majorHAnsi" w:eastAsiaTheme="majorEastAsia" w:hAnsiTheme="majorHAnsi" w:cstheme="majorBidi"/>
          <w:b/>
          <w:bCs/>
          <w:color w:val="365F91" w:themeColor="accent1" w:themeShade="BF"/>
          <w:sz w:val="28"/>
          <w:szCs w:val="28"/>
          <w:lang w:eastAsia="ja-JP" w:bidi="ar-SA"/>
        </w:rPr>
      </w:pPr>
      <w:r w:rsidRPr="00F7033D">
        <w:rPr>
          <w:rFonts w:eastAsiaTheme="majorEastAsia" w:cstheme="majorBidi"/>
          <w:color w:val="365F91" w:themeColor="accent1" w:themeShade="BF"/>
        </w:rPr>
        <w:fldChar w:fldCharType="end"/>
      </w:r>
    </w:p>
    <w:p w14:paraId="6F545470" w14:textId="24617F86" w:rsidR="00FF71FC" w:rsidRPr="00F7033D" w:rsidRDefault="00F01389">
      <w:pPr>
        <w:rPr>
          <w:rFonts w:asciiTheme="majorHAnsi" w:eastAsiaTheme="majorEastAsia" w:hAnsiTheme="majorHAnsi" w:cstheme="majorBidi"/>
          <w:b/>
          <w:bCs/>
          <w:color w:val="365F91" w:themeColor="accent1" w:themeShade="BF"/>
          <w:sz w:val="28"/>
          <w:szCs w:val="28"/>
        </w:rPr>
      </w:pPr>
      <w:bookmarkStart w:id="0" w:name="_Toc512521010"/>
      <w:bookmarkStart w:id="1" w:name="_Toc512521012"/>
      <w:r w:rsidRPr="00F7033D">
        <w:rPr>
          <w:b/>
          <w:noProof/>
          <w:lang w:bidi="ar-SA"/>
        </w:rPr>
        <mc:AlternateContent>
          <mc:Choice Requires="wps">
            <w:drawing>
              <wp:anchor distT="0" distB="0" distL="114300" distR="114300" simplePos="0" relativeHeight="251662848" behindDoc="0" locked="0" layoutInCell="0" allowOverlap="1" wp14:anchorId="05FEF0E5" wp14:editId="738046B8">
                <wp:simplePos x="0" y="0"/>
                <wp:positionH relativeFrom="margin">
                  <wp:align>left</wp:align>
                </wp:positionH>
                <wp:positionV relativeFrom="margin">
                  <wp:align>bottom</wp:align>
                </wp:positionV>
                <wp:extent cx="6858000" cy="807823"/>
                <wp:effectExtent l="0" t="0" r="19050"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7823"/>
                        </a:xfrm>
                        <a:prstGeom prst="rect">
                          <a:avLst/>
                        </a:prstGeom>
                        <a:solidFill>
                          <a:srgbClr val="FFFFFF"/>
                        </a:solidFill>
                        <a:ln w="9525">
                          <a:solidFill>
                            <a:srgbClr val="000000"/>
                          </a:solidFill>
                          <a:miter lim="800000"/>
                          <a:headEnd/>
                          <a:tailEnd/>
                        </a:ln>
                      </wps:spPr>
                      <wps:txbx>
                        <w:txbxContent>
                          <w:p w14:paraId="37DCC93D" w14:textId="0025E654" w:rsidR="006726B4" w:rsidRPr="006B157C" w:rsidRDefault="006726B4" w:rsidP="00F01389">
                            <w:r>
                              <w:t>Healthcare Effectiveness Data and Information Set (</w:t>
                            </w:r>
                            <w:r w:rsidRPr="006B157C">
                              <w:t>HEDIS</w:t>
                            </w:r>
                            <w:r w:rsidR="00527DA6">
                              <w:rPr>
                                <w:rFonts w:cstheme="minorHAnsi"/>
                              </w:rPr>
                              <w:t>®</w:t>
                            </w:r>
                            <w:r>
                              <w:t>)</w:t>
                            </w:r>
                            <w:r w:rsidRPr="006B157C">
                              <w:t xml:space="preserve"> and The Quality Compass</w:t>
                            </w:r>
                            <w:r w:rsidR="00527DA6">
                              <w:rPr>
                                <w:rFonts w:cstheme="minorHAnsi"/>
                              </w:rPr>
                              <w:t>®</w:t>
                            </w:r>
                            <w:r w:rsidRPr="006B157C">
                              <w:t xml:space="preserve"> are registered trademarks of the National Committee for Quality Assurance (NCQA). NCQA™ is a trademark of the National Committee for Quality Assurance. </w:t>
                            </w:r>
                            <w:r w:rsidRPr="0027155A">
                              <w:t>Consumer Assessment of Healthcare Providers and Systems (CAHPS</w:t>
                            </w:r>
                            <w:r>
                              <w:rPr>
                                <w:rFonts w:cstheme="minorHAnsi"/>
                              </w:rPr>
                              <w:t>®</w:t>
                            </w:r>
                            <w:r w:rsidRPr="0027155A">
                              <w:t>)</w:t>
                            </w:r>
                            <w:r>
                              <w:t xml:space="preserve"> is a registered trademark of the Agency for Healthcare Research and Quality (AHRQ).</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EF0E5" id="_x0000_t202" coordsize="21600,21600" o:spt="202" path="m,l,21600r21600,l21600,xe">
                <v:stroke joinstyle="miter"/>
                <v:path gradientshapeok="t" o:connecttype="rect"/>
              </v:shapetype>
              <v:shape id="Text Box 9" o:spid="_x0000_s1026" type="#_x0000_t202" style="position:absolute;left:0;text-align:left;margin-left:0;margin-top:0;width:540pt;height:63.6pt;z-index:25166284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" o:allowincell="f">
                <v:textbox>
                  <w:txbxContent>
                    <w:p w14:paraId="37DCC93D" w14:textId="0025E654" w:rsidR="006726B4" w:rsidRPr="006B157C" w:rsidRDefault="006726B4" w:rsidP="00F01389">
                      <w:r>
                        <w:t>Healthcare Effectiveness Data and Information Set (</w:t>
                      </w:r>
                      <w:r w:rsidRPr="006B157C">
                        <w:t>HEDIS</w:t>
                      </w:r>
                      <w:r w:rsidR="00527DA6">
                        <w:rPr>
                          <w:rFonts w:cstheme="minorHAnsi"/>
                        </w:rPr>
                        <w:t>®</w:t>
                      </w:r>
                      <w:r>
                        <w:t>)</w:t>
                      </w:r>
                      <w:r w:rsidRPr="006B157C">
                        <w:t xml:space="preserve"> and The Quality Compass</w:t>
                      </w:r>
                      <w:r w:rsidR="00527DA6">
                        <w:rPr>
                          <w:rFonts w:cstheme="minorHAnsi"/>
                        </w:rPr>
                        <w:t>®</w:t>
                      </w:r>
                      <w:r w:rsidRPr="006B157C">
                        <w:t xml:space="preserve"> are registered trademarks of the National Committee for Quality Assurance (NCQA). NCQA™ is a trademark of the National Committee for Quality Assurance. </w:t>
                      </w:r>
                      <w:r w:rsidRPr="0027155A">
                        <w:t>Consumer Assessment of Healthcare Providers and Systems (CAHPS</w:t>
                      </w:r>
                      <w:r>
                        <w:rPr>
                          <w:rFonts w:cstheme="minorHAnsi"/>
                        </w:rPr>
                        <w:t>®</w:t>
                      </w:r>
                      <w:r w:rsidRPr="0027155A">
                        <w:t>)</w:t>
                      </w:r>
                      <w:r>
                        <w:t xml:space="preserve"> is a registered trademark of the Agency for Healthcare Research and Quality (AHRQ).</w:t>
                      </w:r>
                    </w:p>
                  </w:txbxContent>
                </v:textbox>
                <w10:wrap anchorx="margin" anchory="margin"/>
              </v:shape>
            </w:pict>
          </mc:Fallback>
        </mc:AlternateContent>
      </w:r>
      <w:r w:rsidR="00FF71FC" w:rsidRPr="00F7033D">
        <w:br w:type="page"/>
      </w:r>
    </w:p>
    <w:p w14:paraId="1DF354AB" w14:textId="77777777" w:rsidR="004602C2" w:rsidRPr="00F7033D" w:rsidRDefault="004602C2" w:rsidP="004602C2">
      <w:pPr>
        <w:pStyle w:val="Heading1"/>
        <w:rPr>
          <w:lang w:eastAsia="zh-TW"/>
        </w:rPr>
      </w:pPr>
      <w:bookmarkStart w:id="2" w:name="_Toc132641608"/>
      <w:bookmarkEnd w:id="0"/>
      <w:r w:rsidRPr="00F7033D">
        <w:lastRenderedPageBreak/>
        <w:t>Introduction</w:t>
      </w:r>
      <w:bookmarkEnd w:id="2"/>
      <w:r w:rsidRPr="00F7033D">
        <w:t xml:space="preserve"> </w:t>
      </w:r>
    </w:p>
    <w:p w14:paraId="1B03E995" w14:textId="77777777" w:rsidR="004602C2" w:rsidRPr="00F7033D" w:rsidRDefault="004602C2" w:rsidP="004602C2">
      <w:pPr>
        <w:pStyle w:val="Heading2"/>
      </w:pPr>
      <w:bookmarkStart w:id="3" w:name="_Toc132641609"/>
      <w:r w:rsidRPr="00F7033D">
        <w:t>Purpose and Background</w:t>
      </w:r>
      <w:bookmarkEnd w:id="3"/>
    </w:p>
    <w:p w14:paraId="0024BB38" w14:textId="77777777" w:rsidR="004602C2" w:rsidRPr="00F7033D" w:rsidRDefault="004602C2" w:rsidP="004602C2">
      <w:pPr>
        <w:rPr>
          <w:rFonts w:ascii="Calibri" w:eastAsia="Times New Roman" w:hAnsi="Calibri" w:cs="Times New Roman"/>
        </w:rPr>
      </w:pPr>
      <w:r w:rsidRPr="00F7033D">
        <w:rPr>
          <w:rFonts w:ascii="Calibri" w:eastAsia="Times New Roman" w:hAnsi="Calibri" w:cs="Times New Roman"/>
        </w:rPr>
        <w:t xml:space="preserve">The final rule of the Balanced Budget Act (BBA) of 1997 requires that State agencies contract with an External Quality Review Organization (EQRO) to conduct an annual external quality review (EQR) of the services provided by contracted Medicaid Managed Care Organizations (MCOs).  This EQR must include an analysis and evaluation of aggregated information on quality, timeliness and access to the health care services that a MCO furnishes to Managed Care recipients. The Centers for Medicare &amp; Medicaid Services (CMS) is required to develop EQR protocols to guide and support the annual EQR process. The first set of protocols was issued in 2003 and updated in 2012. CMS revised the protocols in 2018 to incorporate regulatory changes contained in the May 2016 Medicaid and CHIP managed care final rule, including the incorporation of CHIP MCOs. Updated protocols were published in late 2019. </w:t>
      </w:r>
    </w:p>
    <w:p w14:paraId="1C2F0EC4" w14:textId="77777777" w:rsidR="004602C2" w:rsidRPr="00F7033D" w:rsidRDefault="004602C2" w:rsidP="004602C2">
      <w:pPr>
        <w:rPr>
          <w:rFonts w:ascii="Calibri" w:eastAsia="Times New Roman" w:hAnsi="Calibri" w:cs="Times New Roman"/>
        </w:rPr>
      </w:pPr>
    </w:p>
    <w:p w14:paraId="54562A41" w14:textId="20CECFF3" w:rsidR="004602C2" w:rsidRPr="00F7033D" w:rsidRDefault="004602C2" w:rsidP="004602C2">
      <w:pPr>
        <w:rPr>
          <w:rFonts w:ascii="Calibri" w:eastAsia="Times New Roman" w:hAnsi="Calibri" w:cs="Times New Roman"/>
        </w:rPr>
      </w:pPr>
      <w:r w:rsidRPr="00F7033D">
        <w:rPr>
          <w:rFonts w:ascii="Calibri" w:eastAsia="Times New Roman" w:hAnsi="Calibri" w:cs="Times New Roman"/>
        </w:rPr>
        <w:t xml:space="preserve">The Pennsylvania (PA) Department of Human Services (DHS) Children’s Health Insurance Program (CHIP) provides free or low-cost health insurance to uninsured children and teens that are not eligible for or enrolled in Medical Assistance (MA) via the PA DHS </w:t>
      </w:r>
      <w:proofErr w:type="spellStart"/>
      <w:r w:rsidRPr="00F7033D">
        <w:rPr>
          <w:rFonts w:ascii="Calibri" w:eastAsia="Times New Roman" w:hAnsi="Calibri" w:cs="Times New Roman"/>
        </w:rPr>
        <w:t>HealthChoices</w:t>
      </w:r>
      <w:proofErr w:type="spellEnd"/>
      <w:r w:rsidRPr="00F7033D">
        <w:rPr>
          <w:rFonts w:ascii="Calibri" w:eastAsia="Times New Roman" w:hAnsi="Calibri" w:cs="Times New Roman"/>
        </w:rPr>
        <w:t xml:space="preserve"> Medicaid managed care program. PA CHIP contracted with IPRO as its EQRO to conduct the 202</w:t>
      </w:r>
      <w:r>
        <w:rPr>
          <w:rFonts w:ascii="Calibri" w:eastAsia="Times New Roman" w:hAnsi="Calibri" w:cs="Times New Roman"/>
        </w:rPr>
        <w:t>2</w:t>
      </w:r>
      <w:r w:rsidRPr="00F7033D">
        <w:rPr>
          <w:rFonts w:ascii="Calibri" w:eastAsia="Times New Roman" w:hAnsi="Calibri" w:cs="Times New Roman"/>
        </w:rPr>
        <w:t xml:space="preserve"> EQRs </w:t>
      </w:r>
      <w:r w:rsidRPr="00F7033D">
        <w:rPr>
          <w:rFonts w:ascii="Calibri" w:eastAsia="Times New Roman" w:hAnsi="Calibri" w:cs="Arial"/>
        </w:rPr>
        <w:t>(Review Period: 1/1/202</w:t>
      </w:r>
      <w:r>
        <w:rPr>
          <w:rFonts w:ascii="Calibri" w:eastAsia="Times New Roman" w:hAnsi="Calibri" w:cs="Arial"/>
        </w:rPr>
        <w:t>1</w:t>
      </w:r>
      <w:r w:rsidRPr="00F7033D">
        <w:rPr>
          <w:rFonts w:ascii="Calibri" w:eastAsia="Times New Roman" w:hAnsi="Calibri" w:cs="Arial"/>
        </w:rPr>
        <w:t>–12/31/202</w:t>
      </w:r>
      <w:r>
        <w:rPr>
          <w:rFonts w:ascii="Calibri" w:eastAsia="Times New Roman" w:hAnsi="Calibri" w:cs="Arial"/>
        </w:rPr>
        <w:t>1</w:t>
      </w:r>
      <w:r w:rsidRPr="00F7033D">
        <w:rPr>
          <w:rFonts w:ascii="Calibri" w:eastAsia="Times New Roman" w:hAnsi="Calibri" w:cs="Arial"/>
        </w:rPr>
        <w:t xml:space="preserve">) </w:t>
      </w:r>
      <w:r w:rsidRPr="00F7033D">
        <w:rPr>
          <w:rFonts w:ascii="Calibri" w:eastAsia="Times New Roman" w:hAnsi="Calibri" w:cs="Times New Roman"/>
        </w:rPr>
        <w:t xml:space="preserve">for the CHIP MCOs and to prepare the technical reports.  </w:t>
      </w:r>
    </w:p>
    <w:p w14:paraId="089FD88F" w14:textId="77777777" w:rsidR="004602C2" w:rsidRPr="0054294B" w:rsidRDefault="004602C2" w:rsidP="004602C2">
      <w:pPr>
        <w:rPr>
          <w:rFonts w:ascii="Calibri" w:eastAsia="Times New Roman" w:hAnsi="Calibri" w:cs="Times New Roman"/>
          <w:i/>
          <w:iCs/>
        </w:rPr>
      </w:pPr>
    </w:p>
    <w:p w14:paraId="77438A5C" w14:textId="5B6FFE12" w:rsidR="004602C2" w:rsidRPr="00F7033D" w:rsidRDefault="004602C2" w:rsidP="004602C2">
      <w:pPr>
        <w:rPr>
          <w:rFonts w:ascii="Calibri" w:eastAsia="Times New Roman" w:hAnsi="Calibri" w:cs="Times New Roman"/>
        </w:rPr>
      </w:pPr>
      <w:r w:rsidRPr="00F7033D">
        <w:rPr>
          <w:rFonts w:ascii="Calibri" w:eastAsia="Times New Roman" w:hAnsi="Calibri" w:cs="Times New Roman"/>
        </w:rPr>
        <w:t xml:space="preserve">The mandatory EQR-related activities that must be included in detailed technical reports, per </w:t>
      </w:r>
      <w:r w:rsidR="0054294B" w:rsidRPr="0054294B">
        <w:rPr>
          <w:rFonts w:ascii="Calibri" w:eastAsia="Times New Roman" w:hAnsi="Calibri" w:cs="Times New Roman"/>
          <w:i/>
          <w:iCs/>
        </w:rPr>
        <w:t xml:space="preserve">Title </w:t>
      </w:r>
      <w:r w:rsidRPr="0054294B">
        <w:rPr>
          <w:rFonts w:ascii="Calibri" w:eastAsia="Times New Roman" w:hAnsi="Calibri" w:cs="Times New Roman"/>
          <w:i/>
          <w:iCs/>
        </w:rPr>
        <w:t xml:space="preserve">42 </w:t>
      </w:r>
      <w:r w:rsidR="0054294B" w:rsidRPr="0054294B">
        <w:rPr>
          <w:rFonts w:ascii="Calibri" w:eastAsia="Times New Roman" w:hAnsi="Calibri" w:cs="Times New Roman"/>
          <w:i/>
          <w:iCs/>
        </w:rPr>
        <w:t>Code of Federal Regulations (</w:t>
      </w:r>
      <w:r w:rsidRPr="0054294B">
        <w:rPr>
          <w:rFonts w:ascii="Calibri" w:eastAsia="Times New Roman" w:hAnsi="Calibri" w:cs="Times New Roman"/>
          <w:i/>
          <w:iCs/>
        </w:rPr>
        <w:t>CFR</w:t>
      </w:r>
      <w:r w:rsidR="0054294B" w:rsidRPr="0054294B">
        <w:rPr>
          <w:rFonts w:ascii="Calibri" w:eastAsia="Times New Roman" w:hAnsi="Calibri" w:cs="Times New Roman"/>
          <w:i/>
          <w:iCs/>
        </w:rPr>
        <w:t>) Section</w:t>
      </w:r>
      <w:r w:rsidRPr="0054294B">
        <w:rPr>
          <w:rFonts w:ascii="Calibri" w:eastAsia="Times New Roman" w:hAnsi="Calibri" w:cs="Times New Roman"/>
          <w:i/>
          <w:iCs/>
        </w:rPr>
        <w:t xml:space="preserve"> </w:t>
      </w:r>
      <w:r w:rsidR="0054294B" w:rsidRPr="0054294B">
        <w:rPr>
          <w:rFonts w:ascii="Calibri" w:eastAsia="Times New Roman" w:hAnsi="Calibri" w:cs="Times New Roman"/>
          <w:i/>
          <w:iCs/>
        </w:rPr>
        <w:t>(</w:t>
      </w:r>
      <w:r w:rsidRPr="0054294B">
        <w:rPr>
          <w:rFonts w:ascii="Calibri" w:eastAsia="Times New Roman" w:hAnsi="Calibri" w:cs="Times New Roman"/>
          <w:i/>
          <w:iCs/>
        </w:rPr>
        <w:t>§</w:t>
      </w:r>
      <w:r w:rsidR="0054294B" w:rsidRPr="0054294B">
        <w:rPr>
          <w:rFonts w:ascii="Calibri" w:eastAsia="Times New Roman" w:hAnsi="Calibri" w:cs="Times New Roman"/>
          <w:i/>
          <w:iCs/>
        </w:rPr>
        <w:t xml:space="preserve">) </w:t>
      </w:r>
      <w:r w:rsidRPr="0054294B">
        <w:rPr>
          <w:rFonts w:ascii="Calibri" w:eastAsia="Times New Roman" w:hAnsi="Calibri" w:cs="Times New Roman"/>
          <w:i/>
          <w:iCs/>
        </w:rPr>
        <w:t>438.358</w:t>
      </w:r>
      <w:r w:rsidRPr="00F7033D">
        <w:rPr>
          <w:rFonts w:ascii="Calibri" w:eastAsia="Times New Roman" w:hAnsi="Calibri" w:cs="Times New Roman"/>
        </w:rPr>
        <w:t xml:space="preserve"> (</w:t>
      </w:r>
      <w:proofErr w:type="spellStart"/>
      <w:r w:rsidRPr="00F7033D">
        <w:rPr>
          <w:rFonts w:ascii="Calibri" w:eastAsia="Times New Roman" w:hAnsi="Calibri" w:cs="Times New Roman"/>
        </w:rPr>
        <w:t>crosswalked</w:t>
      </w:r>
      <w:proofErr w:type="spellEnd"/>
      <w:r w:rsidRPr="00F7033D">
        <w:rPr>
          <w:rFonts w:ascii="Calibri" w:eastAsia="Times New Roman" w:hAnsi="Calibri" w:cs="Times New Roman"/>
        </w:rPr>
        <w:t xml:space="preserve"> to </w:t>
      </w:r>
      <w:r w:rsidRPr="0054294B">
        <w:rPr>
          <w:rFonts w:ascii="Calibri" w:eastAsia="Times New Roman" w:hAnsi="Calibri" w:cs="Times New Roman"/>
          <w:i/>
          <w:iCs/>
        </w:rPr>
        <w:t>§</w:t>
      </w:r>
      <w:r w:rsidR="0054294B" w:rsidRPr="0054294B">
        <w:rPr>
          <w:rFonts w:ascii="Calibri" w:eastAsia="Times New Roman" w:hAnsi="Calibri" w:cs="Times New Roman"/>
          <w:i/>
          <w:iCs/>
        </w:rPr>
        <w:t xml:space="preserve"> </w:t>
      </w:r>
      <w:r w:rsidRPr="0054294B">
        <w:rPr>
          <w:rFonts w:ascii="Calibri" w:eastAsia="Times New Roman" w:hAnsi="Calibri" w:cs="Times New Roman"/>
          <w:i/>
          <w:iCs/>
        </w:rPr>
        <w:t>457.1250</w:t>
      </w:r>
      <w:r w:rsidRPr="00F7033D">
        <w:rPr>
          <w:rFonts w:ascii="Calibri" w:eastAsia="Times New Roman" w:hAnsi="Calibri" w:cs="Times New Roman"/>
        </w:rPr>
        <w:t xml:space="preserve"> for CHIP), are as follows:</w:t>
      </w:r>
    </w:p>
    <w:p w14:paraId="751FF643" w14:textId="77777777" w:rsidR="004602C2" w:rsidRPr="00F7033D" w:rsidRDefault="004602C2" w:rsidP="00F41CA9">
      <w:pPr>
        <w:numPr>
          <w:ilvl w:val="0"/>
          <w:numId w:val="1"/>
        </w:numPr>
        <w:rPr>
          <w:rFonts w:ascii="Calibri" w:eastAsia="Times New Roman" w:hAnsi="Calibri" w:cs="Arial"/>
        </w:rPr>
      </w:pPr>
      <w:r w:rsidRPr="00F7033D">
        <w:rPr>
          <w:rFonts w:ascii="Calibri" w:eastAsia="Times New Roman" w:hAnsi="Calibri" w:cs="Arial"/>
        </w:rPr>
        <w:t>validation of performance improvement projects,</w:t>
      </w:r>
    </w:p>
    <w:p w14:paraId="66375881" w14:textId="77777777" w:rsidR="004602C2" w:rsidRPr="00F7033D" w:rsidRDefault="004602C2" w:rsidP="00F41CA9">
      <w:pPr>
        <w:numPr>
          <w:ilvl w:val="0"/>
          <w:numId w:val="1"/>
        </w:numPr>
        <w:rPr>
          <w:rFonts w:ascii="Calibri" w:eastAsia="Times New Roman" w:hAnsi="Calibri" w:cs="Arial"/>
        </w:rPr>
      </w:pPr>
      <w:r w:rsidRPr="00F7033D">
        <w:rPr>
          <w:rFonts w:ascii="Calibri" w:eastAsia="Times New Roman" w:hAnsi="Calibri" w:cs="Arial"/>
        </w:rPr>
        <w:t>validation of MCO performance measures, and</w:t>
      </w:r>
    </w:p>
    <w:p w14:paraId="744B49EA" w14:textId="77777777" w:rsidR="004602C2" w:rsidRPr="00F7033D" w:rsidRDefault="004602C2" w:rsidP="00F41CA9">
      <w:pPr>
        <w:numPr>
          <w:ilvl w:val="0"/>
          <w:numId w:val="1"/>
        </w:numPr>
        <w:rPr>
          <w:rFonts w:ascii="Calibri" w:eastAsia="Times New Roman" w:hAnsi="Calibri" w:cs="Arial"/>
        </w:rPr>
      </w:pPr>
      <w:r w:rsidRPr="00F7033D">
        <w:rPr>
          <w:rFonts w:ascii="Calibri" w:eastAsia="Times New Roman" w:hAnsi="Calibri" w:cs="Arial"/>
        </w:rPr>
        <w:t>review of compliance with Medicaid and CHIP managed care regulations.</w:t>
      </w:r>
    </w:p>
    <w:p w14:paraId="075F9C48" w14:textId="77777777" w:rsidR="004602C2" w:rsidRPr="00F7033D" w:rsidRDefault="004602C2" w:rsidP="004602C2">
      <w:pPr>
        <w:rPr>
          <w:rFonts w:ascii="Calibri" w:eastAsia="Times New Roman" w:hAnsi="Calibri" w:cs="Arial"/>
        </w:rPr>
      </w:pPr>
    </w:p>
    <w:p w14:paraId="79FB3CCF" w14:textId="77777777" w:rsidR="004602C2" w:rsidRPr="00F7033D" w:rsidRDefault="004602C2" w:rsidP="004602C2">
      <w:pPr>
        <w:rPr>
          <w:rFonts w:ascii="Calibri" w:eastAsia="Times New Roman" w:hAnsi="Calibri" w:cs="Arial"/>
        </w:rPr>
      </w:pPr>
      <w:r w:rsidRPr="00F7033D">
        <w:rPr>
          <w:rFonts w:ascii="Calibri" w:eastAsia="Times New Roman" w:hAnsi="Calibri" w:cs="Times New Roman"/>
        </w:rPr>
        <w:t xml:space="preserve">It should be noted that a fourth mandatory activity, validation of network adequacy, </w:t>
      </w:r>
      <w:bookmarkStart w:id="4" w:name="_Hlk97879278"/>
      <w:r w:rsidRPr="00F7033D">
        <w:rPr>
          <w:rFonts w:ascii="Calibri" w:eastAsia="Times New Roman" w:hAnsi="Calibri" w:cs="Times New Roman"/>
        </w:rPr>
        <w:t>was named in the CMS</w:t>
      </w:r>
      <w:r w:rsidRPr="00F7033D">
        <w:rPr>
          <w:rFonts w:ascii="Calibri" w:eastAsia="Times New Roman" w:hAnsi="Calibri" w:cs="Times New Roman"/>
          <w:i/>
        </w:rPr>
        <w:t xml:space="preserve"> External Quality Review (EQR) Protocols</w:t>
      </w:r>
      <w:r w:rsidRPr="00F7033D">
        <w:rPr>
          <w:rFonts w:ascii="Calibri" w:eastAsia="Times New Roman" w:hAnsi="Calibri" w:cs="Times New Roman"/>
        </w:rPr>
        <w:t xml:space="preserve"> published in October 2019. </w:t>
      </w:r>
      <w:bookmarkEnd w:id="4"/>
      <w:r w:rsidRPr="00F7033D">
        <w:rPr>
          <w:rFonts w:ascii="Calibri" w:eastAsia="Times New Roman" w:hAnsi="Calibri" w:cs="Times New Roman"/>
        </w:rPr>
        <w:t xml:space="preserve">However, CMS has not published an official protocol for this activity, and this activity is conducted at the state’s discretion. </w:t>
      </w:r>
      <w:r w:rsidRPr="00F7033D">
        <w:t xml:space="preserve">Each managed care program agreement </w:t>
      </w:r>
      <w:proofErr w:type="gramStart"/>
      <w:r w:rsidRPr="00F7033D">
        <w:t>entered into</w:t>
      </w:r>
      <w:proofErr w:type="gramEnd"/>
      <w:r w:rsidRPr="00F7033D">
        <w:t xml:space="preserve"> by DHS identifies network adequacy standards for those programs. </w:t>
      </w:r>
      <w:r w:rsidRPr="00F7033D">
        <w:rPr>
          <w:rFonts w:ascii="Calibri" w:eastAsia="Times New Roman" w:hAnsi="Calibri" w:cs="Times New Roman"/>
        </w:rPr>
        <w:t xml:space="preserve">For CHIP MCOs, DHS has published provider network standards through </w:t>
      </w:r>
      <w:r w:rsidRPr="0054294B">
        <w:rPr>
          <w:rFonts w:ascii="Calibri" w:eastAsia="Times New Roman" w:hAnsi="Calibri" w:cs="Times New Roman"/>
          <w:i/>
          <w:iCs/>
        </w:rPr>
        <w:t>CHIP Sole Source Amendments</w:t>
      </w:r>
      <w:r w:rsidRPr="00F7033D">
        <w:rPr>
          <w:rFonts w:ascii="Calibri" w:eastAsia="Times New Roman" w:hAnsi="Calibri" w:cs="Times New Roman"/>
        </w:rPr>
        <w:t xml:space="preserve"> and the </w:t>
      </w:r>
      <w:r w:rsidRPr="0054294B">
        <w:rPr>
          <w:rFonts w:ascii="Calibri" w:eastAsia="Times New Roman" w:hAnsi="Calibri" w:cs="Times New Roman"/>
          <w:i/>
          <w:iCs/>
        </w:rPr>
        <w:t>CHIP Procedures Handbook, Chapter 21</w:t>
      </w:r>
      <w:r w:rsidRPr="00F7033D">
        <w:rPr>
          <w:rFonts w:ascii="Calibri" w:eastAsia="Times New Roman" w:hAnsi="Calibri" w:cs="Times New Roman"/>
        </w:rPr>
        <w:t>.</w:t>
      </w:r>
    </w:p>
    <w:p w14:paraId="3658DC6B" w14:textId="77777777" w:rsidR="004602C2" w:rsidRPr="00F7033D" w:rsidRDefault="004602C2" w:rsidP="004602C2">
      <w:pPr>
        <w:rPr>
          <w:rFonts w:ascii="Calibri" w:eastAsia="Times New Roman" w:hAnsi="Calibri" w:cs="Arial"/>
        </w:rPr>
      </w:pPr>
    </w:p>
    <w:p w14:paraId="276D2629" w14:textId="77777777" w:rsidR="008B5F0A" w:rsidRPr="00F7033D" w:rsidRDefault="008B5F0A" w:rsidP="008B5F0A">
      <w:pPr>
        <w:rPr>
          <w:rFonts w:ascii="Calibri" w:eastAsia="Times New Roman" w:hAnsi="Calibri" w:cs="Times New Roman"/>
        </w:rPr>
      </w:pPr>
      <w:r w:rsidRPr="00F7033D">
        <w:rPr>
          <w:rFonts w:ascii="Calibri" w:eastAsia="Times New Roman" w:hAnsi="Calibri" w:cs="Times New Roman"/>
        </w:rPr>
        <w:t>The report includes six core sections:</w:t>
      </w:r>
    </w:p>
    <w:p w14:paraId="215DB210" w14:textId="77777777" w:rsidR="008B5F0A" w:rsidRPr="00F7033D" w:rsidRDefault="008B5F0A" w:rsidP="008B5F0A">
      <w:pPr>
        <w:numPr>
          <w:ilvl w:val="0"/>
          <w:numId w:val="2"/>
        </w:numPr>
        <w:ind w:left="720" w:hanging="180"/>
        <w:rPr>
          <w:rFonts w:ascii="Calibri" w:eastAsia="Times New Roman" w:hAnsi="Calibri" w:cs="Arial"/>
        </w:rPr>
      </w:pPr>
      <w:r>
        <w:rPr>
          <w:rFonts w:ascii="Calibri" w:eastAsia="Times New Roman" w:hAnsi="Calibri" w:cs="Arial"/>
        </w:rPr>
        <w:t xml:space="preserve">Validation of </w:t>
      </w:r>
      <w:r w:rsidRPr="00F7033D">
        <w:rPr>
          <w:rFonts w:ascii="Calibri" w:eastAsia="Times New Roman" w:hAnsi="Calibri" w:cs="Arial"/>
        </w:rPr>
        <w:t>Performance Improvement Projects</w:t>
      </w:r>
    </w:p>
    <w:p w14:paraId="2284C803" w14:textId="77777777" w:rsidR="008B5F0A" w:rsidRPr="00F7033D" w:rsidRDefault="008B5F0A" w:rsidP="008B5F0A">
      <w:pPr>
        <w:numPr>
          <w:ilvl w:val="0"/>
          <w:numId w:val="2"/>
        </w:numPr>
        <w:ind w:left="720" w:hanging="180"/>
        <w:rPr>
          <w:rFonts w:ascii="Calibri" w:eastAsia="Times New Roman" w:hAnsi="Calibri" w:cs="Arial"/>
        </w:rPr>
      </w:pPr>
      <w:r w:rsidRPr="00F7033D">
        <w:rPr>
          <w:rFonts w:ascii="Calibri" w:eastAsia="Times New Roman" w:hAnsi="Calibri" w:cs="Arial"/>
        </w:rPr>
        <w:t>Performance Measures and Consumer Assessment of Healthcare Providers and Systems (CAHPS</w:t>
      </w:r>
      <w:r w:rsidRPr="00F7033D">
        <w:rPr>
          <w:rFonts w:ascii="Calibri" w:eastAsia="Times New Roman" w:hAnsi="Calibri" w:cs="Calibri"/>
        </w:rPr>
        <w:t>®</w:t>
      </w:r>
      <w:r w:rsidRPr="00F7033D">
        <w:rPr>
          <w:rFonts w:ascii="Calibri" w:eastAsia="Times New Roman" w:hAnsi="Calibri" w:cs="Arial"/>
        </w:rPr>
        <w:t xml:space="preserve">) Survey </w:t>
      </w:r>
    </w:p>
    <w:p w14:paraId="5AF9D768" w14:textId="77777777" w:rsidR="008B5F0A" w:rsidRPr="00F7033D" w:rsidRDefault="008B5F0A" w:rsidP="008B5F0A">
      <w:pPr>
        <w:numPr>
          <w:ilvl w:val="0"/>
          <w:numId w:val="2"/>
        </w:numPr>
        <w:ind w:left="720" w:hanging="180"/>
        <w:rPr>
          <w:rFonts w:ascii="Calibri" w:eastAsia="Times New Roman" w:hAnsi="Calibri" w:cs="Arial"/>
        </w:rPr>
      </w:pPr>
      <w:r w:rsidRPr="00A246F6">
        <w:rPr>
          <w:rFonts w:ascii="Calibri" w:eastAsia="Times New Roman" w:hAnsi="Calibri" w:cs="Arial"/>
        </w:rPr>
        <w:t>Review of Compliance with Medicaid and CHIP Managed Care Regulations</w:t>
      </w:r>
    </w:p>
    <w:p w14:paraId="3DC99316" w14:textId="77777777" w:rsidR="008B5F0A" w:rsidRPr="00F7033D" w:rsidRDefault="008B5F0A" w:rsidP="008B5F0A">
      <w:pPr>
        <w:numPr>
          <w:ilvl w:val="0"/>
          <w:numId w:val="2"/>
        </w:numPr>
        <w:ind w:left="720" w:hanging="180"/>
        <w:rPr>
          <w:rFonts w:ascii="Calibri" w:eastAsia="Times New Roman" w:hAnsi="Calibri" w:cs="Arial"/>
        </w:rPr>
      </w:pPr>
      <w:r w:rsidRPr="00F7033D">
        <w:rPr>
          <w:rFonts w:ascii="Calibri" w:eastAsia="Times New Roman" w:hAnsi="Calibri" w:cs="Arial"/>
        </w:rPr>
        <w:t>MCO Response</w:t>
      </w:r>
      <w:r>
        <w:rPr>
          <w:rFonts w:ascii="Calibri" w:eastAsia="Times New Roman" w:hAnsi="Calibri" w:cs="Arial"/>
        </w:rPr>
        <w:t>s to the Previous EQR Recommendations</w:t>
      </w:r>
    </w:p>
    <w:p w14:paraId="791C98D1" w14:textId="77777777" w:rsidR="008B5F0A" w:rsidRPr="00F7033D" w:rsidRDefault="008B5F0A" w:rsidP="008B5F0A">
      <w:pPr>
        <w:numPr>
          <w:ilvl w:val="0"/>
          <w:numId w:val="2"/>
        </w:numPr>
        <w:ind w:left="720" w:hanging="180"/>
        <w:rPr>
          <w:rFonts w:ascii="Calibri" w:eastAsia="Times New Roman" w:hAnsi="Calibri" w:cs="Arial"/>
        </w:rPr>
      </w:pPr>
      <w:r w:rsidRPr="00F7033D">
        <w:rPr>
          <w:rFonts w:ascii="Calibri" w:eastAsia="Times New Roman" w:hAnsi="Calibri" w:cs="Arial"/>
        </w:rPr>
        <w:t>Strengths</w:t>
      </w:r>
      <w:r>
        <w:rPr>
          <w:rFonts w:ascii="Calibri" w:eastAsia="Times New Roman" w:hAnsi="Calibri" w:cs="Arial"/>
        </w:rPr>
        <w:t>,</w:t>
      </w:r>
      <w:r w:rsidRPr="00F7033D">
        <w:rPr>
          <w:rFonts w:ascii="Calibri" w:eastAsia="Times New Roman" w:hAnsi="Calibri" w:cs="Arial"/>
        </w:rPr>
        <w:t xml:space="preserve"> Opportunities for Improvement</w:t>
      </w:r>
      <w:r>
        <w:rPr>
          <w:rFonts w:ascii="Calibri" w:eastAsia="Times New Roman" w:hAnsi="Calibri" w:cs="Arial"/>
        </w:rPr>
        <w:t>, and EQR Recommendations</w:t>
      </w:r>
    </w:p>
    <w:p w14:paraId="591F845B" w14:textId="77777777" w:rsidR="008B5F0A" w:rsidRPr="00F7033D" w:rsidRDefault="008B5F0A" w:rsidP="008B5F0A">
      <w:pPr>
        <w:numPr>
          <w:ilvl w:val="0"/>
          <w:numId w:val="2"/>
        </w:numPr>
        <w:ind w:left="720" w:hanging="180"/>
        <w:rPr>
          <w:rFonts w:ascii="Calibri" w:eastAsia="Times New Roman" w:hAnsi="Calibri" w:cs="Arial"/>
        </w:rPr>
      </w:pPr>
      <w:r w:rsidRPr="00F7033D">
        <w:rPr>
          <w:rFonts w:ascii="Calibri" w:eastAsia="Times New Roman" w:hAnsi="Calibri" w:cs="Arial"/>
        </w:rPr>
        <w:t>Summary of Activities</w:t>
      </w:r>
    </w:p>
    <w:p w14:paraId="29258FC5" w14:textId="77777777" w:rsidR="008B5F0A" w:rsidRPr="00F7033D" w:rsidRDefault="008B5F0A" w:rsidP="008B5F0A">
      <w:pPr>
        <w:rPr>
          <w:rFonts w:ascii="Calibri" w:eastAsia="Times New Roman" w:hAnsi="Calibri" w:cs="Arial"/>
        </w:rPr>
      </w:pPr>
    </w:p>
    <w:p w14:paraId="3AE169D3" w14:textId="77777777" w:rsidR="004602C2" w:rsidRPr="00F7033D" w:rsidRDefault="004602C2" w:rsidP="004602C2">
      <w:pPr>
        <w:rPr>
          <w:rFonts w:ascii="Calibri" w:eastAsia="Times New Roman" w:hAnsi="Calibri" w:cs="Times New Roman"/>
        </w:rPr>
      </w:pPr>
      <w:r w:rsidRPr="00F7033D">
        <w:rPr>
          <w:rFonts w:ascii="Calibri" w:eastAsia="Times New Roman" w:hAnsi="Calibri" w:cs="Times New Roman"/>
        </w:rPr>
        <w:t xml:space="preserve">Information for </w:t>
      </w:r>
      <w:r w:rsidRPr="00732E37">
        <w:rPr>
          <w:rFonts w:ascii="Calibri" w:eastAsia="Times New Roman" w:hAnsi="Calibri" w:cs="Times New Roman"/>
          <w:b/>
        </w:rPr>
        <w:t>Section I</w:t>
      </w:r>
      <w:r w:rsidRPr="00F7033D">
        <w:rPr>
          <w:rFonts w:ascii="Calibri" w:eastAsia="Times New Roman" w:hAnsi="Calibri" w:cs="Times New Roman"/>
        </w:rPr>
        <w:t xml:space="preserve"> of this report is derived from IPRO’s validation of each CHIP MCO’s Performance Improvement Projects (PIPs) for a new validation cycle, including review of the PIP design and implementation using documents provided by the MCO.</w:t>
      </w:r>
    </w:p>
    <w:p w14:paraId="74A5843D" w14:textId="77777777" w:rsidR="004602C2" w:rsidRPr="00F7033D" w:rsidRDefault="004602C2" w:rsidP="004602C2">
      <w:pPr>
        <w:rPr>
          <w:rFonts w:ascii="Calibri" w:eastAsia="Times New Roman" w:hAnsi="Calibri" w:cs="Times New Roman"/>
        </w:rPr>
      </w:pPr>
    </w:p>
    <w:p w14:paraId="0CCF0808" w14:textId="77777777" w:rsidR="004602C2" w:rsidRPr="00F7033D" w:rsidRDefault="004602C2" w:rsidP="004602C2">
      <w:pPr>
        <w:rPr>
          <w:rFonts w:ascii="Calibri" w:eastAsia="Times New Roman" w:hAnsi="Calibri" w:cs="Times New Roman"/>
        </w:rPr>
      </w:pPr>
      <w:r w:rsidRPr="00F7033D">
        <w:rPr>
          <w:rFonts w:ascii="Calibri" w:eastAsia="Times New Roman" w:hAnsi="Calibri" w:cs="Times New Roman"/>
        </w:rPr>
        <w:t xml:space="preserve">Information for </w:t>
      </w:r>
      <w:r w:rsidRPr="00732E37">
        <w:rPr>
          <w:rFonts w:ascii="Calibri" w:eastAsia="Times New Roman" w:hAnsi="Calibri" w:cs="Times New Roman"/>
          <w:b/>
        </w:rPr>
        <w:t>Section II</w:t>
      </w:r>
      <w:r w:rsidRPr="00F7033D">
        <w:rPr>
          <w:rFonts w:ascii="Calibri" w:eastAsia="Times New Roman" w:hAnsi="Calibri" w:cs="Times New Roman"/>
        </w:rPr>
        <w:t xml:space="preserve"> of this report is derived from IPRO’s validation of each CHIP MCO’s performance measure submissions. Performance measure validation as conducted by IPRO includes both Pennsylvania specific performance measures as well as Healthcare Effectiveness Data and Information Set (HEDIS</w:t>
      </w:r>
      <w:r w:rsidRPr="00F7033D">
        <w:rPr>
          <w:rFonts w:ascii="Calibri" w:eastAsia="Times New Roman" w:hAnsi="Calibri" w:cs="Calibri"/>
        </w:rPr>
        <w:t>®</w:t>
      </w:r>
      <w:r w:rsidRPr="00F7033D">
        <w:rPr>
          <w:rFonts w:ascii="Calibri" w:eastAsia="Times New Roman" w:hAnsi="Calibri" w:cs="Times New Roman"/>
        </w:rPr>
        <w:t>)</w:t>
      </w:r>
      <w:r w:rsidRPr="00F7033D">
        <w:rPr>
          <w:rFonts w:ascii="Calibri" w:eastAsia="Times New Roman" w:hAnsi="Calibri" w:cs="Times New Roman"/>
          <w:vertAlign w:val="superscript"/>
        </w:rPr>
        <w:t xml:space="preserve"> </w:t>
      </w:r>
      <w:r w:rsidRPr="00F7033D">
        <w:rPr>
          <w:rFonts w:ascii="Calibri" w:eastAsia="Times New Roman" w:hAnsi="Calibri" w:cs="Times New Roman"/>
        </w:rPr>
        <w:t xml:space="preserve">measures for each CHIP MCO. Within </w:t>
      </w:r>
      <w:r w:rsidRPr="00732E37">
        <w:rPr>
          <w:rFonts w:ascii="Calibri" w:eastAsia="Times New Roman" w:hAnsi="Calibri" w:cs="Times New Roman"/>
          <w:b/>
        </w:rPr>
        <w:t>Section II</w:t>
      </w:r>
      <w:r w:rsidRPr="00F7033D">
        <w:rPr>
          <w:rFonts w:ascii="Calibri" w:eastAsia="Times New Roman" w:hAnsi="Calibri" w:cs="Times New Roman"/>
        </w:rPr>
        <w:t>, CAHPS Survey results follow the performance measures.</w:t>
      </w:r>
    </w:p>
    <w:p w14:paraId="7D73D5B9" w14:textId="77777777" w:rsidR="004602C2" w:rsidRPr="00F7033D" w:rsidRDefault="004602C2" w:rsidP="004602C2">
      <w:pPr>
        <w:rPr>
          <w:rFonts w:ascii="Calibri" w:eastAsia="Times New Roman" w:hAnsi="Calibri" w:cs="Times New Roman"/>
        </w:rPr>
      </w:pPr>
    </w:p>
    <w:p w14:paraId="5FDB0A99" w14:textId="32D2B6C0" w:rsidR="004602C2" w:rsidRPr="00F7033D" w:rsidRDefault="004602C2" w:rsidP="004602C2">
      <w:pPr>
        <w:rPr>
          <w:rFonts w:ascii="Calibri" w:eastAsia="Times New Roman" w:hAnsi="Calibri" w:cs="Times New Roman"/>
        </w:rPr>
      </w:pPr>
      <w:r w:rsidRPr="00F7033D">
        <w:rPr>
          <w:rFonts w:ascii="Calibri" w:eastAsia="Times New Roman" w:hAnsi="Calibri" w:cs="Times New Roman"/>
        </w:rPr>
        <w:t xml:space="preserve">Historically for the CHIP MCOs, the information for the compliance with </w:t>
      </w:r>
      <w:r w:rsidR="00327382" w:rsidRPr="00327382">
        <w:rPr>
          <w:rFonts w:ascii="Calibri" w:eastAsia="Times New Roman" w:hAnsi="Calibri" w:cs="Times New Roman"/>
        </w:rPr>
        <w:t xml:space="preserve">Medicaid and CHIP managed care regulations </w:t>
      </w:r>
      <w:r w:rsidRPr="00F7033D">
        <w:rPr>
          <w:rFonts w:ascii="Calibri" w:eastAsia="Times New Roman" w:hAnsi="Calibri" w:cs="Times New Roman"/>
        </w:rPr>
        <w:t xml:space="preserve">in </w:t>
      </w:r>
      <w:r w:rsidRPr="00732E37">
        <w:rPr>
          <w:rFonts w:ascii="Calibri" w:eastAsia="Times New Roman" w:hAnsi="Calibri" w:cs="Times New Roman"/>
          <w:b/>
        </w:rPr>
        <w:t xml:space="preserve">Section III </w:t>
      </w:r>
      <w:r w:rsidRPr="00F7033D">
        <w:rPr>
          <w:rFonts w:ascii="Calibri" w:eastAsia="Times New Roman" w:hAnsi="Calibri" w:cs="Times New Roman"/>
        </w:rPr>
        <w:t xml:space="preserve">of the report was derived from the results of on-site reviews conducted by PA CHIP staff, with findings </w:t>
      </w:r>
      <w:proofErr w:type="gramStart"/>
      <w:r w:rsidRPr="00F7033D">
        <w:rPr>
          <w:rFonts w:ascii="Calibri" w:eastAsia="Times New Roman" w:hAnsi="Calibri" w:cs="Times New Roman"/>
        </w:rPr>
        <w:t>entered into</w:t>
      </w:r>
      <w:proofErr w:type="gramEnd"/>
      <w:r w:rsidRPr="00F7033D">
        <w:rPr>
          <w:rFonts w:ascii="Calibri" w:eastAsia="Times New Roman" w:hAnsi="Calibri" w:cs="Times New Roman"/>
        </w:rPr>
        <w:t xml:space="preserve"> the department’s on-site monitoring tool, and follow up materials provided as needed or requested. Beginning in 2020, compliance data were collected from the commonwealth’s monitoring of the MCOs against the Systematic Monitoring, </w:t>
      </w:r>
      <w:proofErr w:type="gramStart"/>
      <w:r w:rsidRPr="00F7033D">
        <w:rPr>
          <w:rFonts w:ascii="Calibri" w:eastAsia="Times New Roman" w:hAnsi="Calibri" w:cs="Times New Roman"/>
        </w:rPr>
        <w:t>Access</w:t>
      </w:r>
      <w:proofErr w:type="gramEnd"/>
      <w:r w:rsidRPr="00F7033D">
        <w:rPr>
          <w:rFonts w:ascii="Calibri" w:eastAsia="Times New Roman" w:hAnsi="Calibri" w:cs="Times New Roman"/>
        </w:rPr>
        <w:t xml:space="preserve"> and </w:t>
      </w:r>
      <w:r w:rsidR="006202D9">
        <w:rPr>
          <w:rFonts w:ascii="Calibri" w:eastAsia="Times New Roman" w:hAnsi="Calibri" w:cs="Times New Roman"/>
        </w:rPr>
        <w:t>R</w:t>
      </w:r>
      <w:r w:rsidR="006202D9" w:rsidRPr="00F7033D">
        <w:rPr>
          <w:rFonts w:ascii="Calibri" w:eastAsia="Times New Roman" w:hAnsi="Calibri" w:cs="Times New Roman"/>
        </w:rPr>
        <w:t>etrieval</w:t>
      </w:r>
      <w:r w:rsidRPr="00F7033D">
        <w:rPr>
          <w:rFonts w:ascii="Calibri" w:eastAsia="Times New Roman" w:hAnsi="Calibri" w:cs="Times New Roman"/>
        </w:rPr>
        <w:t xml:space="preserve"> Technology (SMART) standards, from CHIP’s contract agreements with the plans, and from National Committee for Quality Assurance (NCQA™) accreditation results for each MCO.  Standards presented in the </w:t>
      </w:r>
      <w:r w:rsidRPr="00F7033D">
        <w:rPr>
          <w:rFonts w:ascii="Calibri" w:eastAsia="Times New Roman" w:hAnsi="Calibri" w:cs="Times New Roman"/>
        </w:rPr>
        <w:lastRenderedPageBreak/>
        <w:t xml:space="preserve">on-site tool are those currently reviewed and utilized by PA CHIP staff to conduct reviews; these standards may be applicable to other </w:t>
      </w:r>
      <w:r w:rsidR="0054294B" w:rsidRPr="00F7033D">
        <w:rPr>
          <w:rFonts w:ascii="Calibri" w:eastAsia="Times New Roman" w:hAnsi="Calibri" w:cs="Times New Roman"/>
        </w:rPr>
        <w:t>subparts and</w:t>
      </w:r>
      <w:r w:rsidRPr="00F7033D">
        <w:rPr>
          <w:rFonts w:ascii="Calibri" w:eastAsia="Times New Roman" w:hAnsi="Calibri" w:cs="Times New Roman"/>
        </w:rPr>
        <w:t xml:space="preserve"> will be </w:t>
      </w:r>
      <w:proofErr w:type="spellStart"/>
      <w:r w:rsidRPr="00F7033D">
        <w:rPr>
          <w:rFonts w:ascii="Calibri" w:eastAsia="Times New Roman" w:hAnsi="Calibri" w:cs="Times New Roman"/>
        </w:rPr>
        <w:t>crosswalked</w:t>
      </w:r>
      <w:proofErr w:type="spellEnd"/>
      <w:r w:rsidRPr="00F7033D">
        <w:rPr>
          <w:rFonts w:ascii="Calibri" w:eastAsia="Times New Roman" w:hAnsi="Calibri" w:cs="Times New Roman"/>
        </w:rPr>
        <w:t xml:space="preserve"> to reflect regulations as applicable.</w:t>
      </w:r>
    </w:p>
    <w:p w14:paraId="71327B1A" w14:textId="77777777" w:rsidR="004602C2" w:rsidRPr="00F7033D" w:rsidRDefault="004602C2" w:rsidP="004602C2">
      <w:pPr>
        <w:rPr>
          <w:rFonts w:ascii="Calibri" w:eastAsia="Times New Roman" w:hAnsi="Calibri" w:cs="Times New Roman"/>
        </w:rPr>
      </w:pPr>
    </w:p>
    <w:p w14:paraId="38A98763" w14:textId="70778734" w:rsidR="004602C2" w:rsidRPr="00F7033D" w:rsidRDefault="004602C2" w:rsidP="004602C2">
      <w:pPr>
        <w:rPr>
          <w:rFonts w:ascii="Calibri" w:eastAsia="Times New Roman" w:hAnsi="Calibri" w:cs="Times New Roman"/>
        </w:rPr>
      </w:pPr>
      <w:r w:rsidRPr="00732E37">
        <w:rPr>
          <w:rFonts w:ascii="Calibri" w:eastAsia="Times New Roman" w:hAnsi="Calibri" w:cs="Times New Roman"/>
          <w:b/>
        </w:rPr>
        <w:t>Section IV</w:t>
      </w:r>
      <w:r w:rsidRPr="00F7033D">
        <w:rPr>
          <w:rFonts w:ascii="Calibri" w:eastAsia="Times New Roman" w:hAnsi="Calibri" w:cs="Times New Roman"/>
        </w:rPr>
        <w:t xml:space="preserve"> includes the MCO’s responses to the 202</w:t>
      </w:r>
      <w:r>
        <w:rPr>
          <w:rFonts w:ascii="Calibri" w:eastAsia="Times New Roman" w:hAnsi="Calibri" w:cs="Times New Roman"/>
        </w:rPr>
        <w:t>1</w:t>
      </w:r>
      <w:r w:rsidRPr="00F7033D">
        <w:rPr>
          <w:rFonts w:ascii="Calibri" w:eastAsia="Times New Roman" w:hAnsi="Calibri" w:cs="Times New Roman"/>
        </w:rPr>
        <w:t xml:space="preserve"> EQR Technical Report’s opportunities for improvement and presents the degree to which the MCO addressed each opportunity for improvement.</w:t>
      </w:r>
    </w:p>
    <w:p w14:paraId="5ABBAD04" w14:textId="77777777" w:rsidR="004602C2" w:rsidRPr="00F7033D" w:rsidRDefault="004602C2" w:rsidP="004602C2">
      <w:pPr>
        <w:rPr>
          <w:rFonts w:ascii="Calibri" w:eastAsia="Times New Roman" w:hAnsi="Calibri" w:cs="Arial"/>
        </w:rPr>
      </w:pPr>
    </w:p>
    <w:p w14:paraId="6CE95A4D" w14:textId="77777777" w:rsidR="004602C2" w:rsidRPr="00F7033D" w:rsidRDefault="004602C2" w:rsidP="004602C2">
      <w:pPr>
        <w:rPr>
          <w:rFonts w:ascii="Calibri" w:eastAsia="Times New Roman" w:hAnsi="Calibri" w:cs="Times New Roman"/>
        </w:rPr>
      </w:pPr>
      <w:r w:rsidRPr="00732E37">
        <w:rPr>
          <w:rFonts w:ascii="Calibri" w:eastAsia="Times New Roman" w:hAnsi="Calibri" w:cs="Times New Roman"/>
          <w:b/>
        </w:rPr>
        <w:t>Section V</w:t>
      </w:r>
      <w:r w:rsidRPr="00F7033D">
        <w:rPr>
          <w:rFonts w:ascii="Calibri" w:eastAsia="Times New Roman" w:hAnsi="Calibri" w:cs="Times New Roman"/>
        </w:rPr>
        <w:t xml:space="preserve"> has a summary of the MCO’s strengths and opportunities for improvement for this review period as determined by IPRO. This section will highlight performance measures across HEDIS and Pennsylvania-specific performance measures where the MCO has performed highest and lowest.  </w:t>
      </w:r>
    </w:p>
    <w:p w14:paraId="4F3A32BC" w14:textId="77777777" w:rsidR="004602C2" w:rsidRPr="00F7033D" w:rsidRDefault="004602C2" w:rsidP="004602C2">
      <w:pPr>
        <w:rPr>
          <w:rFonts w:ascii="Calibri" w:eastAsia="Times New Roman" w:hAnsi="Calibri" w:cs="Times New Roman"/>
        </w:rPr>
      </w:pPr>
    </w:p>
    <w:p w14:paraId="06B92C65" w14:textId="77777777" w:rsidR="004602C2" w:rsidRPr="00F7033D" w:rsidRDefault="004602C2" w:rsidP="004602C2">
      <w:r w:rsidRPr="00732E37">
        <w:rPr>
          <w:rFonts w:ascii="Calibri" w:eastAsia="Times New Roman" w:hAnsi="Calibri" w:cs="Times New Roman"/>
          <w:b/>
        </w:rPr>
        <w:t>Section VI</w:t>
      </w:r>
      <w:r w:rsidRPr="00F7033D">
        <w:rPr>
          <w:rFonts w:ascii="Calibri" w:eastAsia="Times New Roman" w:hAnsi="Calibri" w:cs="Times New Roman"/>
        </w:rPr>
        <w:t xml:space="preserve"> contains a summary of findings across all sections of the EQR Technical Reports, including Structure and Operations Standards, Performance Improvement Projects, Performance Measures, 202</w:t>
      </w:r>
      <w:r>
        <w:rPr>
          <w:rFonts w:ascii="Calibri" w:eastAsia="Times New Roman" w:hAnsi="Calibri" w:cs="Times New Roman"/>
        </w:rPr>
        <w:t>1</w:t>
      </w:r>
      <w:r w:rsidRPr="00F7033D">
        <w:rPr>
          <w:rFonts w:ascii="Calibri" w:eastAsia="Times New Roman" w:hAnsi="Calibri" w:cs="Times New Roman"/>
        </w:rPr>
        <w:t xml:space="preserve"> Opportunities for Improvement MCO Reponses, and Strengths and Opportunities for Improvement found for 202</w:t>
      </w:r>
      <w:r>
        <w:rPr>
          <w:rFonts w:ascii="Calibri" w:eastAsia="Times New Roman" w:hAnsi="Calibri" w:cs="Times New Roman"/>
        </w:rPr>
        <w:t>2</w:t>
      </w:r>
      <w:r w:rsidRPr="00F7033D">
        <w:rPr>
          <w:rFonts w:ascii="Calibri" w:eastAsia="Times New Roman" w:hAnsi="Calibri" w:cs="Times New Roman"/>
        </w:rPr>
        <w:t>.</w:t>
      </w:r>
    </w:p>
    <w:p w14:paraId="13333FEC" w14:textId="2C7E20E9" w:rsidR="006A62FB" w:rsidRPr="00F7033D" w:rsidRDefault="006A62FB" w:rsidP="00A60B24">
      <w:pPr>
        <w:rPr>
          <w:rFonts w:asciiTheme="majorHAnsi" w:eastAsiaTheme="majorEastAsia" w:hAnsiTheme="majorHAnsi" w:cstheme="majorBidi"/>
          <w:b/>
          <w:bCs/>
          <w:color w:val="365F91" w:themeColor="accent1" w:themeShade="BF"/>
          <w:sz w:val="28"/>
          <w:szCs w:val="28"/>
        </w:rPr>
      </w:pPr>
    </w:p>
    <w:p w14:paraId="7DC145E9" w14:textId="53039EDD" w:rsidR="00CC07AD" w:rsidRPr="00F7033D" w:rsidRDefault="00CC07AD">
      <w:pPr>
        <w:rPr>
          <w:rFonts w:asciiTheme="majorHAnsi" w:eastAsiaTheme="majorEastAsia" w:hAnsiTheme="majorHAnsi" w:cstheme="majorBidi"/>
          <w:b/>
          <w:bCs/>
          <w:color w:val="365F91" w:themeColor="accent1" w:themeShade="BF"/>
          <w:sz w:val="28"/>
          <w:szCs w:val="28"/>
        </w:rPr>
      </w:pPr>
      <w:r w:rsidRPr="00F7033D">
        <w:rPr>
          <w:rFonts w:asciiTheme="majorHAnsi" w:eastAsiaTheme="majorEastAsia" w:hAnsiTheme="majorHAnsi" w:cstheme="majorBidi"/>
          <w:b/>
          <w:bCs/>
          <w:color w:val="365F91" w:themeColor="accent1" w:themeShade="BF"/>
          <w:sz w:val="28"/>
          <w:szCs w:val="28"/>
        </w:rPr>
        <w:br w:type="page"/>
      </w:r>
    </w:p>
    <w:p w14:paraId="69F7D62B" w14:textId="77777777" w:rsidR="0074172F" w:rsidRPr="00602A39" w:rsidRDefault="0074172F" w:rsidP="0074172F">
      <w:pPr>
        <w:pStyle w:val="Heading1"/>
        <w:spacing w:before="0"/>
        <w:rPr>
          <w:rFonts w:ascii="Cambria" w:hAnsi="Cambria"/>
        </w:rPr>
      </w:pPr>
      <w:bookmarkStart w:id="5" w:name="_Toc86933882"/>
      <w:bookmarkStart w:id="6" w:name="_Toc92376744"/>
      <w:bookmarkStart w:id="7" w:name="_Toc132641610"/>
      <w:bookmarkStart w:id="8" w:name="_Toc86933883"/>
      <w:bookmarkStart w:id="9" w:name="_Toc92376745"/>
      <w:bookmarkStart w:id="10" w:name="_Toc66967690"/>
      <w:bookmarkStart w:id="11" w:name="_Hlk98081761"/>
      <w:r w:rsidRPr="00602A39">
        <w:rPr>
          <w:rFonts w:ascii="Cambria" w:hAnsi="Cambria"/>
        </w:rPr>
        <w:lastRenderedPageBreak/>
        <w:t>I. Validation of Performance Improvement Projects</w:t>
      </w:r>
      <w:bookmarkEnd w:id="5"/>
      <w:bookmarkEnd w:id="6"/>
      <w:bookmarkEnd w:id="7"/>
    </w:p>
    <w:p w14:paraId="63E02016" w14:textId="77777777" w:rsidR="0074172F" w:rsidRPr="005C4D1C" w:rsidRDefault="0074172F" w:rsidP="005C4D1C">
      <w:pPr>
        <w:pStyle w:val="Heading2"/>
      </w:pPr>
      <w:bookmarkStart w:id="12" w:name="_Toc132641611"/>
      <w:r w:rsidRPr="005C4D1C">
        <w:t>Objectives</w:t>
      </w:r>
      <w:bookmarkEnd w:id="8"/>
      <w:bookmarkEnd w:id="9"/>
      <w:bookmarkEnd w:id="12"/>
    </w:p>
    <w:p w14:paraId="283BDE7C" w14:textId="7BD693CA" w:rsidR="0074172F" w:rsidRPr="00602A39" w:rsidRDefault="0074172F" w:rsidP="0074172F">
      <w:pPr>
        <w:rPr>
          <w:rFonts w:ascii="Calibri" w:eastAsia="Times New Roman" w:hAnsi="Calibri" w:cs="Times New Roman"/>
        </w:rPr>
      </w:pPr>
      <w:r w:rsidRPr="00602A39">
        <w:rPr>
          <w:rFonts w:ascii="Calibri" w:eastAsia="Times New Roman" w:hAnsi="Calibri" w:cs="Times New Roman"/>
          <w:i/>
          <w:iCs/>
        </w:rPr>
        <w:t>Title 42 CFR § 438.330(d)</w:t>
      </w:r>
      <w:r w:rsidRPr="00602A39">
        <w:rPr>
          <w:rFonts w:ascii="Calibri" w:eastAsia="Times New Roman" w:hAnsi="Calibri" w:cs="Times New Roman"/>
        </w:rPr>
        <w:t xml:space="preserve"> establishes that state agencies require contracted MCOs to conduct PIPs that focus on both clinical and non-clinical areas. According to the CMS, the purpose of a PIP is to assess and improve the processes and outcomes of health care provided by an MCO. </w:t>
      </w:r>
    </w:p>
    <w:p w14:paraId="1BD30381" w14:textId="77777777" w:rsidR="0074172F" w:rsidRPr="00602A39" w:rsidRDefault="0074172F" w:rsidP="0074172F">
      <w:pPr>
        <w:rPr>
          <w:rFonts w:ascii="Calibri" w:eastAsia="Times New Roman" w:hAnsi="Calibri" w:cs="Times New Roman"/>
        </w:rPr>
      </w:pPr>
    </w:p>
    <w:bookmarkEnd w:id="10"/>
    <w:p w14:paraId="093A3825" w14:textId="77777777" w:rsidR="0074172F" w:rsidRPr="00602A39" w:rsidRDefault="0074172F" w:rsidP="0074172F">
      <w:pPr>
        <w:rPr>
          <w:rFonts w:ascii="Calibri" w:eastAsia="PMingLiU" w:hAnsi="Calibri" w:cs="Times New Roman"/>
        </w:rPr>
      </w:pPr>
      <w:r w:rsidRPr="00602A39">
        <w:rPr>
          <w:rFonts w:ascii="Calibri" w:eastAsia="PMingLiU" w:hAnsi="Calibri" w:cs="Times New Roman"/>
        </w:rPr>
        <w:t xml:space="preserve">In accordance with current </w:t>
      </w:r>
      <w:smartTag w:uri="urn:schemas-microsoft-com:office:smarttags" w:element="stockticker">
        <w:r w:rsidRPr="00602A39">
          <w:rPr>
            <w:rFonts w:ascii="Calibri" w:eastAsia="PMingLiU" w:hAnsi="Calibri" w:cs="Times New Roman"/>
          </w:rPr>
          <w:t>BBA</w:t>
        </w:r>
      </w:smartTag>
      <w:r w:rsidRPr="00602A39">
        <w:rPr>
          <w:rFonts w:ascii="Calibri" w:eastAsia="PMingLiU" w:hAnsi="Calibri" w:cs="Times New Roman"/>
        </w:rPr>
        <w:t xml:space="preserve"> regulations, IPRO undertook validation of Performance Improvement Projects (PIPs) for each CHIP MCO.  For the purposes of the EQR, CHIP MCOs were required to participate in studies selected by DHS CHIP for validation by IPRO in </w:t>
      </w:r>
      <w:r>
        <w:rPr>
          <w:rFonts w:ascii="Calibri" w:eastAsia="PMingLiU" w:hAnsi="Calibri" w:cs="Times New Roman"/>
        </w:rPr>
        <w:t>2022</w:t>
      </w:r>
      <w:r w:rsidRPr="00602A39">
        <w:rPr>
          <w:rFonts w:ascii="Calibri" w:eastAsia="PMingLiU" w:hAnsi="Calibri" w:cs="Times New Roman"/>
        </w:rPr>
        <w:t xml:space="preserve"> for 2021 activities.  Under the applicable Agreement with DHS in effect during this review period, CHIP MCOs are required to conduct focused studies each year.  For all CHIP MCOs, two new PIPs were initiated as part of this requirement in </w:t>
      </w:r>
      <w:r>
        <w:rPr>
          <w:rFonts w:ascii="Calibri" w:eastAsia="PMingLiU" w:hAnsi="Calibri" w:cs="Times New Roman"/>
        </w:rPr>
        <w:t>2022</w:t>
      </w:r>
      <w:r w:rsidRPr="00602A39">
        <w:rPr>
          <w:rFonts w:ascii="Calibri" w:eastAsia="PMingLiU" w:hAnsi="Calibri" w:cs="Times New Roman"/>
        </w:rPr>
        <w:t xml:space="preserve">. For all PIPs, CHIP MCOs are required to implement improvement actions and to conduct follow-up </w:t>
      </w:r>
      <w:proofErr w:type="gramStart"/>
      <w:r w:rsidRPr="00602A39">
        <w:rPr>
          <w:rFonts w:ascii="Calibri" w:eastAsia="PMingLiU" w:hAnsi="Calibri" w:cs="Times New Roman"/>
        </w:rPr>
        <w:t>in order to</w:t>
      </w:r>
      <w:proofErr w:type="gramEnd"/>
      <w:r w:rsidRPr="00602A39">
        <w:rPr>
          <w:rFonts w:ascii="Calibri" w:eastAsia="PMingLiU" w:hAnsi="Calibri" w:cs="Times New Roman"/>
        </w:rPr>
        <w:t xml:space="preserve"> demonstrate initial and sustained improvement or the need for further action.</w:t>
      </w:r>
    </w:p>
    <w:p w14:paraId="19889379" w14:textId="20F46A14" w:rsidR="0074172F" w:rsidRDefault="0074172F" w:rsidP="0074172F">
      <w:pPr>
        <w:rPr>
          <w:rFonts w:ascii="Calibri" w:eastAsia="PMingLiU" w:hAnsi="Calibri" w:cs="Times New Roman"/>
        </w:rPr>
      </w:pPr>
    </w:p>
    <w:p w14:paraId="23B5CFB9" w14:textId="3DCA23F0" w:rsidR="00A246F6" w:rsidRPr="00602A39" w:rsidRDefault="00A246F6" w:rsidP="00A246F6">
      <w:pPr>
        <w:rPr>
          <w:rFonts w:ascii="Calibri" w:eastAsia="PMingLiU" w:hAnsi="Calibri" w:cs="Times New Roman"/>
        </w:rPr>
      </w:pPr>
      <w:r w:rsidRPr="00602A39">
        <w:rPr>
          <w:rFonts w:ascii="Calibri" w:eastAsia="PMingLiU" w:hAnsi="Calibri" w:cs="Times New Roman"/>
        </w:rPr>
        <w:t>The PIPs extend from January 20</w:t>
      </w:r>
      <w:r>
        <w:rPr>
          <w:rFonts w:ascii="Calibri" w:eastAsia="PMingLiU" w:hAnsi="Calibri" w:cs="Times New Roman"/>
        </w:rPr>
        <w:t>21</w:t>
      </w:r>
      <w:r w:rsidRPr="00602A39">
        <w:rPr>
          <w:rFonts w:ascii="Calibri" w:eastAsia="PMingLiU" w:hAnsi="Calibri" w:cs="Times New Roman"/>
        </w:rPr>
        <w:t xml:space="preserve"> through December 202</w:t>
      </w:r>
      <w:r>
        <w:rPr>
          <w:rFonts w:ascii="Calibri" w:eastAsia="PMingLiU" w:hAnsi="Calibri" w:cs="Times New Roman"/>
        </w:rPr>
        <w:t xml:space="preserve">4. </w:t>
      </w:r>
      <w:r w:rsidRPr="00602A39">
        <w:rPr>
          <w:rFonts w:ascii="Calibri" w:eastAsia="PMingLiU" w:hAnsi="Calibri" w:cs="Times New Roman"/>
        </w:rPr>
        <w:t xml:space="preserve">The non-intervention baseline period </w:t>
      </w:r>
      <w:r>
        <w:rPr>
          <w:rFonts w:ascii="Calibri" w:eastAsia="PMingLiU" w:hAnsi="Calibri" w:cs="Times New Roman"/>
        </w:rPr>
        <w:t>is</w:t>
      </w:r>
      <w:r w:rsidRPr="00602A39">
        <w:rPr>
          <w:rFonts w:ascii="Calibri" w:eastAsia="PMingLiU" w:hAnsi="Calibri" w:cs="Times New Roman"/>
        </w:rPr>
        <w:t xml:space="preserve"> January 20</w:t>
      </w:r>
      <w:r>
        <w:rPr>
          <w:rFonts w:ascii="Calibri" w:eastAsia="PMingLiU" w:hAnsi="Calibri" w:cs="Times New Roman"/>
        </w:rPr>
        <w:t>21</w:t>
      </w:r>
      <w:r w:rsidRPr="00602A39">
        <w:rPr>
          <w:rFonts w:ascii="Calibri" w:eastAsia="PMingLiU" w:hAnsi="Calibri" w:cs="Times New Roman"/>
        </w:rPr>
        <w:t xml:space="preserve"> to December 20</w:t>
      </w:r>
      <w:r>
        <w:rPr>
          <w:rFonts w:ascii="Calibri" w:eastAsia="PMingLiU" w:hAnsi="Calibri" w:cs="Times New Roman"/>
        </w:rPr>
        <w:t>21,</w:t>
      </w:r>
      <w:r w:rsidRPr="00602A39">
        <w:rPr>
          <w:rFonts w:ascii="Calibri" w:eastAsia="PMingLiU" w:hAnsi="Calibri" w:cs="Times New Roman"/>
        </w:rPr>
        <w:t xml:space="preserve"> with research beginning in 20</w:t>
      </w:r>
      <w:r>
        <w:rPr>
          <w:rFonts w:ascii="Calibri" w:eastAsia="PMingLiU" w:hAnsi="Calibri" w:cs="Times New Roman"/>
        </w:rPr>
        <w:t>22.</w:t>
      </w:r>
      <w:r w:rsidRPr="00602A39">
        <w:rPr>
          <w:rFonts w:ascii="Calibri" w:eastAsia="PMingLiU" w:hAnsi="Calibri" w:cs="Times New Roman"/>
        </w:rPr>
        <w:t xml:space="preserve"> </w:t>
      </w:r>
      <w:r>
        <w:rPr>
          <w:rFonts w:ascii="Calibri" w:eastAsia="PMingLiU" w:hAnsi="Calibri" w:cs="Times New Roman"/>
        </w:rPr>
        <w:t>I</w:t>
      </w:r>
      <w:r w:rsidRPr="00602A39">
        <w:rPr>
          <w:rFonts w:ascii="Calibri" w:eastAsia="PMingLiU" w:hAnsi="Calibri" w:cs="Times New Roman"/>
        </w:rPr>
        <w:t xml:space="preserve">nitial PIP proposals </w:t>
      </w:r>
      <w:r>
        <w:rPr>
          <w:rFonts w:ascii="Calibri" w:eastAsia="PMingLiU" w:hAnsi="Calibri" w:cs="Times New Roman"/>
        </w:rPr>
        <w:t xml:space="preserve">were </w:t>
      </w:r>
      <w:r w:rsidRPr="00602A39">
        <w:rPr>
          <w:rFonts w:ascii="Calibri" w:eastAsia="PMingLiU" w:hAnsi="Calibri" w:cs="Times New Roman"/>
        </w:rPr>
        <w:t xml:space="preserve">developed and submitted in </w:t>
      </w:r>
      <w:r>
        <w:rPr>
          <w:rFonts w:ascii="Calibri" w:eastAsia="PMingLiU" w:hAnsi="Calibri" w:cs="Times New Roman"/>
        </w:rPr>
        <w:t xml:space="preserve">first </w:t>
      </w:r>
      <w:r w:rsidRPr="00602A39">
        <w:rPr>
          <w:rFonts w:ascii="Calibri" w:eastAsia="PMingLiU" w:hAnsi="Calibri" w:cs="Times New Roman"/>
        </w:rPr>
        <w:t>quarter 2</w:t>
      </w:r>
      <w:r>
        <w:rPr>
          <w:rFonts w:ascii="Calibri" w:eastAsia="PMingLiU" w:hAnsi="Calibri" w:cs="Times New Roman"/>
        </w:rPr>
        <w:t>022</w:t>
      </w:r>
      <w:r w:rsidRPr="00602A39">
        <w:rPr>
          <w:rFonts w:ascii="Calibri" w:eastAsia="PMingLiU" w:hAnsi="Calibri" w:cs="Times New Roman"/>
        </w:rPr>
        <w:t xml:space="preserve">, and </w:t>
      </w:r>
      <w:r>
        <w:rPr>
          <w:rFonts w:ascii="Calibri" w:eastAsia="PMingLiU" w:hAnsi="Calibri" w:cs="Times New Roman"/>
        </w:rPr>
        <w:t xml:space="preserve">baseline </w:t>
      </w:r>
      <w:r w:rsidRPr="00602A39">
        <w:rPr>
          <w:rFonts w:ascii="Calibri" w:eastAsia="PMingLiU" w:hAnsi="Calibri" w:cs="Times New Roman"/>
        </w:rPr>
        <w:t>report</w:t>
      </w:r>
      <w:r>
        <w:rPr>
          <w:rFonts w:ascii="Calibri" w:eastAsia="PMingLiU" w:hAnsi="Calibri" w:cs="Times New Roman"/>
        </w:rPr>
        <w:t>s including any proposal updates were</w:t>
      </w:r>
      <w:r w:rsidRPr="00602A39">
        <w:rPr>
          <w:rFonts w:ascii="Calibri" w:eastAsia="PMingLiU" w:hAnsi="Calibri" w:cs="Times New Roman"/>
        </w:rPr>
        <w:t xml:space="preserve"> submitted by MCOs in </w:t>
      </w:r>
      <w:r>
        <w:rPr>
          <w:rFonts w:ascii="Calibri" w:eastAsia="PMingLiU" w:hAnsi="Calibri" w:cs="Times New Roman"/>
        </w:rPr>
        <w:t xml:space="preserve">August </w:t>
      </w:r>
      <w:r w:rsidRPr="00602A39">
        <w:rPr>
          <w:rFonts w:ascii="Calibri" w:eastAsia="PMingLiU" w:hAnsi="Calibri" w:cs="Times New Roman"/>
        </w:rPr>
        <w:t>202</w:t>
      </w:r>
      <w:r>
        <w:rPr>
          <w:rFonts w:ascii="Calibri" w:eastAsia="PMingLiU" w:hAnsi="Calibri" w:cs="Times New Roman"/>
        </w:rPr>
        <w:t>2</w:t>
      </w:r>
      <w:r w:rsidRPr="00602A39">
        <w:rPr>
          <w:rFonts w:ascii="Calibri" w:eastAsia="PMingLiU" w:hAnsi="Calibri" w:cs="Times New Roman"/>
        </w:rPr>
        <w:t>. Following the formal PIP proposal</w:t>
      </w:r>
      <w:r>
        <w:rPr>
          <w:rFonts w:ascii="Calibri" w:eastAsia="PMingLiU" w:hAnsi="Calibri" w:cs="Times New Roman"/>
        </w:rPr>
        <w:t xml:space="preserve"> and baseline measurement reports</w:t>
      </w:r>
      <w:r w:rsidRPr="00602A39">
        <w:rPr>
          <w:rFonts w:ascii="Calibri" w:eastAsia="PMingLiU" w:hAnsi="Calibri" w:cs="Times New Roman"/>
        </w:rPr>
        <w:t>, the timeline defined for the PIPs require</w:t>
      </w:r>
      <w:r>
        <w:rPr>
          <w:rFonts w:ascii="Calibri" w:eastAsia="PMingLiU" w:hAnsi="Calibri" w:cs="Times New Roman"/>
        </w:rPr>
        <w:t>s an</w:t>
      </w:r>
      <w:r w:rsidRPr="00602A39">
        <w:rPr>
          <w:rFonts w:ascii="Calibri" w:eastAsia="PMingLiU" w:hAnsi="Calibri" w:cs="Times New Roman"/>
        </w:rPr>
        <w:t xml:space="preserve"> interim report</w:t>
      </w:r>
      <w:r>
        <w:rPr>
          <w:rFonts w:ascii="Calibri" w:eastAsia="PMingLiU" w:hAnsi="Calibri" w:cs="Times New Roman"/>
        </w:rPr>
        <w:t xml:space="preserve"> </w:t>
      </w:r>
      <w:r w:rsidRPr="00602A39">
        <w:rPr>
          <w:rFonts w:ascii="Calibri" w:eastAsia="PMingLiU" w:hAnsi="Calibri" w:cs="Times New Roman"/>
        </w:rPr>
        <w:t>in 20</w:t>
      </w:r>
      <w:r>
        <w:rPr>
          <w:rFonts w:ascii="Calibri" w:eastAsia="PMingLiU" w:hAnsi="Calibri" w:cs="Times New Roman"/>
        </w:rPr>
        <w:t>23</w:t>
      </w:r>
      <w:r w:rsidRPr="00602A39">
        <w:rPr>
          <w:rFonts w:ascii="Calibri" w:eastAsia="PMingLiU" w:hAnsi="Calibri" w:cs="Times New Roman"/>
        </w:rPr>
        <w:t xml:space="preserve">, as well as a final report in </w:t>
      </w:r>
      <w:r>
        <w:rPr>
          <w:rFonts w:ascii="Calibri" w:eastAsia="PMingLiU" w:hAnsi="Calibri" w:cs="Times New Roman"/>
        </w:rPr>
        <w:t>August</w:t>
      </w:r>
      <w:r w:rsidRPr="00602A39">
        <w:rPr>
          <w:rFonts w:ascii="Calibri" w:eastAsia="PMingLiU" w:hAnsi="Calibri" w:cs="Times New Roman"/>
        </w:rPr>
        <w:t xml:space="preserve"> 202</w:t>
      </w:r>
      <w:r>
        <w:rPr>
          <w:rFonts w:ascii="Calibri" w:eastAsia="PMingLiU" w:hAnsi="Calibri" w:cs="Times New Roman"/>
        </w:rPr>
        <w:t>4</w:t>
      </w:r>
      <w:r w:rsidRPr="00602A39">
        <w:rPr>
          <w:rFonts w:ascii="Calibri" w:eastAsia="PMingLiU" w:hAnsi="Calibri" w:cs="Times New Roman"/>
        </w:rPr>
        <w:t xml:space="preserve">. </w:t>
      </w:r>
    </w:p>
    <w:p w14:paraId="10EEBFD5" w14:textId="77777777" w:rsidR="00A246F6" w:rsidRPr="00602A39" w:rsidRDefault="00A246F6" w:rsidP="00A246F6">
      <w:pPr>
        <w:rPr>
          <w:rFonts w:ascii="Calibri" w:eastAsia="PMingLiU" w:hAnsi="Calibri" w:cs="Times New Roman"/>
        </w:rPr>
      </w:pPr>
    </w:p>
    <w:p w14:paraId="3241F6C4" w14:textId="77777777" w:rsidR="00A246F6" w:rsidRPr="00BF4ADB" w:rsidRDefault="00A246F6" w:rsidP="00A246F6">
      <w:pPr>
        <w:rPr>
          <w:rFonts w:ascii="Calibri" w:eastAsia="PMingLiU" w:hAnsi="Calibri" w:cs="Times New Roman"/>
        </w:rPr>
      </w:pPr>
      <w:r w:rsidRPr="00BF4ADB">
        <w:rPr>
          <w:rFonts w:ascii="Calibri" w:eastAsia="PMingLiU" w:hAnsi="Calibri" w:cs="Times New Roman"/>
        </w:rPr>
        <w:t xml:space="preserve">For each PIP, all CHIP MCOs share the same baseline period and timeline defined for that PIP.  To introduce each PIP cycle, DHS CHIP provided specific guidelines that addressed the PIP submission schedule, the measurement period, documentation requirements, topic selection, study indicators, study design, baseline measurement, interventions, re-measurement, and sustained improvement.  Direction was given with regard to expectations for PIP relevance, quality, completeness, resubmissions and timeliness. </w:t>
      </w:r>
    </w:p>
    <w:p w14:paraId="27A4935F" w14:textId="77777777" w:rsidR="00A246F6" w:rsidRPr="00BF4ADB" w:rsidRDefault="00A246F6" w:rsidP="00A246F6">
      <w:pPr>
        <w:rPr>
          <w:rFonts w:ascii="Calibri" w:eastAsia="PMingLiU" w:hAnsi="Calibri" w:cs="Times New Roman"/>
        </w:rPr>
      </w:pPr>
    </w:p>
    <w:p w14:paraId="6FB67901" w14:textId="77777777" w:rsidR="00A246F6" w:rsidRPr="00602A39" w:rsidRDefault="00A246F6" w:rsidP="00A246F6">
      <w:pPr>
        <w:rPr>
          <w:rFonts w:ascii="Calibri" w:eastAsia="PMingLiU" w:hAnsi="Calibri" w:cs="Times New Roman"/>
        </w:rPr>
      </w:pPr>
      <w:r w:rsidRPr="00602A39">
        <w:rPr>
          <w:rFonts w:ascii="Calibri" w:eastAsia="PMingLiU" w:hAnsi="Calibri" w:cs="Times New Roman"/>
        </w:rPr>
        <w:t xml:space="preserve">As part of the new EQR PIP cycle that was initiated for all CHIP MCOs in </w:t>
      </w:r>
      <w:r>
        <w:rPr>
          <w:rFonts w:ascii="Calibri" w:eastAsia="PMingLiU" w:hAnsi="Calibri" w:cs="Times New Roman"/>
        </w:rPr>
        <w:t>2022</w:t>
      </w:r>
      <w:r w:rsidRPr="00602A39">
        <w:rPr>
          <w:rFonts w:ascii="Calibri" w:eastAsia="PMingLiU" w:hAnsi="Calibri" w:cs="Times New Roman"/>
        </w:rPr>
        <w:t>, IPRO adopted the Lean methodology, following the CMS recommendation that Quality Improvement Organizations (QIOs) and other healthcare stakeholders embrace Lean in order to promote continuous quality improvement in healthcare. MCOs were provided with the most current Lean PIP submission and validation templates at the initiation of the PIP.</w:t>
      </w:r>
    </w:p>
    <w:p w14:paraId="464CFEDE" w14:textId="77777777" w:rsidR="00A246F6" w:rsidRPr="00602A39" w:rsidRDefault="00A246F6" w:rsidP="00A246F6">
      <w:pPr>
        <w:rPr>
          <w:rFonts w:ascii="Calibri" w:eastAsia="PMingLiU" w:hAnsi="Calibri" w:cs="Times New Roman"/>
        </w:rPr>
      </w:pPr>
    </w:p>
    <w:p w14:paraId="12DA6CE2" w14:textId="77777777" w:rsidR="00A246F6" w:rsidRPr="00602A39" w:rsidRDefault="00A246F6" w:rsidP="00A246F6">
      <w:pPr>
        <w:rPr>
          <w:rFonts w:ascii="Calibri" w:eastAsia="PMingLiU" w:hAnsi="Calibri" w:cs="Times New Roman"/>
        </w:rPr>
      </w:pPr>
      <w:r w:rsidRPr="00602A39">
        <w:rPr>
          <w:rFonts w:ascii="Calibri" w:eastAsia="PMingLiU" w:hAnsi="Calibri" w:cs="Times New Roman"/>
        </w:rPr>
        <w:t xml:space="preserve">All CHIP MCOs are required to submit their projects using a standardized PIP template form, which is consistent with the CMS protocol for </w:t>
      </w:r>
      <w:r w:rsidRPr="00602A39">
        <w:rPr>
          <w:rFonts w:ascii="Calibri" w:eastAsia="PMingLiU" w:hAnsi="Calibri" w:cs="Times New Roman"/>
          <w:i/>
        </w:rPr>
        <w:t>Conducting Performance Improvement Projects</w:t>
      </w:r>
      <w:r w:rsidRPr="00602A39">
        <w:rPr>
          <w:rFonts w:ascii="Calibri" w:eastAsia="PMingLiU" w:hAnsi="Calibri" w:cs="Times New Roman"/>
        </w:rPr>
        <w:t xml:space="preserve">.  These protocols follow a longitudinal format and capture information relating to: </w:t>
      </w:r>
    </w:p>
    <w:p w14:paraId="088F0FC7" w14:textId="77777777" w:rsidR="00A246F6" w:rsidRPr="00602A39" w:rsidRDefault="00A246F6" w:rsidP="00A246F6">
      <w:pPr>
        <w:numPr>
          <w:ilvl w:val="0"/>
          <w:numId w:val="3"/>
        </w:numPr>
        <w:rPr>
          <w:rFonts w:ascii="Calibri" w:eastAsia="PMingLiU" w:hAnsi="Calibri" w:cs="Arial"/>
        </w:rPr>
      </w:pPr>
      <w:r w:rsidRPr="00602A39">
        <w:rPr>
          <w:rFonts w:ascii="Calibri" w:eastAsia="PMingLiU" w:hAnsi="Calibri" w:cs="Arial"/>
        </w:rPr>
        <w:t>Activity Selection and Methodology</w:t>
      </w:r>
    </w:p>
    <w:p w14:paraId="735CF0C0" w14:textId="77777777" w:rsidR="00A246F6" w:rsidRPr="00602A39" w:rsidRDefault="00A246F6" w:rsidP="00A246F6">
      <w:pPr>
        <w:numPr>
          <w:ilvl w:val="0"/>
          <w:numId w:val="4"/>
        </w:numPr>
        <w:rPr>
          <w:rFonts w:ascii="Calibri" w:eastAsia="PMingLiU" w:hAnsi="Calibri" w:cs="Arial"/>
        </w:rPr>
      </w:pPr>
      <w:r w:rsidRPr="00602A39">
        <w:rPr>
          <w:rFonts w:ascii="Calibri" w:eastAsia="PMingLiU" w:hAnsi="Calibri" w:cs="Arial"/>
        </w:rPr>
        <w:t xml:space="preserve">Data/Results </w:t>
      </w:r>
    </w:p>
    <w:p w14:paraId="4F8CDD13" w14:textId="77777777" w:rsidR="00A246F6" w:rsidRPr="00602A39" w:rsidRDefault="00A246F6" w:rsidP="00A246F6">
      <w:pPr>
        <w:numPr>
          <w:ilvl w:val="0"/>
          <w:numId w:val="5"/>
        </w:numPr>
        <w:rPr>
          <w:rFonts w:ascii="Calibri" w:eastAsia="PMingLiU" w:hAnsi="Calibri" w:cs="Arial"/>
        </w:rPr>
      </w:pPr>
      <w:r w:rsidRPr="00602A39">
        <w:rPr>
          <w:rFonts w:ascii="Calibri" w:eastAsia="PMingLiU" w:hAnsi="Calibri" w:cs="Arial"/>
        </w:rPr>
        <w:t>Analysis Cycle</w:t>
      </w:r>
    </w:p>
    <w:p w14:paraId="6A0A0E52" w14:textId="77777777" w:rsidR="00A246F6" w:rsidRPr="00602A39" w:rsidRDefault="00A246F6" w:rsidP="00A246F6">
      <w:pPr>
        <w:numPr>
          <w:ilvl w:val="0"/>
          <w:numId w:val="6"/>
        </w:numPr>
        <w:rPr>
          <w:rFonts w:ascii="Calibri" w:eastAsia="PMingLiU" w:hAnsi="Calibri" w:cs="Arial"/>
        </w:rPr>
      </w:pPr>
      <w:r w:rsidRPr="00602A39">
        <w:rPr>
          <w:rFonts w:ascii="Calibri" w:eastAsia="PMingLiU" w:hAnsi="Calibri" w:cs="Arial"/>
        </w:rPr>
        <w:t>Interventions</w:t>
      </w:r>
    </w:p>
    <w:p w14:paraId="5B964E71" w14:textId="77777777" w:rsidR="00A246F6" w:rsidRPr="00602A39" w:rsidRDefault="00A246F6" w:rsidP="0074172F">
      <w:pPr>
        <w:rPr>
          <w:rFonts w:ascii="Calibri" w:eastAsia="PMingLiU" w:hAnsi="Calibri" w:cs="Times New Roman"/>
        </w:rPr>
      </w:pPr>
    </w:p>
    <w:p w14:paraId="278E4CFE" w14:textId="28723D38" w:rsidR="0074172F" w:rsidRPr="00602A39" w:rsidRDefault="0074172F" w:rsidP="0074172F">
      <w:pPr>
        <w:rPr>
          <w:rFonts w:ascii="Calibri" w:eastAsia="PMingLiU" w:hAnsi="Calibri" w:cs="Times New Roman"/>
          <w:color w:val="000000"/>
        </w:rPr>
      </w:pPr>
      <w:r w:rsidRPr="00BF4ADB">
        <w:rPr>
          <w:rFonts w:ascii="Calibri" w:eastAsia="PMingLiU" w:hAnsi="Calibri" w:cs="Times New Roman"/>
        </w:rPr>
        <w:t xml:space="preserve">As part of the EQR PIP cycle that was initiated for all </w:t>
      </w:r>
      <w:r>
        <w:rPr>
          <w:rFonts w:ascii="Calibri" w:eastAsia="PMingLiU" w:hAnsi="Calibri" w:cs="Times New Roman"/>
        </w:rPr>
        <w:t>CHIP</w:t>
      </w:r>
      <w:r w:rsidRPr="00BF4ADB">
        <w:rPr>
          <w:rFonts w:ascii="Calibri" w:eastAsia="PMingLiU" w:hAnsi="Calibri" w:cs="Times New Roman"/>
        </w:rPr>
        <w:t xml:space="preserve"> MCOs in 202</w:t>
      </w:r>
      <w:r>
        <w:rPr>
          <w:rFonts w:ascii="Calibri" w:eastAsia="PMingLiU" w:hAnsi="Calibri" w:cs="Times New Roman"/>
        </w:rPr>
        <w:t>2</w:t>
      </w:r>
      <w:r w:rsidRPr="00BF4ADB">
        <w:rPr>
          <w:rFonts w:ascii="Calibri" w:eastAsia="PMingLiU" w:hAnsi="Calibri" w:cs="Times New Roman"/>
        </w:rPr>
        <w:t xml:space="preserve">, </w:t>
      </w:r>
      <w:r w:rsidRPr="00602A39">
        <w:rPr>
          <w:rFonts w:ascii="Calibri" w:eastAsia="PMingLiU" w:hAnsi="Calibri" w:cs="Times New Roman"/>
        </w:rPr>
        <w:t>CHIP MCOs were required to implement two internal PIPs in priority topic areas chosen by DHS.  For this PIP cycle, the two topics selected were “</w:t>
      </w:r>
      <w:r w:rsidRPr="00E77CD6">
        <w:rPr>
          <w:rFonts w:ascii="Calibri" w:eastAsia="PMingLiU" w:hAnsi="Calibri" w:cs="Times New Roman"/>
        </w:rPr>
        <w:t>Improving Access to Pediatric Preventive Dental Care</w:t>
      </w:r>
      <w:r w:rsidRPr="00602A39">
        <w:rPr>
          <w:rFonts w:ascii="Calibri" w:eastAsia="PMingLiU" w:hAnsi="Calibri" w:cs="Times New Roman"/>
        </w:rPr>
        <w:t xml:space="preserve">” and “Improving Blood Lead Screening Rate in Children. </w:t>
      </w:r>
    </w:p>
    <w:p w14:paraId="192C836B" w14:textId="77777777" w:rsidR="0074172F" w:rsidRPr="00602A39" w:rsidRDefault="0074172F" w:rsidP="0074172F">
      <w:pPr>
        <w:rPr>
          <w:rFonts w:ascii="Calibri" w:eastAsia="PMingLiU" w:hAnsi="Calibri" w:cs="Times New Roman"/>
        </w:rPr>
      </w:pPr>
    </w:p>
    <w:p w14:paraId="5BBA5CDD" w14:textId="5DC87832" w:rsidR="0074172F" w:rsidRPr="00602A39" w:rsidRDefault="0074172F" w:rsidP="0074172F">
      <w:pPr>
        <w:rPr>
          <w:rFonts w:ascii="Calibri" w:eastAsia="PMingLiU" w:hAnsi="Calibri" w:cs="Times New Roman"/>
        </w:rPr>
      </w:pPr>
      <w:r w:rsidRPr="00602A39">
        <w:rPr>
          <w:rFonts w:ascii="Calibri" w:eastAsia="PMingLiU" w:hAnsi="Calibri" w:cs="Times New Roman"/>
          <w:b/>
        </w:rPr>
        <w:t>“</w:t>
      </w:r>
      <w:r w:rsidRPr="00E77CD6">
        <w:rPr>
          <w:rFonts w:ascii="Calibri" w:eastAsia="PMingLiU" w:hAnsi="Calibri" w:cs="Times New Roman"/>
          <w:b/>
        </w:rPr>
        <w:t>Improving Access to Pediatric Preventive Dental Care</w:t>
      </w:r>
      <w:r w:rsidRPr="00602A39">
        <w:rPr>
          <w:rFonts w:ascii="Calibri" w:eastAsia="PMingLiU" w:hAnsi="Calibri" w:cs="Times New Roman"/>
          <w:b/>
        </w:rPr>
        <w:t xml:space="preserve">” </w:t>
      </w:r>
      <w:r w:rsidRPr="00602A39">
        <w:rPr>
          <w:rFonts w:ascii="Calibri" w:eastAsia="PMingLiU" w:hAnsi="Calibri" w:cs="Times New Roman"/>
        </w:rPr>
        <w:t xml:space="preserve">was selected after review </w:t>
      </w:r>
      <w:r>
        <w:rPr>
          <w:rFonts w:ascii="Calibri" w:eastAsia="PMingLiU" w:hAnsi="Calibri" w:cs="Times New Roman"/>
        </w:rPr>
        <w:t xml:space="preserve">showed that several </w:t>
      </w:r>
      <w:r w:rsidRPr="00385757">
        <w:rPr>
          <w:rFonts w:ascii="Calibri" w:eastAsia="PMingLiU" w:hAnsi="Calibri" w:cs="Times New Roman"/>
        </w:rPr>
        <w:t>dental metrics have consistently fallen below comparable populations or have not steadily improved across years</w:t>
      </w:r>
      <w:r w:rsidRPr="00602A39">
        <w:rPr>
          <w:rFonts w:ascii="Calibri" w:eastAsia="PMingLiU" w:hAnsi="Calibri" w:cs="Times New Roman"/>
        </w:rPr>
        <w:t xml:space="preserve">. </w:t>
      </w:r>
      <w:r w:rsidRPr="00385757">
        <w:rPr>
          <w:rFonts w:ascii="Calibri" w:eastAsia="PMingLiU" w:hAnsi="Calibri" w:cs="Times New Roman"/>
        </w:rPr>
        <w:t>For the HEDIS</w:t>
      </w:r>
      <w:r w:rsidRPr="005A1CD6">
        <w:rPr>
          <w:rFonts w:ascii="Calibri" w:eastAsia="PMingLiU" w:hAnsi="Calibri" w:cs="Times New Roman"/>
        </w:rPr>
        <w:t>®</w:t>
      </w:r>
      <w:r>
        <w:rPr>
          <w:rFonts w:ascii="Calibri" w:eastAsia="PMingLiU" w:hAnsi="Calibri" w:cs="Times New Roman"/>
          <w:vertAlign w:val="superscript"/>
        </w:rPr>
        <w:t xml:space="preserve"> </w:t>
      </w:r>
      <w:r w:rsidRPr="00385757">
        <w:rPr>
          <w:rFonts w:ascii="Calibri" w:eastAsia="PMingLiU" w:hAnsi="Calibri" w:cs="Times New Roman"/>
        </w:rPr>
        <w:t xml:space="preserve">Annual Dental Visit (ADV) measure, </w:t>
      </w:r>
      <w:r>
        <w:rPr>
          <w:rFonts w:ascii="Calibri" w:eastAsia="PMingLiU" w:hAnsi="Calibri" w:cs="Times New Roman"/>
        </w:rPr>
        <w:t>while</w:t>
      </w:r>
      <w:r w:rsidRPr="00385757">
        <w:rPr>
          <w:rFonts w:ascii="Calibri" w:eastAsia="PMingLiU" w:hAnsi="Calibri" w:cs="Times New Roman"/>
        </w:rPr>
        <w:t xml:space="preserve"> CHIP Managed Care averages have been higher than Medicaid Managed Care</w:t>
      </w:r>
      <w:r w:rsidR="00C3576A">
        <w:rPr>
          <w:rFonts w:ascii="Calibri" w:eastAsia="PMingLiU" w:hAnsi="Calibri" w:cs="Times New Roman"/>
        </w:rPr>
        <w:t xml:space="preserve"> (MMC)</w:t>
      </w:r>
      <w:r w:rsidRPr="00385757">
        <w:rPr>
          <w:rFonts w:ascii="Calibri" w:eastAsia="PMingLiU" w:hAnsi="Calibri" w:cs="Times New Roman"/>
        </w:rPr>
        <w:t xml:space="preserve"> averages for most age cohorts since 2015, the CHIP averages have been consistently lower than Medicaid for the youngest cohort (ages 2</w:t>
      </w:r>
      <w:r w:rsidR="00C3576A">
        <w:rPr>
          <w:rFonts w:ascii="Calibri" w:eastAsia="PMingLiU" w:hAnsi="Calibri" w:cs="Times New Roman"/>
        </w:rPr>
        <w:t>–</w:t>
      </w:r>
      <w:r w:rsidRPr="00385757">
        <w:rPr>
          <w:rFonts w:ascii="Calibri" w:eastAsia="PMingLiU" w:hAnsi="Calibri" w:cs="Times New Roman"/>
        </w:rPr>
        <w:t xml:space="preserve">3) during the same time period.  Additionally, from HEDIS 2018 to HEDIS 2020, year-to-year trends in CHIP averages across age cohorts have fluctuated, with no steady improvement for any age cohort.  Preventive dental measures also </w:t>
      </w:r>
      <w:r>
        <w:rPr>
          <w:rFonts w:ascii="Calibri" w:eastAsia="PMingLiU" w:hAnsi="Calibri" w:cs="Times New Roman"/>
        </w:rPr>
        <w:t>indicated</w:t>
      </w:r>
      <w:r w:rsidRPr="00385757">
        <w:rPr>
          <w:rFonts w:ascii="Calibri" w:eastAsia="PMingLiU" w:hAnsi="Calibri" w:cs="Times New Roman"/>
        </w:rPr>
        <w:t xml:space="preserve"> room </w:t>
      </w:r>
      <w:r>
        <w:rPr>
          <w:rFonts w:ascii="Calibri" w:eastAsia="PMingLiU" w:hAnsi="Calibri" w:cs="Times New Roman"/>
        </w:rPr>
        <w:t>for</w:t>
      </w:r>
      <w:r w:rsidRPr="00385757">
        <w:rPr>
          <w:rFonts w:ascii="Calibri" w:eastAsia="PMingLiU" w:hAnsi="Calibri" w:cs="Times New Roman"/>
        </w:rPr>
        <w:t xml:space="preserve"> improve</w:t>
      </w:r>
      <w:r>
        <w:rPr>
          <w:rFonts w:ascii="Calibri" w:eastAsia="PMingLiU" w:hAnsi="Calibri" w:cs="Times New Roman"/>
        </w:rPr>
        <w:t>ment</w:t>
      </w:r>
      <w:r w:rsidRPr="00385757">
        <w:rPr>
          <w:rFonts w:ascii="Calibri" w:eastAsia="PMingLiU" w:hAnsi="Calibri" w:cs="Times New Roman"/>
        </w:rPr>
        <w:t xml:space="preserve">.  Prior to CMS’ replacement of the Dental Sealants In 6–9-Year-Old Children at Elevated Caries Risk measure for MY 2020, CHIP rates varied from roughly 19% to roughly 25% since 2015.  </w:t>
      </w:r>
      <w:r>
        <w:rPr>
          <w:rFonts w:ascii="Calibri" w:eastAsia="PMingLiU" w:hAnsi="Calibri" w:cs="Times New Roman"/>
        </w:rPr>
        <w:t>At the time of topic development, t</w:t>
      </w:r>
      <w:r w:rsidRPr="00385757">
        <w:rPr>
          <w:rFonts w:ascii="Calibri" w:eastAsia="PMingLiU" w:hAnsi="Calibri" w:cs="Times New Roman"/>
        </w:rPr>
        <w:t xml:space="preserve">rends </w:t>
      </w:r>
      <w:r>
        <w:rPr>
          <w:rFonts w:ascii="Calibri" w:eastAsia="PMingLiU" w:hAnsi="Calibri" w:cs="Times New Roman"/>
        </w:rPr>
        <w:t>we</w:t>
      </w:r>
      <w:r w:rsidRPr="00385757">
        <w:rPr>
          <w:rFonts w:ascii="Calibri" w:eastAsia="PMingLiU" w:hAnsi="Calibri" w:cs="Times New Roman"/>
        </w:rPr>
        <w:t>re not available for the new CMS sealant measure</w:t>
      </w:r>
      <w:r>
        <w:rPr>
          <w:rFonts w:ascii="Calibri" w:eastAsia="PMingLiU" w:hAnsi="Calibri" w:cs="Times New Roman"/>
        </w:rPr>
        <w:t xml:space="preserve">, </w:t>
      </w:r>
      <w:r w:rsidRPr="00385757">
        <w:rPr>
          <w:rFonts w:ascii="Calibri" w:eastAsia="PMingLiU" w:hAnsi="Calibri" w:cs="Times New Roman"/>
        </w:rPr>
        <w:t>Sealant Receipt on Permanent 1st Molars (SFM-CH)</w:t>
      </w:r>
      <w:r>
        <w:rPr>
          <w:rFonts w:ascii="Calibri" w:eastAsia="PMingLiU" w:hAnsi="Calibri" w:cs="Times New Roman"/>
        </w:rPr>
        <w:t>,</w:t>
      </w:r>
      <w:r w:rsidRPr="00385757">
        <w:rPr>
          <w:rFonts w:ascii="Calibri" w:eastAsia="PMingLiU" w:hAnsi="Calibri" w:cs="Times New Roman"/>
        </w:rPr>
        <w:t xml:space="preserve"> but MCOs </w:t>
      </w:r>
      <w:r>
        <w:rPr>
          <w:rFonts w:ascii="Calibri" w:eastAsia="PMingLiU" w:hAnsi="Calibri" w:cs="Times New Roman"/>
        </w:rPr>
        <w:t xml:space="preserve">have been </w:t>
      </w:r>
      <w:r w:rsidRPr="00385757">
        <w:rPr>
          <w:rFonts w:ascii="Calibri" w:eastAsia="PMingLiU" w:hAnsi="Calibri" w:cs="Times New Roman"/>
        </w:rPr>
        <w:t xml:space="preserve">encouraged to target this measure for examination.  Further, CMS reporting of Federal </w:t>
      </w:r>
      <w:r w:rsidRPr="00385757">
        <w:rPr>
          <w:rFonts w:ascii="Calibri" w:eastAsia="PMingLiU" w:hAnsi="Calibri" w:cs="Times New Roman"/>
        </w:rPr>
        <w:lastRenderedPageBreak/>
        <w:t>Fiscal Year (FFY) 2014 data from the CMS-416 Annual Early and Periodic Screening, Diagnostic, and Treatment (EPSDT) Participation Report followed trends from previous years, indicating that the percentage of Pennsylvania children age</w:t>
      </w:r>
      <w:r w:rsidR="00026329">
        <w:rPr>
          <w:rFonts w:ascii="Calibri" w:eastAsia="PMingLiU" w:hAnsi="Calibri" w:cs="Times New Roman"/>
        </w:rPr>
        <w:t>s</w:t>
      </w:r>
      <w:r w:rsidRPr="00385757">
        <w:rPr>
          <w:rFonts w:ascii="Calibri" w:eastAsia="PMingLiU" w:hAnsi="Calibri" w:cs="Times New Roman"/>
        </w:rPr>
        <w:t xml:space="preserve"> 1</w:t>
      </w:r>
      <w:r w:rsidR="00C3576A">
        <w:rPr>
          <w:rFonts w:ascii="Calibri" w:eastAsia="PMingLiU" w:hAnsi="Calibri" w:cs="Times New Roman"/>
        </w:rPr>
        <w:t>–</w:t>
      </w:r>
      <w:r w:rsidRPr="00385757">
        <w:rPr>
          <w:rFonts w:ascii="Calibri" w:eastAsia="PMingLiU" w:hAnsi="Calibri" w:cs="Times New Roman"/>
        </w:rPr>
        <w:t>20 who received any preventive dental service for FFY 2014 (42.5%), was below the National rate of 45.6%.</w:t>
      </w:r>
    </w:p>
    <w:p w14:paraId="17895E95" w14:textId="77777777" w:rsidR="0074172F" w:rsidRPr="00602A39" w:rsidRDefault="0074172F" w:rsidP="0074172F">
      <w:pPr>
        <w:rPr>
          <w:rFonts w:ascii="Calibri" w:eastAsia="PMingLiU" w:hAnsi="Calibri" w:cs="Times New Roman"/>
          <w:sz w:val="16"/>
        </w:rPr>
      </w:pPr>
    </w:p>
    <w:p w14:paraId="0BFE3ADF" w14:textId="77777777" w:rsidR="0074172F" w:rsidRDefault="0074172F" w:rsidP="0074172F">
      <w:pPr>
        <w:rPr>
          <w:rFonts w:ascii="Calibri" w:eastAsia="PMingLiU" w:hAnsi="Calibri" w:cs="Times New Roman"/>
        </w:rPr>
      </w:pPr>
      <w:r w:rsidRPr="00C008D8">
        <w:rPr>
          <w:rFonts w:ascii="Calibri" w:eastAsia="PMingLiU" w:hAnsi="Calibri" w:cs="Times New Roman"/>
        </w:rPr>
        <w:t>Given the research that early childhood caries can lead to the presence of many poor health factors and that early preventive dental visits are effective in reducing the need of restorative and emergency care, it bec</w:t>
      </w:r>
      <w:r>
        <w:rPr>
          <w:rFonts w:ascii="Calibri" w:eastAsia="PMingLiU" w:hAnsi="Calibri" w:cs="Times New Roman"/>
        </w:rPr>
        <w:t>a</w:t>
      </w:r>
      <w:r w:rsidRPr="00C008D8">
        <w:rPr>
          <w:rFonts w:ascii="Calibri" w:eastAsia="PMingLiU" w:hAnsi="Calibri" w:cs="Times New Roman"/>
        </w:rPr>
        <w:t>me apparent that examination of this research and how it might be applicable to CHIP is warranted, particularly given that metrics indicate there is room for improvement.</w:t>
      </w:r>
      <w:r>
        <w:rPr>
          <w:rFonts w:ascii="Calibri" w:eastAsia="PMingLiU" w:hAnsi="Calibri" w:cs="Times New Roman"/>
        </w:rPr>
        <w:t xml:space="preserve"> </w:t>
      </w:r>
    </w:p>
    <w:p w14:paraId="33252E17" w14:textId="77777777" w:rsidR="0074172F" w:rsidRDefault="0074172F" w:rsidP="0074172F">
      <w:pPr>
        <w:rPr>
          <w:rFonts w:ascii="Calibri" w:eastAsia="PMingLiU" w:hAnsi="Calibri" w:cs="Times New Roman"/>
        </w:rPr>
      </w:pPr>
    </w:p>
    <w:p w14:paraId="34660139" w14:textId="77777777" w:rsidR="0074172F" w:rsidRPr="00602A39" w:rsidRDefault="0074172F" w:rsidP="0074172F">
      <w:pPr>
        <w:rPr>
          <w:rFonts w:ascii="Calibri" w:eastAsia="PMingLiU" w:hAnsi="Calibri" w:cs="Times New Roman"/>
        </w:rPr>
      </w:pPr>
      <w:r w:rsidRPr="00C008D8">
        <w:rPr>
          <w:rFonts w:ascii="Calibri" w:eastAsia="PMingLiU" w:hAnsi="Calibri" w:cs="Times New Roman"/>
        </w:rPr>
        <w:t xml:space="preserve">For this PIP, </w:t>
      </w:r>
      <w:r>
        <w:rPr>
          <w:rFonts w:ascii="Calibri" w:eastAsia="PMingLiU" w:hAnsi="Calibri" w:cs="Times New Roman"/>
        </w:rPr>
        <w:t xml:space="preserve">DHS CHIP is </w:t>
      </w:r>
      <w:r w:rsidRPr="00C008D8">
        <w:rPr>
          <w:rFonts w:ascii="Calibri" w:eastAsia="PMingLiU" w:hAnsi="Calibri" w:cs="Times New Roman"/>
        </w:rPr>
        <w:t>requir</w:t>
      </w:r>
      <w:r>
        <w:rPr>
          <w:rFonts w:ascii="Calibri" w:eastAsia="PMingLiU" w:hAnsi="Calibri" w:cs="Times New Roman"/>
        </w:rPr>
        <w:t xml:space="preserve">ing </w:t>
      </w:r>
      <w:r w:rsidRPr="00C008D8">
        <w:rPr>
          <w:rFonts w:ascii="Calibri" w:eastAsia="PMingLiU" w:hAnsi="Calibri" w:cs="Times New Roman"/>
        </w:rPr>
        <w:t xml:space="preserve">all </w:t>
      </w:r>
      <w:r>
        <w:rPr>
          <w:rFonts w:ascii="Calibri" w:eastAsia="PMingLiU" w:hAnsi="Calibri" w:cs="Times New Roman"/>
        </w:rPr>
        <w:t>CHIP</w:t>
      </w:r>
      <w:r w:rsidRPr="00C008D8">
        <w:rPr>
          <w:rFonts w:ascii="Calibri" w:eastAsia="PMingLiU" w:hAnsi="Calibri" w:cs="Times New Roman"/>
        </w:rPr>
        <w:t xml:space="preserve"> MCOs to submit the following measures on an annual basis:</w:t>
      </w:r>
    </w:p>
    <w:p w14:paraId="4849AB84" w14:textId="77777777" w:rsidR="0074172F" w:rsidRPr="00A53B7A" w:rsidRDefault="0074172F" w:rsidP="00F41CA9">
      <w:pPr>
        <w:pStyle w:val="ListParagraph"/>
        <w:numPr>
          <w:ilvl w:val="0"/>
          <w:numId w:val="7"/>
        </w:numPr>
        <w:rPr>
          <w:rFonts w:eastAsia="PMingLiU" w:cstheme="minorHAnsi"/>
        </w:rPr>
      </w:pPr>
      <w:r w:rsidRPr="00C008D8">
        <w:rPr>
          <w:rFonts w:eastAsia="PMingLiU" w:cstheme="minorHAnsi"/>
        </w:rPr>
        <w:t>Annual Dental Visit</w:t>
      </w:r>
      <w:r>
        <w:rPr>
          <w:rFonts w:eastAsia="PMingLiU" w:cstheme="minorHAnsi"/>
        </w:rPr>
        <w:t>s</w:t>
      </w:r>
      <w:r w:rsidRPr="00C008D8">
        <w:rPr>
          <w:rFonts w:eastAsia="PMingLiU" w:cstheme="minorHAnsi"/>
        </w:rPr>
        <w:t xml:space="preserve"> </w:t>
      </w:r>
      <w:r w:rsidRPr="00A53B7A">
        <w:rPr>
          <w:rFonts w:eastAsia="PMingLiU" w:cstheme="minorHAnsi"/>
        </w:rPr>
        <w:t>(</w:t>
      </w:r>
      <w:r>
        <w:rPr>
          <w:rFonts w:eastAsia="PMingLiU" w:cstheme="minorHAnsi"/>
        </w:rPr>
        <w:t>ADV</w:t>
      </w:r>
      <w:r w:rsidRPr="00A53B7A">
        <w:rPr>
          <w:rFonts w:eastAsia="PMingLiU" w:cstheme="minorHAnsi"/>
        </w:rPr>
        <w:t xml:space="preserve"> – HEDIS)</w:t>
      </w:r>
      <w:r>
        <w:rPr>
          <w:rFonts w:eastAsia="PMingLiU" w:cstheme="minorHAnsi"/>
        </w:rPr>
        <w:t xml:space="preserve">. </w:t>
      </w:r>
      <w:r w:rsidRPr="00C008D8">
        <w:rPr>
          <w:rFonts w:eastAsia="PMingLiU" w:cstheme="minorHAnsi"/>
        </w:rPr>
        <w:t>MCOs will report on the measure collected and submitted for HEDIS.</w:t>
      </w:r>
    </w:p>
    <w:p w14:paraId="4D45CF8D" w14:textId="77777777" w:rsidR="0074172F" w:rsidRPr="00A53B7A" w:rsidRDefault="0074172F" w:rsidP="00F41CA9">
      <w:pPr>
        <w:pStyle w:val="ListParagraph"/>
        <w:numPr>
          <w:ilvl w:val="0"/>
          <w:numId w:val="7"/>
        </w:numPr>
        <w:rPr>
          <w:rFonts w:eastAsia="PMingLiU" w:cstheme="minorHAnsi"/>
        </w:rPr>
      </w:pPr>
      <w:r w:rsidRPr="00C008D8">
        <w:rPr>
          <w:rFonts w:eastAsia="PMingLiU" w:cstheme="minorHAnsi"/>
        </w:rPr>
        <w:t>Total Eligible Members Receiving Preventive Dental Services. For this measure, each MCO will define all parameters that will be used to collect and report a rate for this measure using its claims system.</w:t>
      </w:r>
    </w:p>
    <w:p w14:paraId="0A3843F2" w14:textId="77777777" w:rsidR="0074172F" w:rsidRPr="00A53B7A" w:rsidRDefault="0074172F" w:rsidP="00F41CA9">
      <w:pPr>
        <w:pStyle w:val="ListParagraph"/>
        <w:numPr>
          <w:ilvl w:val="0"/>
          <w:numId w:val="7"/>
        </w:numPr>
        <w:rPr>
          <w:rFonts w:eastAsia="PMingLiU" w:cstheme="minorHAnsi"/>
        </w:rPr>
      </w:pPr>
      <w:r>
        <w:rPr>
          <w:rFonts w:eastAsia="PMingLiU" w:cstheme="minorHAnsi"/>
        </w:rPr>
        <w:t>MCO-defined. E</w:t>
      </w:r>
      <w:r w:rsidRPr="00E27997">
        <w:rPr>
          <w:rFonts w:eastAsia="PMingLiU" w:cstheme="minorHAnsi"/>
        </w:rPr>
        <w:t>ach MCO is required to identify and define at least one additional topic-related performance measure to collect and study for this PIP based on the data for its population.</w:t>
      </w:r>
    </w:p>
    <w:p w14:paraId="2B9347B9" w14:textId="77777777" w:rsidR="0074172F" w:rsidRPr="00602A39" w:rsidRDefault="0074172F" w:rsidP="0074172F">
      <w:pPr>
        <w:tabs>
          <w:tab w:val="left" w:pos="900"/>
          <w:tab w:val="left" w:pos="990"/>
          <w:tab w:val="left" w:pos="1440"/>
        </w:tabs>
        <w:contextualSpacing/>
        <w:rPr>
          <w:rFonts w:ascii="Calibri" w:eastAsia="PMingLiU" w:hAnsi="Calibri" w:cs="Arial"/>
        </w:rPr>
      </w:pPr>
    </w:p>
    <w:p w14:paraId="4C334F82" w14:textId="13D7676D" w:rsidR="0074172F" w:rsidRDefault="0074172F" w:rsidP="0074172F">
      <w:pPr>
        <w:rPr>
          <w:rFonts w:ascii="Calibri" w:eastAsia="PMingLiU" w:hAnsi="Calibri" w:cs="Times New Roman"/>
        </w:rPr>
      </w:pPr>
      <w:r w:rsidRPr="00602A39">
        <w:rPr>
          <w:rFonts w:ascii="Calibri" w:eastAsia="PMingLiU" w:hAnsi="Calibri" w:cs="Times New Roman"/>
          <w:b/>
        </w:rPr>
        <w:t>“Improving Blood Lead Screening Rates in Children”</w:t>
      </w:r>
      <w:r w:rsidRPr="00602A39">
        <w:rPr>
          <w:rFonts w:ascii="Calibri" w:eastAsia="PMingLiU" w:hAnsi="Calibri" w:cs="Times New Roman"/>
        </w:rPr>
        <w:t xml:space="preserve"> </w:t>
      </w:r>
      <w:r w:rsidRPr="00D317F8">
        <w:rPr>
          <w:rFonts w:ascii="Calibri" w:eastAsia="PMingLiU" w:hAnsi="Calibri" w:cs="Times New Roman"/>
        </w:rPr>
        <w:t>was selected again due to several factors</w:t>
      </w:r>
      <w:r w:rsidRPr="00602A39">
        <w:rPr>
          <w:rFonts w:ascii="Calibri" w:eastAsia="PMingLiU" w:hAnsi="Calibri" w:cs="Times New Roman"/>
        </w:rPr>
        <w:t xml:space="preserve">.  </w:t>
      </w:r>
      <w:r w:rsidRPr="00EC22CB">
        <w:rPr>
          <w:rFonts w:ascii="Calibri" w:eastAsia="PMingLiU" w:hAnsi="Calibri" w:cs="Times New Roman"/>
        </w:rPr>
        <w:t>A 2021 look at national trends regarding lead screening and</w:t>
      </w:r>
      <w:r w:rsidR="00A246F6">
        <w:rPr>
          <w:rFonts w:ascii="Calibri" w:eastAsia="PMingLiU" w:hAnsi="Calibri" w:cs="Times New Roman"/>
        </w:rPr>
        <w:t xml:space="preserve"> blood lead levels (</w:t>
      </w:r>
      <w:r w:rsidRPr="00EC22CB">
        <w:rPr>
          <w:rFonts w:ascii="Calibri" w:eastAsia="PMingLiU" w:hAnsi="Calibri" w:cs="Times New Roman"/>
        </w:rPr>
        <w:t>BLLs</w:t>
      </w:r>
      <w:r w:rsidR="00A246F6">
        <w:rPr>
          <w:rFonts w:ascii="Calibri" w:eastAsia="PMingLiU" w:hAnsi="Calibri" w:cs="Times New Roman"/>
        </w:rPr>
        <w:t>)</w:t>
      </w:r>
      <w:r w:rsidRPr="00EC22CB">
        <w:rPr>
          <w:rFonts w:ascii="Calibri" w:eastAsia="PMingLiU" w:hAnsi="Calibri" w:cs="Times New Roman"/>
        </w:rPr>
        <w:t xml:space="preserve"> show</w:t>
      </w:r>
      <w:r>
        <w:rPr>
          <w:rFonts w:ascii="Calibri" w:eastAsia="PMingLiU" w:hAnsi="Calibri" w:cs="Times New Roman"/>
        </w:rPr>
        <w:t>ed</w:t>
      </w:r>
      <w:r w:rsidRPr="00EC22CB">
        <w:rPr>
          <w:rFonts w:ascii="Calibri" w:eastAsia="PMingLiU" w:hAnsi="Calibri" w:cs="Times New Roman"/>
        </w:rPr>
        <w:t xml:space="preserve"> that Pennsylvania was among the states with the highest number of children with elevated BLLs, with most samples coming from the Philadelphia and Pittsburgh metropolitan areas</w:t>
      </w:r>
      <w:r w:rsidR="009C7EB7">
        <w:rPr>
          <w:rStyle w:val="FootnoteReference"/>
          <w:rFonts w:eastAsia="PMingLiU"/>
        </w:rPr>
        <w:footnoteReference w:id="1"/>
      </w:r>
      <w:r w:rsidRPr="00EC22CB">
        <w:rPr>
          <w:rFonts w:ascii="Calibri" w:eastAsia="PMingLiU" w:hAnsi="Calibri" w:cs="Times New Roman"/>
        </w:rPr>
        <w:t>. The National Surveillance Data table, utilizing NHANES data, support</w:t>
      </w:r>
      <w:r>
        <w:rPr>
          <w:rFonts w:ascii="Calibri" w:eastAsia="PMingLiU" w:hAnsi="Calibri" w:cs="Times New Roman"/>
        </w:rPr>
        <w:t>ed</w:t>
      </w:r>
      <w:r w:rsidRPr="00EC22CB">
        <w:rPr>
          <w:rFonts w:ascii="Calibri" w:eastAsia="PMingLiU" w:hAnsi="Calibri" w:cs="Times New Roman"/>
        </w:rPr>
        <w:t xml:space="preserve"> this finding, citing percentages ranging from 6 to 9% for children with BLLs at least 5 ug/dL, and around 1.5% for children with at least 10 ug/dL in Pennsylvania</w:t>
      </w:r>
      <w:r w:rsidR="006C6B88">
        <w:rPr>
          <w:rStyle w:val="FootnoteReference"/>
          <w:rFonts w:eastAsia="PMingLiU"/>
        </w:rPr>
        <w:footnoteReference w:id="2"/>
      </w:r>
      <w:r>
        <w:rPr>
          <w:rFonts w:ascii="Calibri" w:eastAsia="PMingLiU" w:hAnsi="Calibri" w:cs="Times New Roman"/>
        </w:rPr>
        <w:t xml:space="preserve">. </w:t>
      </w:r>
      <w:r w:rsidRPr="00602A39">
        <w:rPr>
          <w:rFonts w:ascii="Calibri" w:eastAsia="PMingLiU" w:hAnsi="Calibri" w:cs="Times New Roman"/>
        </w:rPr>
        <w:t xml:space="preserve">Current CHIP policy requires that all children ages </w:t>
      </w:r>
      <w:r w:rsidR="00C3576A">
        <w:rPr>
          <w:rFonts w:ascii="Calibri" w:eastAsia="PMingLiU" w:hAnsi="Calibri" w:cs="Times New Roman"/>
        </w:rPr>
        <w:t>1</w:t>
      </w:r>
      <w:r w:rsidRPr="00602A39">
        <w:rPr>
          <w:rFonts w:ascii="Calibri" w:eastAsia="PMingLiU" w:hAnsi="Calibri" w:cs="Times New Roman"/>
        </w:rPr>
        <w:t xml:space="preserve"> and </w:t>
      </w:r>
      <w:r w:rsidR="00C3576A">
        <w:rPr>
          <w:rFonts w:ascii="Calibri" w:eastAsia="PMingLiU" w:hAnsi="Calibri" w:cs="Times New Roman"/>
        </w:rPr>
        <w:t>2</w:t>
      </w:r>
      <w:r w:rsidRPr="00602A39">
        <w:rPr>
          <w:rFonts w:ascii="Calibri" w:eastAsia="PMingLiU" w:hAnsi="Calibri" w:cs="Times New Roman"/>
        </w:rPr>
        <w:t xml:space="preserve"> years old and all children ages 3 through 6 years without a prior lead blood test have blood levels screened consistent with current Department of Health and CDC standards. </w:t>
      </w:r>
      <w:r w:rsidRPr="00EC22CB">
        <w:rPr>
          <w:rFonts w:ascii="Calibri" w:eastAsia="PMingLiU" w:hAnsi="Calibri" w:cs="Times New Roman"/>
        </w:rPr>
        <w:t>Between 2012 and 2018, Pennsylvania has seen fluctuating lead screening rates for children younger than 72 months old, with 17.8% screened in both 2012 and again in 2018.</w:t>
      </w:r>
      <w:r>
        <w:rPr>
          <w:rFonts w:ascii="Calibri" w:eastAsia="PMingLiU" w:hAnsi="Calibri" w:cs="Times New Roman"/>
        </w:rPr>
        <w:t xml:space="preserve"> </w:t>
      </w:r>
      <w:r w:rsidRPr="00602A39">
        <w:rPr>
          <w:rFonts w:ascii="Calibri" w:eastAsia="PMingLiU" w:hAnsi="Calibri" w:cs="Times New Roman"/>
        </w:rPr>
        <w:t>Using the HEDIS Lead Screening measure, the average national lead screening rate in 201</w:t>
      </w:r>
      <w:r>
        <w:rPr>
          <w:rFonts w:ascii="Calibri" w:eastAsia="PMingLiU" w:hAnsi="Calibri" w:cs="Times New Roman"/>
        </w:rPr>
        <w:t>9</w:t>
      </w:r>
      <w:r w:rsidRPr="00602A39">
        <w:rPr>
          <w:rFonts w:ascii="Calibri" w:eastAsia="PMingLiU" w:hAnsi="Calibri" w:cs="Times New Roman"/>
        </w:rPr>
        <w:t xml:space="preserve"> was </w:t>
      </w:r>
      <w:r>
        <w:rPr>
          <w:rFonts w:ascii="Calibri" w:eastAsia="PMingLiU" w:hAnsi="Calibri" w:cs="Times New Roman"/>
        </w:rPr>
        <w:t>70.0</w:t>
      </w:r>
      <w:r w:rsidRPr="00602A39">
        <w:rPr>
          <w:rFonts w:ascii="Calibri" w:eastAsia="PMingLiU" w:hAnsi="Calibri" w:cs="Times New Roman"/>
        </w:rPr>
        <w:t xml:space="preserve">%, while the Pennsylvania CHIP average was </w:t>
      </w:r>
      <w:r>
        <w:rPr>
          <w:rFonts w:ascii="Calibri" w:eastAsia="PMingLiU" w:hAnsi="Calibri" w:cs="Times New Roman"/>
        </w:rPr>
        <w:t>66</w:t>
      </w:r>
      <w:r w:rsidRPr="00602A39">
        <w:rPr>
          <w:rFonts w:ascii="Calibri" w:eastAsia="PMingLiU" w:hAnsi="Calibri" w:cs="Times New Roman"/>
        </w:rPr>
        <w:t xml:space="preserve">.2%. </w:t>
      </w:r>
      <w:r w:rsidRPr="00EC22CB">
        <w:rPr>
          <w:rFonts w:ascii="Calibri" w:eastAsia="PMingLiU" w:hAnsi="Calibri" w:cs="Times New Roman"/>
        </w:rPr>
        <w:t xml:space="preserve">This rate fell between the </w:t>
      </w:r>
      <w:r w:rsidRPr="00C3576A">
        <w:rPr>
          <w:rFonts w:ascii="Calibri" w:eastAsia="PMingLiU" w:hAnsi="Calibri" w:cs="Times New Roman"/>
        </w:rPr>
        <w:t>25th and 33rd</w:t>
      </w:r>
      <w:r w:rsidRPr="00EC22CB">
        <w:rPr>
          <w:rFonts w:ascii="Calibri" w:eastAsia="PMingLiU" w:hAnsi="Calibri" w:cs="Times New Roman"/>
        </w:rPr>
        <w:t xml:space="preserve"> percentile for HEDIS</w:t>
      </w:r>
      <w:r w:rsidRPr="005A1CD6">
        <w:rPr>
          <w:rFonts w:ascii="Calibri" w:eastAsia="PMingLiU" w:hAnsi="Calibri" w:cs="Times New Roman"/>
        </w:rPr>
        <w:t>®</w:t>
      </w:r>
      <w:r w:rsidRPr="00EC22CB">
        <w:rPr>
          <w:rFonts w:ascii="Calibri" w:eastAsia="PMingLiU" w:hAnsi="Calibri" w:cs="Times New Roman"/>
        </w:rPr>
        <w:t xml:space="preserve"> Quality Compass benchmarks. </w:t>
      </w:r>
      <w:r w:rsidRPr="00602A39">
        <w:rPr>
          <w:rFonts w:ascii="Calibri" w:eastAsia="PMingLiU" w:hAnsi="Calibri" w:cs="Times New Roman"/>
        </w:rPr>
        <w:t xml:space="preserve">Despite an overall improvement in lead screening rates for Pennsylvania CHIP Contractors over the previous few years, rates by </w:t>
      </w:r>
      <w:r>
        <w:rPr>
          <w:rFonts w:ascii="Calibri" w:eastAsia="PMingLiU" w:hAnsi="Calibri" w:cs="Times New Roman"/>
        </w:rPr>
        <w:t>MCO</w:t>
      </w:r>
      <w:r w:rsidRPr="00602A39">
        <w:rPr>
          <w:rFonts w:ascii="Calibri" w:eastAsia="PMingLiU" w:hAnsi="Calibri" w:cs="Times New Roman"/>
        </w:rPr>
        <w:t xml:space="preserve"> and weighted average </w:t>
      </w:r>
      <w:r>
        <w:rPr>
          <w:rFonts w:ascii="Calibri" w:eastAsia="PMingLiU" w:hAnsi="Calibri" w:cs="Times New Roman"/>
        </w:rPr>
        <w:t>continued to be</w:t>
      </w:r>
      <w:r w:rsidRPr="00602A39">
        <w:rPr>
          <w:rFonts w:ascii="Calibri" w:eastAsia="PMingLiU" w:hAnsi="Calibri" w:cs="Times New Roman"/>
        </w:rPr>
        <w:t xml:space="preserve"> below the national average. </w:t>
      </w:r>
      <w:r>
        <w:rPr>
          <w:rFonts w:ascii="Calibri" w:eastAsia="PMingLiU" w:hAnsi="Calibri" w:cs="Times New Roman"/>
        </w:rPr>
        <w:t xml:space="preserve">Additionally, when </w:t>
      </w:r>
      <w:r w:rsidRPr="006C568E">
        <w:rPr>
          <w:rFonts w:ascii="Calibri" w:eastAsia="PMingLiU" w:hAnsi="Calibri" w:cs="Times New Roman"/>
        </w:rPr>
        <w:t xml:space="preserve">comparing Pennsylvania Medicaid and CHIP rates, Medicaid’s weighted average rate for 2019 was 81.6%, 15.5 points higher than CHIP. </w:t>
      </w:r>
      <w:r>
        <w:rPr>
          <w:rFonts w:ascii="Calibri" w:eastAsia="PMingLiU" w:hAnsi="Calibri" w:cs="Times New Roman"/>
        </w:rPr>
        <w:t>H</w:t>
      </w:r>
      <w:r w:rsidRPr="006C568E">
        <w:rPr>
          <w:rFonts w:ascii="Calibri" w:eastAsia="PMingLiU" w:hAnsi="Calibri" w:cs="Times New Roman"/>
        </w:rPr>
        <w:t xml:space="preserve">owever, </w:t>
      </w:r>
      <w:r>
        <w:rPr>
          <w:rFonts w:ascii="Calibri" w:eastAsia="PMingLiU" w:hAnsi="Calibri" w:cs="Times New Roman"/>
        </w:rPr>
        <w:t xml:space="preserve">regarding population, it was noted </w:t>
      </w:r>
      <w:r w:rsidRPr="006C568E">
        <w:rPr>
          <w:rFonts w:ascii="Calibri" w:eastAsia="PMingLiU" w:hAnsi="Calibri" w:cs="Times New Roman"/>
        </w:rPr>
        <w:t xml:space="preserve">that children less than 1 year of age typically receive Medicaid benefits until they reach </w:t>
      </w:r>
      <w:r w:rsidR="00C16C68">
        <w:rPr>
          <w:rFonts w:ascii="Calibri" w:eastAsia="PMingLiU" w:hAnsi="Calibri" w:cs="Times New Roman"/>
        </w:rPr>
        <w:t>1</w:t>
      </w:r>
      <w:r w:rsidRPr="006C568E">
        <w:rPr>
          <w:rFonts w:ascii="Calibri" w:eastAsia="PMingLiU" w:hAnsi="Calibri" w:cs="Times New Roman"/>
        </w:rPr>
        <w:t xml:space="preserve"> year. At this point, many children move over to CHIP, provided their families are eligible. </w:t>
      </w:r>
      <w:r>
        <w:rPr>
          <w:rFonts w:ascii="Calibri" w:eastAsia="PMingLiU" w:hAnsi="Calibri" w:cs="Times New Roman"/>
        </w:rPr>
        <w:t>MCOs were advised that this</w:t>
      </w:r>
      <w:r w:rsidRPr="006C568E">
        <w:rPr>
          <w:rFonts w:ascii="Calibri" w:eastAsia="PMingLiU" w:hAnsi="Calibri" w:cs="Times New Roman"/>
        </w:rPr>
        <w:t xml:space="preserve"> can affect overall CHIP rates across all MCOs, since the &lt;</w:t>
      </w:r>
      <w:r w:rsidR="00C16C68">
        <w:rPr>
          <w:rFonts w:ascii="Calibri" w:eastAsia="PMingLiU" w:hAnsi="Calibri" w:cs="Times New Roman"/>
        </w:rPr>
        <w:t xml:space="preserve"> </w:t>
      </w:r>
      <w:r w:rsidRPr="006C568E">
        <w:rPr>
          <w:rFonts w:ascii="Calibri" w:eastAsia="PMingLiU" w:hAnsi="Calibri" w:cs="Times New Roman"/>
        </w:rPr>
        <w:t>1 year age group will have disproportionately fewer members than older age groups.</w:t>
      </w:r>
    </w:p>
    <w:p w14:paraId="677E1D1E" w14:textId="77777777" w:rsidR="0074172F" w:rsidRDefault="0074172F" w:rsidP="0074172F">
      <w:pPr>
        <w:rPr>
          <w:rFonts w:ascii="Calibri" w:eastAsia="PMingLiU" w:hAnsi="Calibri" w:cs="Times New Roman"/>
        </w:rPr>
      </w:pPr>
    </w:p>
    <w:p w14:paraId="6C300181" w14:textId="77777777" w:rsidR="0074172F" w:rsidRDefault="0074172F" w:rsidP="0074172F">
      <w:pPr>
        <w:rPr>
          <w:rFonts w:ascii="Calibri" w:eastAsia="PMingLiU" w:hAnsi="Calibri" w:cs="Times New Roman"/>
        </w:rPr>
      </w:pPr>
      <w:r w:rsidRPr="00405594">
        <w:rPr>
          <w:rFonts w:ascii="Calibri" w:eastAsia="PMingLiU" w:hAnsi="Calibri" w:cs="Times New Roman"/>
        </w:rPr>
        <w:t xml:space="preserve">Given the inconsistent improvement and rates that continue to fall below national averages, </w:t>
      </w:r>
      <w:r>
        <w:rPr>
          <w:rFonts w:ascii="Calibri" w:eastAsia="PMingLiU" w:hAnsi="Calibri" w:cs="Times New Roman"/>
        </w:rPr>
        <w:t xml:space="preserve">DHS CHIP determined that </w:t>
      </w:r>
      <w:r w:rsidRPr="00405594">
        <w:rPr>
          <w:rFonts w:ascii="Calibri" w:eastAsia="PMingLiU" w:hAnsi="Calibri" w:cs="Times New Roman"/>
        </w:rPr>
        <w:t xml:space="preserve">it has become apparent that continued intervention in this area of healthcare for the CHIP population is necessary. </w:t>
      </w:r>
    </w:p>
    <w:p w14:paraId="08B6AA80" w14:textId="77777777" w:rsidR="0074172F" w:rsidRDefault="0074172F" w:rsidP="0074172F">
      <w:pPr>
        <w:rPr>
          <w:rFonts w:ascii="Calibri" w:eastAsia="PMingLiU" w:hAnsi="Calibri" w:cs="Times New Roman"/>
        </w:rPr>
      </w:pPr>
    </w:p>
    <w:p w14:paraId="62B7B50F" w14:textId="77777777" w:rsidR="0074172F" w:rsidRPr="00602A39" w:rsidRDefault="0074172F" w:rsidP="0074172F">
      <w:pPr>
        <w:rPr>
          <w:rFonts w:ascii="Calibri" w:eastAsia="PMingLiU" w:hAnsi="Calibri" w:cs="Times New Roman"/>
        </w:rPr>
      </w:pPr>
      <w:r w:rsidRPr="00405594">
        <w:rPr>
          <w:rFonts w:ascii="Calibri" w:eastAsia="PMingLiU" w:hAnsi="Calibri" w:cs="Times New Roman"/>
        </w:rPr>
        <w:t>For this PIP, DHS CHIP is requiring all CHIP MCOs to submit the following measures on an annual basis</w:t>
      </w:r>
      <w:r w:rsidRPr="00602A39">
        <w:rPr>
          <w:rFonts w:ascii="Calibri" w:eastAsia="PMingLiU" w:hAnsi="Calibri" w:cs="Times New Roman"/>
        </w:rPr>
        <w:t xml:space="preserve">: </w:t>
      </w:r>
    </w:p>
    <w:p w14:paraId="3CA9E202" w14:textId="77777777" w:rsidR="0074172F" w:rsidRPr="00A53B7A" w:rsidRDefault="0074172F" w:rsidP="00F41CA9">
      <w:pPr>
        <w:pStyle w:val="ListParagraph"/>
        <w:numPr>
          <w:ilvl w:val="0"/>
          <w:numId w:val="9"/>
        </w:numPr>
        <w:rPr>
          <w:rFonts w:eastAsia="PMingLiU" w:cstheme="minorHAnsi"/>
        </w:rPr>
      </w:pPr>
      <w:r w:rsidRPr="00405594">
        <w:rPr>
          <w:rFonts w:eastAsia="PMingLiU" w:cstheme="minorHAnsi"/>
        </w:rPr>
        <w:t xml:space="preserve">Lead Screening in Children </w:t>
      </w:r>
      <w:r w:rsidRPr="00A53B7A">
        <w:rPr>
          <w:rFonts w:eastAsia="PMingLiU" w:cstheme="minorHAnsi"/>
        </w:rPr>
        <w:t>(</w:t>
      </w:r>
      <w:r>
        <w:rPr>
          <w:rFonts w:eastAsia="PMingLiU" w:cstheme="minorHAnsi"/>
        </w:rPr>
        <w:t>LSC</w:t>
      </w:r>
      <w:r w:rsidRPr="00A53B7A">
        <w:rPr>
          <w:rFonts w:eastAsia="PMingLiU" w:cstheme="minorHAnsi"/>
        </w:rPr>
        <w:t xml:space="preserve"> – HEDIS)</w:t>
      </w:r>
      <w:r>
        <w:rPr>
          <w:rFonts w:eastAsia="PMingLiU" w:cstheme="minorHAnsi"/>
        </w:rPr>
        <w:t xml:space="preserve">. </w:t>
      </w:r>
      <w:r w:rsidRPr="00C008D8">
        <w:rPr>
          <w:rFonts w:eastAsia="PMingLiU" w:cstheme="minorHAnsi"/>
        </w:rPr>
        <w:t>MCOs will report on the measure collected and submitted for HEDIS.</w:t>
      </w:r>
    </w:p>
    <w:p w14:paraId="5C502D3C" w14:textId="77777777" w:rsidR="0074172F" w:rsidRPr="00A53B7A" w:rsidRDefault="0074172F" w:rsidP="00F41CA9">
      <w:pPr>
        <w:pStyle w:val="ListParagraph"/>
        <w:numPr>
          <w:ilvl w:val="0"/>
          <w:numId w:val="9"/>
        </w:numPr>
        <w:rPr>
          <w:rFonts w:eastAsia="PMingLiU" w:cstheme="minorHAnsi"/>
        </w:rPr>
      </w:pPr>
      <w:r w:rsidRPr="00C008D8">
        <w:rPr>
          <w:rFonts w:eastAsia="PMingLiU" w:cstheme="minorHAnsi"/>
        </w:rPr>
        <w:t xml:space="preserve">Total </w:t>
      </w:r>
      <w:r>
        <w:rPr>
          <w:rFonts w:eastAsia="PMingLiU" w:cstheme="minorHAnsi"/>
        </w:rPr>
        <w:t>N</w:t>
      </w:r>
      <w:r w:rsidRPr="00405594">
        <w:rPr>
          <w:rFonts w:eastAsia="PMingLiU" w:cstheme="minorHAnsi"/>
        </w:rPr>
        <w:t xml:space="preserve">umber of </w:t>
      </w:r>
      <w:r>
        <w:rPr>
          <w:rFonts w:eastAsia="PMingLiU" w:cstheme="minorHAnsi"/>
        </w:rPr>
        <w:t>C</w:t>
      </w:r>
      <w:r w:rsidRPr="00405594">
        <w:rPr>
          <w:rFonts w:eastAsia="PMingLiU" w:cstheme="minorHAnsi"/>
        </w:rPr>
        <w:t xml:space="preserve">hildren </w:t>
      </w:r>
      <w:r>
        <w:rPr>
          <w:rFonts w:eastAsia="PMingLiU" w:cstheme="minorHAnsi"/>
        </w:rPr>
        <w:t>S</w:t>
      </w:r>
      <w:r w:rsidRPr="00405594">
        <w:rPr>
          <w:rFonts w:eastAsia="PMingLiU" w:cstheme="minorHAnsi"/>
        </w:rPr>
        <w:t xml:space="preserve">uccessfully </w:t>
      </w:r>
      <w:r>
        <w:rPr>
          <w:rFonts w:eastAsia="PMingLiU" w:cstheme="minorHAnsi"/>
        </w:rPr>
        <w:t>I</w:t>
      </w:r>
      <w:r w:rsidRPr="00405594">
        <w:rPr>
          <w:rFonts w:eastAsia="PMingLiU" w:cstheme="minorHAnsi"/>
        </w:rPr>
        <w:t xml:space="preserve">dentified with </w:t>
      </w:r>
      <w:r>
        <w:rPr>
          <w:rFonts w:eastAsia="PMingLiU" w:cstheme="minorHAnsi"/>
        </w:rPr>
        <w:t>E</w:t>
      </w:r>
      <w:r w:rsidRPr="00405594">
        <w:rPr>
          <w:rFonts w:eastAsia="PMingLiU" w:cstheme="minorHAnsi"/>
        </w:rPr>
        <w:t xml:space="preserve">levated </w:t>
      </w:r>
      <w:r>
        <w:rPr>
          <w:rFonts w:eastAsia="PMingLiU" w:cstheme="minorHAnsi"/>
        </w:rPr>
        <w:t>B</w:t>
      </w:r>
      <w:r w:rsidRPr="00405594">
        <w:rPr>
          <w:rFonts w:eastAsia="PMingLiU" w:cstheme="minorHAnsi"/>
        </w:rPr>
        <w:t xml:space="preserve">lood </w:t>
      </w:r>
      <w:r>
        <w:rPr>
          <w:rFonts w:eastAsia="PMingLiU" w:cstheme="minorHAnsi"/>
        </w:rPr>
        <w:t>L</w:t>
      </w:r>
      <w:r w:rsidRPr="00405594">
        <w:rPr>
          <w:rFonts w:eastAsia="PMingLiU" w:cstheme="minorHAnsi"/>
        </w:rPr>
        <w:t xml:space="preserve">ead </w:t>
      </w:r>
      <w:r>
        <w:rPr>
          <w:rFonts w:eastAsia="PMingLiU" w:cstheme="minorHAnsi"/>
        </w:rPr>
        <w:t>L</w:t>
      </w:r>
      <w:r w:rsidRPr="00405594">
        <w:rPr>
          <w:rFonts w:eastAsia="PMingLiU" w:cstheme="minorHAnsi"/>
        </w:rPr>
        <w:t>evels</w:t>
      </w:r>
      <w:r w:rsidRPr="00C008D8">
        <w:rPr>
          <w:rFonts w:eastAsia="PMingLiU" w:cstheme="minorHAnsi"/>
        </w:rPr>
        <w:t>.  For this measure, each MCO will define all parameters that will be used to collect and report a rate for this measure using its claims system.</w:t>
      </w:r>
    </w:p>
    <w:p w14:paraId="0AE42DB8" w14:textId="77777777" w:rsidR="0074172F" w:rsidRPr="00A53B7A" w:rsidRDefault="0074172F" w:rsidP="00F41CA9">
      <w:pPr>
        <w:pStyle w:val="ListParagraph"/>
        <w:numPr>
          <w:ilvl w:val="0"/>
          <w:numId w:val="9"/>
        </w:numPr>
        <w:rPr>
          <w:rFonts w:eastAsia="PMingLiU" w:cstheme="minorHAnsi"/>
        </w:rPr>
      </w:pPr>
      <w:r>
        <w:rPr>
          <w:rFonts w:eastAsia="PMingLiU" w:cstheme="minorHAnsi"/>
        </w:rPr>
        <w:t>MCO-defined. E</w:t>
      </w:r>
      <w:r w:rsidRPr="00E27997">
        <w:rPr>
          <w:rFonts w:eastAsia="PMingLiU" w:cstheme="minorHAnsi"/>
        </w:rPr>
        <w:t>ach MCO is required to identify and define at least one additional topic-related performance measure to collect and study for this PIP based on the data for its population.</w:t>
      </w:r>
    </w:p>
    <w:p w14:paraId="6EBA93EE" w14:textId="219FE802" w:rsidR="0074172F" w:rsidRPr="00602A39" w:rsidRDefault="009C7EB7" w:rsidP="009C7EB7">
      <w:pPr>
        <w:contextualSpacing/>
        <w:rPr>
          <w:rFonts w:ascii="Calibri" w:eastAsia="PMingLiU" w:hAnsi="Calibri" w:cs="Arial"/>
        </w:rPr>
      </w:pPr>
      <w:r w:rsidRPr="009C7EB7">
        <w:rPr>
          <w:rFonts w:ascii="Calibri" w:eastAsia="PMingLiU" w:hAnsi="Calibri" w:cs="Arial"/>
        </w:rPr>
        <w:t xml:space="preserve">  </w:t>
      </w:r>
    </w:p>
    <w:p w14:paraId="2306AD80" w14:textId="77777777" w:rsidR="0074172F" w:rsidRPr="005C4D1C" w:rsidRDefault="0074172F" w:rsidP="005C4D1C">
      <w:pPr>
        <w:pStyle w:val="Heading2"/>
      </w:pPr>
      <w:bookmarkStart w:id="13" w:name="_Toc36128005"/>
      <w:bookmarkStart w:id="14" w:name="_Toc67305571"/>
      <w:bookmarkStart w:id="15" w:name="_Toc86933884"/>
      <w:bookmarkStart w:id="16" w:name="_Toc92376746"/>
      <w:bookmarkStart w:id="17" w:name="_Toc132641612"/>
      <w:bookmarkStart w:id="18" w:name="_Toc447196979"/>
      <w:bookmarkStart w:id="19" w:name="_Toc512521019"/>
      <w:bookmarkStart w:id="20" w:name="_Toc68527417"/>
      <w:r w:rsidRPr="005C4D1C">
        <w:t>Technical Methods of Data Collection and Analysis</w:t>
      </w:r>
      <w:bookmarkEnd w:id="13"/>
      <w:bookmarkEnd w:id="14"/>
      <w:bookmarkEnd w:id="15"/>
      <w:bookmarkEnd w:id="16"/>
      <w:bookmarkEnd w:id="17"/>
    </w:p>
    <w:p w14:paraId="523AC324" w14:textId="372C099E" w:rsidR="0074172F" w:rsidRPr="00602A39" w:rsidRDefault="0074172F" w:rsidP="0074172F">
      <w:pPr>
        <w:rPr>
          <w:rFonts w:ascii="Calibri" w:eastAsia="Times New Roman" w:hAnsi="Calibri" w:cs="Times New Roman"/>
        </w:rPr>
      </w:pPr>
      <w:r w:rsidRPr="00602A39">
        <w:rPr>
          <w:rFonts w:ascii="Calibri" w:eastAsia="Times New Roman" w:hAnsi="Calibri" w:cs="Times New Roman"/>
        </w:rPr>
        <w:t xml:space="preserve">IPRO’s validation process begins at the PIP proposal phase and continues through the life of the PIP. Throughout the course of the PIPs, IPRO provides technical assistance to each MCO. The technical assistance includes feedback. </w:t>
      </w:r>
    </w:p>
    <w:p w14:paraId="335D2C66" w14:textId="77777777" w:rsidR="0074172F" w:rsidRPr="00602A39" w:rsidRDefault="0074172F" w:rsidP="0074172F">
      <w:pPr>
        <w:rPr>
          <w:rFonts w:ascii="Calibri" w:eastAsia="Times New Roman" w:hAnsi="Calibri" w:cs="Times New Roman"/>
        </w:rPr>
      </w:pPr>
    </w:p>
    <w:p w14:paraId="187D033F" w14:textId="77777777" w:rsidR="0074172F" w:rsidRPr="00602A39" w:rsidRDefault="0074172F" w:rsidP="0074172F">
      <w:pPr>
        <w:rPr>
          <w:rFonts w:ascii="Calibri" w:eastAsia="Times New Roman" w:hAnsi="Calibri" w:cs="Times New Roman"/>
        </w:rPr>
      </w:pPr>
      <w:r w:rsidRPr="00602A39">
        <w:rPr>
          <w:rFonts w:ascii="Calibri" w:eastAsia="Times New Roman" w:hAnsi="Calibri" w:cs="Times New Roman"/>
        </w:rPr>
        <w:lastRenderedPageBreak/>
        <w:t xml:space="preserve">CMS’s </w:t>
      </w:r>
      <w:r w:rsidRPr="00602A39">
        <w:rPr>
          <w:rFonts w:ascii="Calibri" w:eastAsia="Times New Roman" w:hAnsi="Calibri" w:cs="Times New Roman"/>
          <w:i/>
        </w:rPr>
        <w:t>Protocol 1. Validation of Performance Improvement Projects</w:t>
      </w:r>
      <w:r w:rsidRPr="00602A39">
        <w:rPr>
          <w:rFonts w:ascii="Calibri" w:eastAsia="Times New Roman" w:hAnsi="Calibri" w:cs="Times New Roman"/>
        </w:rPr>
        <w:t xml:space="preserve"> was used as the framework to assess the quality of each PIP, as well as to score the compliance of each PIP with both federal and state requirements. IPRO’s assessment involves the following 10 elements:</w:t>
      </w:r>
    </w:p>
    <w:p w14:paraId="0EF25896" w14:textId="6EA5B171"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Review of the selected study topic(s) for relevance of focus and for relevance to the MCO’s enrollment.</w:t>
      </w:r>
    </w:p>
    <w:p w14:paraId="023D3E06" w14:textId="77777777"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 xml:space="preserve">Review of the study question(s) for clarity of statement. </w:t>
      </w:r>
    </w:p>
    <w:p w14:paraId="02812342" w14:textId="4EB6777C"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 xml:space="preserve">Review of the identified study population to ensure it is representative of the MCO’s enrollment and generalizable to the MCO’s total population. </w:t>
      </w:r>
    </w:p>
    <w:p w14:paraId="2F323B80" w14:textId="77777777"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 xml:space="preserve">Review of selected study indicator(s), which should be objective, clear, unambiguous, and meaningful to the focus of the PIP. </w:t>
      </w:r>
    </w:p>
    <w:p w14:paraId="35216188" w14:textId="77777777"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 xml:space="preserve">Review of sampling methods, if used, for validity and proper technique. </w:t>
      </w:r>
    </w:p>
    <w:p w14:paraId="5CA76DE7" w14:textId="77777777"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 xml:space="preserve">Review of the data collection procedures to ensure complete and accurate data were collected. </w:t>
      </w:r>
    </w:p>
    <w:p w14:paraId="1E302C68" w14:textId="77777777"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 xml:space="preserve">Review of the data analysis and interpretation of study results. </w:t>
      </w:r>
    </w:p>
    <w:p w14:paraId="3924646E" w14:textId="77777777"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 xml:space="preserve">Assessment of the improvement strategies for appropriateness. </w:t>
      </w:r>
    </w:p>
    <w:p w14:paraId="442D90D9" w14:textId="77777777"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Assessment of the likelihood that reported improvement is “real” improvement.</w:t>
      </w:r>
    </w:p>
    <w:p w14:paraId="231ABA36" w14:textId="66C99E4D" w:rsidR="0074172F" w:rsidRPr="00602A39" w:rsidRDefault="0074172F" w:rsidP="0058791F">
      <w:pPr>
        <w:numPr>
          <w:ilvl w:val="0"/>
          <w:numId w:val="25"/>
        </w:numPr>
        <w:spacing w:line="276" w:lineRule="auto"/>
        <w:ind w:left="720"/>
        <w:contextualSpacing/>
        <w:rPr>
          <w:rFonts w:ascii="Calibri" w:eastAsia="Calibri" w:hAnsi="Calibri" w:cs="Times New Roman"/>
        </w:rPr>
      </w:pPr>
      <w:r w:rsidRPr="00602A39">
        <w:rPr>
          <w:rFonts w:ascii="Calibri" w:eastAsia="Calibri" w:hAnsi="Calibri" w:cs="Times New Roman"/>
        </w:rPr>
        <w:t xml:space="preserve">Assessment of whether the MCO achieved sustained improvement. </w:t>
      </w:r>
    </w:p>
    <w:p w14:paraId="53667A3D" w14:textId="77777777" w:rsidR="0074172F" w:rsidRDefault="0074172F" w:rsidP="0074172F">
      <w:pPr>
        <w:rPr>
          <w:rFonts w:ascii="Calibri" w:eastAsia="Times New Roman" w:hAnsi="Calibri" w:cs="Times New Roman"/>
        </w:rPr>
      </w:pPr>
    </w:p>
    <w:p w14:paraId="1D6C6116" w14:textId="77777777" w:rsidR="0074172F" w:rsidRPr="00602A39" w:rsidRDefault="0074172F" w:rsidP="0074172F">
      <w:pPr>
        <w:rPr>
          <w:rFonts w:ascii="Calibri" w:eastAsia="Times New Roman" w:hAnsi="Calibri" w:cs="Times New Roman"/>
        </w:rPr>
      </w:pPr>
      <w:r w:rsidRPr="00602A39">
        <w:rPr>
          <w:rFonts w:ascii="Calibri" w:eastAsia="Times New Roman" w:hAnsi="Calibri" w:cs="Times New Roman"/>
        </w:rPr>
        <w:t>Following the review of the listed elements, the review findings are considered to determine whether the PIP outcomes should be accepted as valid and reliable.</w:t>
      </w:r>
    </w:p>
    <w:p w14:paraId="61D5442F" w14:textId="77777777" w:rsidR="0074172F" w:rsidRPr="00602A39" w:rsidRDefault="0074172F" w:rsidP="0074172F">
      <w:pPr>
        <w:rPr>
          <w:rFonts w:ascii="Calibri" w:eastAsia="Times New Roman" w:hAnsi="Calibri" w:cs="Times New Roman"/>
        </w:rPr>
      </w:pPr>
    </w:p>
    <w:bookmarkEnd w:id="18"/>
    <w:bookmarkEnd w:id="19"/>
    <w:bookmarkEnd w:id="20"/>
    <w:p w14:paraId="4DA5ABF2" w14:textId="77777777" w:rsidR="0074172F" w:rsidRPr="00602A39" w:rsidRDefault="0074172F" w:rsidP="0074172F">
      <w:pPr>
        <w:rPr>
          <w:rFonts w:ascii="Calibri" w:eastAsia="PMingLiU" w:hAnsi="Calibri" w:cs="Times New Roman"/>
        </w:rPr>
      </w:pPr>
      <w:r w:rsidRPr="00602A39">
        <w:rPr>
          <w:rFonts w:ascii="Calibri" w:eastAsia="PMingLiU" w:hAnsi="Calibri" w:cs="Times New Roman"/>
        </w:rPr>
        <w:t>This section describes the scoring elements and methodology that will occur during the intervention and sustainability periods. Measurement Year (MY</w:t>
      </w:r>
      <w:r>
        <w:rPr>
          <w:rFonts w:ascii="Calibri" w:eastAsia="PMingLiU" w:hAnsi="Calibri" w:cs="Times New Roman"/>
        </w:rPr>
        <w:t>)</w:t>
      </w:r>
      <w:r w:rsidRPr="00602A39">
        <w:rPr>
          <w:rFonts w:ascii="Calibri" w:eastAsia="PMingLiU" w:hAnsi="Calibri" w:cs="Times New Roman"/>
        </w:rPr>
        <w:t xml:space="preserve"> </w:t>
      </w:r>
      <w:r>
        <w:rPr>
          <w:rFonts w:ascii="Calibri" w:eastAsia="PMingLiU" w:hAnsi="Calibri" w:cs="Times New Roman"/>
        </w:rPr>
        <w:t>2021</w:t>
      </w:r>
      <w:r w:rsidRPr="00602A39">
        <w:rPr>
          <w:rFonts w:ascii="Calibri" w:eastAsia="PMingLiU" w:hAnsi="Calibri" w:cs="Times New Roman"/>
        </w:rPr>
        <w:t xml:space="preserve"> is the baseline year, and during the 202</w:t>
      </w:r>
      <w:r>
        <w:rPr>
          <w:rFonts w:ascii="Calibri" w:eastAsia="PMingLiU" w:hAnsi="Calibri" w:cs="Times New Roman"/>
        </w:rPr>
        <w:t>2</w:t>
      </w:r>
      <w:r w:rsidRPr="00602A39">
        <w:rPr>
          <w:rFonts w:ascii="Calibri" w:eastAsia="PMingLiU" w:hAnsi="Calibri" w:cs="Times New Roman"/>
        </w:rPr>
        <w:t xml:space="preserve"> review year, elements were reviewed and scored at multiple points during the year</w:t>
      </w:r>
      <w:r>
        <w:rPr>
          <w:rFonts w:ascii="Calibri" w:eastAsia="PMingLiU" w:hAnsi="Calibri" w:cs="Times New Roman"/>
        </w:rPr>
        <w:t>,</w:t>
      </w:r>
      <w:r w:rsidRPr="00602A39">
        <w:rPr>
          <w:rFonts w:ascii="Calibri" w:eastAsia="PMingLiU" w:hAnsi="Calibri" w:cs="Times New Roman"/>
        </w:rPr>
        <w:t xml:space="preserve"> </w:t>
      </w:r>
      <w:r>
        <w:rPr>
          <w:rFonts w:ascii="Calibri" w:eastAsia="PMingLiU" w:hAnsi="Calibri" w:cs="Times New Roman"/>
        </w:rPr>
        <w:t xml:space="preserve">when initial proposals were submitted in March 2022 and proposal update/baseline </w:t>
      </w:r>
      <w:r w:rsidRPr="00602A39">
        <w:rPr>
          <w:rFonts w:ascii="Calibri" w:eastAsia="PMingLiU" w:hAnsi="Calibri" w:cs="Times New Roman"/>
        </w:rPr>
        <w:t xml:space="preserve">reports were submitted in </w:t>
      </w:r>
      <w:r>
        <w:rPr>
          <w:rFonts w:ascii="Calibri" w:eastAsia="PMingLiU" w:hAnsi="Calibri" w:cs="Times New Roman"/>
        </w:rPr>
        <w:t xml:space="preserve">August </w:t>
      </w:r>
      <w:r w:rsidRPr="00602A39">
        <w:rPr>
          <w:rFonts w:ascii="Calibri" w:eastAsia="PMingLiU" w:hAnsi="Calibri" w:cs="Times New Roman"/>
        </w:rPr>
        <w:t>202</w:t>
      </w:r>
      <w:r>
        <w:rPr>
          <w:rFonts w:ascii="Calibri" w:eastAsia="PMingLiU" w:hAnsi="Calibri" w:cs="Times New Roman"/>
        </w:rPr>
        <w:t>2</w:t>
      </w:r>
      <w:r w:rsidRPr="00602A39">
        <w:rPr>
          <w:rFonts w:ascii="Calibri" w:eastAsia="PMingLiU" w:hAnsi="Calibri" w:cs="Times New Roman"/>
        </w:rPr>
        <w:t xml:space="preserve">. </w:t>
      </w:r>
      <w:r>
        <w:rPr>
          <w:rFonts w:ascii="Calibri" w:eastAsia="PMingLiU" w:hAnsi="Calibri" w:cs="Times New Roman"/>
        </w:rPr>
        <w:t xml:space="preserve">For Review Year 2022, the latest applicable findings are the proposal update/baseline report review findings; these are the findings included in each MCO’s report.  </w:t>
      </w:r>
      <w:r w:rsidRPr="00602A39">
        <w:rPr>
          <w:rFonts w:ascii="Calibri" w:eastAsia="PMingLiU" w:hAnsi="Calibri" w:cs="Times New Roman"/>
        </w:rPr>
        <w:t xml:space="preserve">All MCOs received some level of guidance towards improving their </w:t>
      </w:r>
      <w:r>
        <w:rPr>
          <w:rFonts w:ascii="Calibri" w:eastAsia="PMingLiU" w:hAnsi="Calibri" w:cs="Times New Roman"/>
        </w:rPr>
        <w:t>projects</w:t>
      </w:r>
      <w:r w:rsidRPr="00602A39">
        <w:rPr>
          <w:rFonts w:ascii="Calibri" w:eastAsia="PMingLiU" w:hAnsi="Calibri" w:cs="Times New Roman"/>
        </w:rPr>
        <w:t xml:space="preserve"> in these findings, and </w:t>
      </w:r>
      <w:r>
        <w:rPr>
          <w:rFonts w:ascii="Calibri" w:eastAsia="PMingLiU" w:hAnsi="Calibri" w:cs="Times New Roman"/>
        </w:rPr>
        <w:t xml:space="preserve">as requested, </w:t>
      </w:r>
      <w:r w:rsidRPr="00602A39">
        <w:rPr>
          <w:rFonts w:ascii="Calibri" w:eastAsia="PMingLiU" w:hAnsi="Calibri" w:cs="Times New Roman"/>
        </w:rPr>
        <w:t xml:space="preserve">MCOs </w:t>
      </w:r>
      <w:r>
        <w:rPr>
          <w:rFonts w:ascii="Calibri" w:eastAsia="PMingLiU" w:hAnsi="Calibri" w:cs="Times New Roman"/>
        </w:rPr>
        <w:t xml:space="preserve">will </w:t>
      </w:r>
      <w:r w:rsidRPr="00602A39">
        <w:rPr>
          <w:rFonts w:ascii="Calibri" w:eastAsia="PMingLiU" w:hAnsi="Calibri" w:cs="Times New Roman"/>
        </w:rPr>
        <w:t>respond accordingly with resubmission to correct specific areas.</w:t>
      </w:r>
    </w:p>
    <w:p w14:paraId="67C239D4" w14:textId="77777777" w:rsidR="0074172F" w:rsidRPr="00602A39" w:rsidRDefault="0074172F" w:rsidP="0074172F">
      <w:pPr>
        <w:rPr>
          <w:rFonts w:ascii="Calibri" w:eastAsia="PMingLiU" w:hAnsi="Calibri" w:cs="Times New Roman"/>
        </w:rPr>
      </w:pPr>
    </w:p>
    <w:p w14:paraId="21316ED5" w14:textId="051A46F5" w:rsidR="0074172F" w:rsidRPr="00602A39" w:rsidRDefault="0074172F" w:rsidP="0074172F">
      <w:pPr>
        <w:rPr>
          <w:rFonts w:ascii="Calibri" w:eastAsia="PMingLiU" w:hAnsi="Calibri" w:cs="Times New Roman"/>
        </w:rPr>
      </w:pPr>
      <w:r w:rsidRPr="00602A39">
        <w:rPr>
          <w:rFonts w:ascii="Calibri" w:eastAsia="PMingLiU" w:hAnsi="Calibri" w:cs="Times New Roman"/>
        </w:rPr>
        <w:t xml:space="preserve">For each review element, the assessment of compliance is determined through the responses to each review item. </w:t>
      </w:r>
      <w:r w:rsidR="008917CF" w:rsidRPr="008917CF">
        <w:rPr>
          <w:rFonts w:ascii="Calibri" w:eastAsia="PMingLiU" w:hAnsi="Calibri" w:cs="Times New Roman"/>
        </w:rPr>
        <w:t>Each element carries a separate weight. Scoring for each element is based on full compliance (met), partial compliance (partially met), and non-compliance (not met). The elements are not formally scored beyond the met/partially met/not met determination.</w:t>
      </w:r>
    </w:p>
    <w:p w14:paraId="00759BAD" w14:textId="77777777" w:rsidR="0074172F" w:rsidRPr="00602A39" w:rsidRDefault="0074172F" w:rsidP="0074172F">
      <w:pPr>
        <w:rPr>
          <w:rFonts w:ascii="Calibri" w:eastAsia="PMingLiU" w:hAnsi="Calibri" w:cs="Times New Roman"/>
        </w:rPr>
      </w:pPr>
    </w:p>
    <w:p w14:paraId="3AE1FB76" w14:textId="77777777" w:rsidR="0074172F" w:rsidRPr="00602A39" w:rsidRDefault="0074172F" w:rsidP="0074172F">
      <w:pPr>
        <w:rPr>
          <w:rFonts w:ascii="Calibri" w:eastAsia="PMingLiU" w:hAnsi="Calibri" w:cs="Times New Roman"/>
        </w:rPr>
      </w:pPr>
      <w:r w:rsidRPr="00602A39">
        <w:rPr>
          <w:rFonts w:ascii="Calibri" w:eastAsia="PMingLiU" w:hAnsi="Calibri" w:cs="Times New Roman"/>
          <w:b/>
        </w:rPr>
        <w:t>Table 1.1</w:t>
      </w:r>
      <w:r w:rsidRPr="00602A39">
        <w:rPr>
          <w:rFonts w:ascii="Calibri" w:eastAsia="PMingLiU" w:hAnsi="Calibri" w:cs="Times New Roman"/>
        </w:rPr>
        <w:t xml:space="preserve"> presents the terminologies used in the scoring process, their respective definitions, and their weight percentage.</w:t>
      </w:r>
    </w:p>
    <w:p w14:paraId="0A78BFE1" w14:textId="77777777" w:rsidR="0074172F" w:rsidRPr="00602A39" w:rsidRDefault="0074172F" w:rsidP="00A246F6">
      <w:pPr>
        <w:pStyle w:val="tableheading"/>
        <w:rPr>
          <w:rFonts w:ascii="Cambria" w:eastAsia="Times New Roman" w:hAnsi="Cambria" w:cs="Times New Roman"/>
          <w:bCs w:val="0"/>
          <w:iCs w:val="0"/>
          <w:color w:val="244061"/>
        </w:rPr>
      </w:pPr>
      <w:bookmarkStart w:id="21" w:name="_Toc442200311"/>
      <w:bookmarkStart w:id="22" w:name="_Toc448738493"/>
      <w:bookmarkStart w:id="23" w:name="_Toc500507242"/>
      <w:bookmarkStart w:id="24" w:name="_Toc68527457"/>
      <w:bookmarkStart w:id="25" w:name="_Toc132641659"/>
      <w:r w:rsidRPr="00A246F6">
        <w:t xml:space="preserve">Table 1.1: </w:t>
      </w:r>
      <w:bookmarkEnd w:id="21"/>
      <w:bookmarkEnd w:id="22"/>
      <w:bookmarkEnd w:id="23"/>
      <w:r w:rsidRPr="00A246F6">
        <w:t>Element Designation</w:t>
      </w:r>
      <w:bookmarkEnd w:id="24"/>
      <w:bookmarkEnd w:id="2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6304"/>
        <w:gridCol w:w="2387"/>
      </w:tblGrid>
      <w:tr w:rsidR="0074172F" w:rsidRPr="00602A39" w14:paraId="3CFB4D48" w14:textId="77777777" w:rsidTr="0072315A">
        <w:tc>
          <w:tcPr>
            <w:tcW w:w="5000" w:type="pct"/>
            <w:gridSpan w:val="3"/>
            <w:tcBorders>
              <w:top w:val="single" w:sz="4" w:space="0" w:color="auto"/>
              <w:left w:val="single" w:sz="4" w:space="0" w:color="auto"/>
              <w:bottom w:val="single" w:sz="4" w:space="0" w:color="auto"/>
              <w:right w:val="single" w:sz="4" w:space="0" w:color="auto"/>
            </w:tcBorders>
            <w:shd w:val="clear" w:color="auto" w:fill="5F497A"/>
            <w:vAlign w:val="center"/>
          </w:tcPr>
          <w:p w14:paraId="5565C9CB" w14:textId="77777777" w:rsidR="0074172F" w:rsidRPr="00602A39" w:rsidRDefault="0074172F" w:rsidP="00E865B3">
            <w:pPr>
              <w:jc w:val="center"/>
              <w:rPr>
                <w:rFonts w:ascii="Calibri" w:eastAsia="PMingLiU" w:hAnsi="Calibri" w:cs="Times New Roman"/>
                <w:b/>
                <w:bCs/>
                <w:color w:val="FFFFFF"/>
              </w:rPr>
            </w:pPr>
            <w:r w:rsidRPr="00602A39">
              <w:rPr>
                <w:rFonts w:ascii="Calibri" w:eastAsia="PMingLiU" w:hAnsi="Calibri" w:cs="Times New Roman"/>
                <w:b/>
                <w:bCs/>
                <w:color w:val="FFFFFF"/>
                <w:szCs w:val="24"/>
              </w:rPr>
              <w:t>Element Designation</w:t>
            </w:r>
          </w:p>
        </w:tc>
      </w:tr>
      <w:tr w:rsidR="0074172F" w:rsidRPr="00602A39" w14:paraId="20DCD672" w14:textId="77777777" w:rsidTr="0072315A">
        <w:tc>
          <w:tcPr>
            <w:tcW w:w="973" w:type="pct"/>
            <w:tcBorders>
              <w:top w:val="single" w:sz="4" w:space="0" w:color="auto"/>
              <w:left w:val="single" w:sz="4" w:space="0" w:color="auto"/>
              <w:bottom w:val="single" w:sz="4" w:space="0" w:color="auto"/>
              <w:right w:val="single" w:sz="4" w:space="0" w:color="auto"/>
            </w:tcBorders>
            <w:shd w:val="clear" w:color="auto" w:fill="CCC0D9"/>
            <w:vAlign w:val="center"/>
          </w:tcPr>
          <w:p w14:paraId="0FD0A983" w14:textId="77777777" w:rsidR="0074172F" w:rsidRPr="00602A39" w:rsidRDefault="0074172F" w:rsidP="00E865B3">
            <w:pPr>
              <w:jc w:val="center"/>
              <w:rPr>
                <w:rFonts w:ascii="Calibri" w:eastAsia="PMingLiU" w:hAnsi="Calibri" w:cs="Times New Roman"/>
                <w:b/>
                <w:bCs/>
              </w:rPr>
            </w:pPr>
            <w:r w:rsidRPr="00602A39">
              <w:rPr>
                <w:rFonts w:ascii="Calibri" w:eastAsia="PMingLiU" w:hAnsi="Calibri" w:cs="Times New Roman"/>
                <w:b/>
                <w:bCs/>
                <w:szCs w:val="24"/>
              </w:rPr>
              <w:t>Element Designation</w:t>
            </w:r>
          </w:p>
        </w:tc>
        <w:tc>
          <w:tcPr>
            <w:tcW w:w="2921" w:type="pct"/>
            <w:tcBorders>
              <w:top w:val="single" w:sz="4" w:space="0" w:color="auto"/>
              <w:left w:val="single" w:sz="4" w:space="0" w:color="auto"/>
              <w:bottom w:val="single" w:sz="4" w:space="0" w:color="auto"/>
              <w:right w:val="single" w:sz="4" w:space="0" w:color="auto"/>
            </w:tcBorders>
            <w:shd w:val="clear" w:color="auto" w:fill="CCC0D9"/>
            <w:vAlign w:val="center"/>
          </w:tcPr>
          <w:p w14:paraId="5303BEB6" w14:textId="77777777" w:rsidR="0074172F" w:rsidRPr="00602A39" w:rsidRDefault="0074172F" w:rsidP="00E865B3">
            <w:pPr>
              <w:jc w:val="center"/>
              <w:rPr>
                <w:rFonts w:ascii="Calibri" w:eastAsia="PMingLiU" w:hAnsi="Calibri" w:cs="Times New Roman"/>
                <w:b/>
                <w:bCs/>
              </w:rPr>
            </w:pPr>
            <w:r w:rsidRPr="00602A39">
              <w:rPr>
                <w:rFonts w:ascii="Calibri" w:eastAsia="PMingLiU" w:hAnsi="Calibri" w:cs="Times New Roman"/>
                <w:b/>
                <w:bCs/>
                <w:szCs w:val="24"/>
              </w:rPr>
              <w:t>Definition</w:t>
            </w:r>
          </w:p>
        </w:tc>
        <w:tc>
          <w:tcPr>
            <w:tcW w:w="1106" w:type="pct"/>
            <w:tcBorders>
              <w:top w:val="single" w:sz="4" w:space="0" w:color="auto"/>
              <w:left w:val="single" w:sz="4" w:space="0" w:color="auto"/>
              <w:bottom w:val="single" w:sz="4" w:space="0" w:color="auto"/>
              <w:right w:val="single" w:sz="4" w:space="0" w:color="auto"/>
            </w:tcBorders>
            <w:shd w:val="clear" w:color="auto" w:fill="CCC0D9"/>
            <w:vAlign w:val="center"/>
          </w:tcPr>
          <w:p w14:paraId="51B827D4" w14:textId="77777777" w:rsidR="0074172F" w:rsidRPr="00602A39" w:rsidRDefault="0074172F" w:rsidP="00E865B3">
            <w:pPr>
              <w:jc w:val="center"/>
              <w:rPr>
                <w:rFonts w:ascii="Calibri" w:eastAsia="PMingLiU" w:hAnsi="Calibri" w:cs="Times New Roman"/>
                <w:b/>
                <w:bCs/>
              </w:rPr>
            </w:pPr>
            <w:r w:rsidRPr="00602A39">
              <w:rPr>
                <w:rFonts w:ascii="Calibri" w:eastAsia="PMingLiU" w:hAnsi="Calibri" w:cs="Times New Roman"/>
                <w:b/>
                <w:bCs/>
                <w:szCs w:val="24"/>
              </w:rPr>
              <w:t>Weight</w:t>
            </w:r>
          </w:p>
        </w:tc>
      </w:tr>
      <w:tr w:rsidR="0074172F" w:rsidRPr="00602A39" w14:paraId="54398D7B" w14:textId="77777777" w:rsidTr="0072315A">
        <w:tc>
          <w:tcPr>
            <w:tcW w:w="973" w:type="pct"/>
            <w:tcBorders>
              <w:top w:val="single" w:sz="4" w:space="0" w:color="auto"/>
              <w:left w:val="single" w:sz="4" w:space="0" w:color="auto"/>
              <w:bottom w:val="single" w:sz="4" w:space="0" w:color="auto"/>
              <w:right w:val="single" w:sz="4" w:space="0" w:color="auto"/>
            </w:tcBorders>
            <w:vAlign w:val="center"/>
          </w:tcPr>
          <w:p w14:paraId="531B9281" w14:textId="4127D62E" w:rsidR="0074172F" w:rsidRPr="00602A39" w:rsidRDefault="008917CF" w:rsidP="00E865B3">
            <w:pPr>
              <w:jc w:val="center"/>
              <w:rPr>
                <w:rFonts w:ascii="Calibri" w:eastAsia="PMingLiU" w:hAnsi="Calibri" w:cs="Times New Roman"/>
              </w:rPr>
            </w:pPr>
            <w:r>
              <w:rPr>
                <w:rFonts w:ascii="Calibri" w:eastAsia="PMingLiU" w:hAnsi="Calibri" w:cs="Times New Roman"/>
                <w:szCs w:val="24"/>
              </w:rPr>
              <w:t>Met</w:t>
            </w:r>
          </w:p>
        </w:tc>
        <w:tc>
          <w:tcPr>
            <w:tcW w:w="2921" w:type="pct"/>
            <w:tcBorders>
              <w:top w:val="single" w:sz="4" w:space="0" w:color="auto"/>
              <w:left w:val="single" w:sz="4" w:space="0" w:color="auto"/>
              <w:bottom w:val="single" w:sz="4" w:space="0" w:color="auto"/>
              <w:right w:val="single" w:sz="4" w:space="0" w:color="auto"/>
            </w:tcBorders>
            <w:vAlign w:val="center"/>
          </w:tcPr>
          <w:p w14:paraId="63D03674" w14:textId="77777777" w:rsidR="0074172F" w:rsidRPr="00602A39" w:rsidRDefault="0074172F" w:rsidP="00E865B3">
            <w:pPr>
              <w:jc w:val="center"/>
              <w:rPr>
                <w:rFonts w:ascii="Calibri" w:eastAsia="PMingLiU" w:hAnsi="Calibri" w:cs="Times New Roman"/>
              </w:rPr>
            </w:pPr>
            <w:r w:rsidRPr="00602A39">
              <w:rPr>
                <w:rFonts w:ascii="Calibri" w:eastAsia="PMingLiU" w:hAnsi="Calibri" w:cs="Times New Roman"/>
                <w:szCs w:val="24"/>
              </w:rPr>
              <w:t>Met or exceeded the element requirements</w:t>
            </w:r>
          </w:p>
        </w:tc>
        <w:tc>
          <w:tcPr>
            <w:tcW w:w="1106" w:type="pct"/>
            <w:tcBorders>
              <w:top w:val="single" w:sz="4" w:space="0" w:color="auto"/>
              <w:left w:val="single" w:sz="4" w:space="0" w:color="auto"/>
              <w:bottom w:val="single" w:sz="4" w:space="0" w:color="auto"/>
              <w:right w:val="single" w:sz="4" w:space="0" w:color="auto"/>
            </w:tcBorders>
            <w:vAlign w:val="center"/>
          </w:tcPr>
          <w:p w14:paraId="45C5E6F1" w14:textId="77777777" w:rsidR="0074172F" w:rsidRPr="00602A39" w:rsidRDefault="0074172F" w:rsidP="00E865B3">
            <w:pPr>
              <w:jc w:val="center"/>
              <w:rPr>
                <w:rFonts w:ascii="Calibri" w:eastAsia="PMingLiU" w:hAnsi="Calibri" w:cs="Times New Roman"/>
              </w:rPr>
            </w:pPr>
            <w:r w:rsidRPr="00602A39">
              <w:rPr>
                <w:rFonts w:ascii="Calibri" w:eastAsia="PMingLiU" w:hAnsi="Calibri" w:cs="Times New Roman"/>
                <w:szCs w:val="24"/>
              </w:rPr>
              <w:t>100%</w:t>
            </w:r>
          </w:p>
        </w:tc>
      </w:tr>
      <w:tr w:rsidR="0074172F" w:rsidRPr="00602A39" w14:paraId="12504D31" w14:textId="77777777" w:rsidTr="0072315A">
        <w:tc>
          <w:tcPr>
            <w:tcW w:w="973" w:type="pct"/>
            <w:tcBorders>
              <w:top w:val="single" w:sz="4" w:space="0" w:color="auto"/>
              <w:left w:val="single" w:sz="4" w:space="0" w:color="auto"/>
              <w:bottom w:val="single" w:sz="4" w:space="0" w:color="auto"/>
              <w:right w:val="single" w:sz="4" w:space="0" w:color="auto"/>
            </w:tcBorders>
            <w:vAlign w:val="center"/>
          </w:tcPr>
          <w:p w14:paraId="3EF59108" w14:textId="74973B40" w:rsidR="0074172F" w:rsidRPr="00602A39" w:rsidRDefault="0074172F" w:rsidP="00E865B3">
            <w:pPr>
              <w:jc w:val="center"/>
              <w:rPr>
                <w:rFonts w:ascii="Calibri" w:eastAsia="PMingLiU" w:hAnsi="Calibri" w:cs="Times New Roman"/>
              </w:rPr>
            </w:pPr>
            <w:r w:rsidRPr="00602A39">
              <w:rPr>
                <w:rFonts w:ascii="Calibri" w:eastAsia="PMingLiU" w:hAnsi="Calibri" w:cs="Times New Roman"/>
                <w:szCs w:val="24"/>
              </w:rPr>
              <w:t>Partial</w:t>
            </w:r>
            <w:r w:rsidR="008917CF">
              <w:rPr>
                <w:rFonts w:ascii="Calibri" w:eastAsia="PMingLiU" w:hAnsi="Calibri" w:cs="Times New Roman"/>
                <w:szCs w:val="24"/>
              </w:rPr>
              <w:t>ly Met</w:t>
            </w:r>
          </w:p>
        </w:tc>
        <w:tc>
          <w:tcPr>
            <w:tcW w:w="2921" w:type="pct"/>
            <w:tcBorders>
              <w:top w:val="single" w:sz="4" w:space="0" w:color="auto"/>
              <w:left w:val="single" w:sz="4" w:space="0" w:color="auto"/>
              <w:bottom w:val="single" w:sz="4" w:space="0" w:color="auto"/>
              <w:right w:val="single" w:sz="4" w:space="0" w:color="auto"/>
            </w:tcBorders>
            <w:vAlign w:val="center"/>
          </w:tcPr>
          <w:p w14:paraId="6DC9C894" w14:textId="77777777" w:rsidR="0074172F" w:rsidRPr="00602A39" w:rsidRDefault="0074172F" w:rsidP="00E865B3">
            <w:pPr>
              <w:jc w:val="center"/>
              <w:rPr>
                <w:rFonts w:ascii="Calibri" w:eastAsia="PMingLiU" w:hAnsi="Calibri" w:cs="Times New Roman"/>
              </w:rPr>
            </w:pPr>
            <w:r w:rsidRPr="00602A39">
              <w:rPr>
                <w:rFonts w:ascii="Calibri" w:eastAsia="PMingLiU" w:hAnsi="Calibri" w:cs="Times New Roman"/>
                <w:szCs w:val="24"/>
              </w:rPr>
              <w:t>Met essential requirements but is deficient in some areas</w:t>
            </w:r>
          </w:p>
        </w:tc>
        <w:tc>
          <w:tcPr>
            <w:tcW w:w="1106" w:type="pct"/>
            <w:tcBorders>
              <w:top w:val="single" w:sz="4" w:space="0" w:color="auto"/>
              <w:left w:val="single" w:sz="4" w:space="0" w:color="auto"/>
              <w:bottom w:val="single" w:sz="4" w:space="0" w:color="auto"/>
              <w:right w:val="single" w:sz="4" w:space="0" w:color="auto"/>
            </w:tcBorders>
            <w:vAlign w:val="center"/>
          </w:tcPr>
          <w:p w14:paraId="7120CC73" w14:textId="77777777" w:rsidR="0074172F" w:rsidRPr="00602A39" w:rsidRDefault="0074172F" w:rsidP="00E865B3">
            <w:pPr>
              <w:jc w:val="center"/>
              <w:rPr>
                <w:rFonts w:ascii="Calibri" w:eastAsia="PMingLiU" w:hAnsi="Calibri" w:cs="Times New Roman"/>
              </w:rPr>
            </w:pPr>
            <w:r w:rsidRPr="00602A39">
              <w:rPr>
                <w:rFonts w:ascii="Calibri" w:eastAsia="PMingLiU" w:hAnsi="Calibri" w:cs="Times New Roman"/>
                <w:szCs w:val="24"/>
              </w:rPr>
              <w:t>50%</w:t>
            </w:r>
          </w:p>
        </w:tc>
      </w:tr>
      <w:tr w:rsidR="0074172F" w:rsidRPr="00602A39" w14:paraId="35054AAF" w14:textId="77777777" w:rsidTr="0072315A">
        <w:tc>
          <w:tcPr>
            <w:tcW w:w="973" w:type="pct"/>
            <w:tcBorders>
              <w:top w:val="single" w:sz="4" w:space="0" w:color="auto"/>
              <w:left w:val="single" w:sz="4" w:space="0" w:color="auto"/>
              <w:bottom w:val="single" w:sz="4" w:space="0" w:color="auto"/>
              <w:right w:val="single" w:sz="4" w:space="0" w:color="auto"/>
            </w:tcBorders>
            <w:vAlign w:val="center"/>
          </w:tcPr>
          <w:p w14:paraId="2DAE1C8E" w14:textId="59A64D52" w:rsidR="0074172F" w:rsidRPr="00602A39" w:rsidRDefault="008917CF" w:rsidP="00E865B3">
            <w:pPr>
              <w:jc w:val="center"/>
              <w:rPr>
                <w:rFonts w:ascii="Arial Narrow" w:eastAsia="PMingLiU" w:hAnsi="Arial Narrow" w:cs="Times New Roman"/>
                <w:sz w:val="20"/>
              </w:rPr>
            </w:pPr>
            <w:r>
              <w:rPr>
                <w:rFonts w:ascii="Calibri" w:eastAsia="PMingLiU" w:hAnsi="Calibri" w:cs="Times New Roman"/>
                <w:szCs w:val="24"/>
              </w:rPr>
              <w:t>Not Met</w:t>
            </w:r>
          </w:p>
        </w:tc>
        <w:tc>
          <w:tcPr>
            <w:tcW w:w="2921" w:type="pct"/>
            <w:tcBorders>
              <w:top w:val="single" w:sz="4" w:space="0" w:color="auto"/>
              <w:left w:val="single" w:sz="4" w:space="0" w:color="auto"/>
              <w:bottom w:val="single" w:sz="4" w:space="0" w:color="auto"/>
              <w:right w:val="single" w:sz="4" w:space="0" w:color="auto"/>
            </w:tcBorders>
            <w:vAlign w:val="center"/>
          </w:tcPr>
          <w:p w14:paraId="0B8A3F91" w14:textId="77777777" w:rsidR="0074172F" w:rsidRPr="00602A39" w:rsidRDefault="0074172F" w:rsidP="00E865B3">
            <w:pPr>
              <w:jc w:val="center"/>
              <w:rPr>
                <w:rFonts w:ascii="Arial Narrow" w:eastAsia="PMingLiU" w:hAnsi="Arial Narrow" w:cs="Times New Roman"/>
                <w:sz w:val="20"/>
              </w:rPr>
            </w:pPr>
            <w:r w:rsidRPr="00602A39">
              <w:rPr>
                <w:rFonts w:ascii="Calibri" w:eastAsia="PMingLiU" w:hAnsi="Calibri" w:cs="Times New Roman"/>
                <w:szCs w:val="24"/>
              </w:rPr>
              <w:t>Has not met the essential requirements of the element</w:t>
            </w:r>
          </w:p>
        </w:tc>
        <w:tc>
          <w:tcPr>
            <w:tcW w:w="1106" w:type="pct"/>
            <w:tcBorders>
              <w:top w:val="single" w:sz="4" w:space="0" w:color="auto"/>
              <w:left w:val="single" w:sz="4" w:space="0" w:color="auto"/>
              <w:bottom w:val="single" w:sz="4" w:space="0" w:color="auto"/>
              <w:right w:val="single" w:sz="4" w:space="0" w:color="auto"/>
            </w:tcBorders>
            <w:vAlign w:val="center"/>
          </w:tcPr>
          <w:p w14:paraId="51B55832" w14:textId="77777777" w:rsidR="0074172F" w:rsidRPr="00602A39" w:rsidRDefault="0074172F" w:rsidP="00E865B3">
            <w:pPr>
              <w:jc w:val="center"/>
              <w:rPr>
                <w:rFonts w:ascii="Arial Narrow" w:eastAsia="PMingLiU" w:hAnsi="Arial Narrow" w:cs="Times New Roman"/>
                <w:sz w:val="20"/>
              </w:rPr>
            </w:pPr>
            <w:r w:rsidRPr="00602A39">
              <w:rPr>
                <w:rFonts w:ascii="Calibri" w:eastAsia="PMingLiU" w:hAnsi="Calibri" w:cs="Times New Roman"/>
                <w:szCs w:val="24"/>
              </w:rPr>
              <w:t>0%</w:t>
            </w:r>
          </w:p>
        </w:tc>
      </w:tr>
    </w:tbl>
    <w:p w14:paraId="270EF138" w14:textId="77777777" w:rsidR="0074172F" w:rsidRPr="00602A39" w:rsidRDefault="0074172F" w:rsidP="0074172F">
      <w:pPr>
        <w:spacing w:after="240"/>
        <w:rPr>
          <w:rFonts w:ascii="Calibri" w:eastAsia="Times New Roman" w:hAnsi="Calibri" w:cs="Times New Roman"/>
        </w:rPr>
      </w:pPr>
    </w:p>
    <w:p w14:paraId="0348BC6D" w14:textId="135555AC" w:rsidR="0074172F" w:rsidRPr="00602A39" w:rsidRDefault="0074172F" w:rsidP="0074172F">
      <w:pPr>
        <w:widowControl w:val="0"/>
        <w:rPr>
          <w:rFonts w:ascii="Calibri" w:eastAsia="PMingLiU" w:hAnsi="Calibri" w:cs="Arial"/>
          <w:szCs w:val="20"/>
        </w:rPr>
      </w:pPr>
      <w:r w:rsidRPr="00602A39">
        <w:rPr>
          <w:rFonts w:ascii="Calibri" w:eastAsia="PMingLiU" w:hAnsi="Calibri" w:cs="Arial"/>
          <w:szCs w:val="20"/>
        </w:rPr>
        <w:t>When the PIPs are reviewed, all projects are evaluated for the same elements.  The scoring matrix is completed for those review elements where activities have occurred during the review year. At the time of the review, a project can be reviewed for only a subset of elements.  It will then be evaluated for other elements at a later date, according to the PIP submission schedule.  At the time each element is reviewed, a finding is given of “Met</w:t>
      </w:r>
      <w:r w:rsidR="0072315A" w:rsidRPr="00602A39">
        <w:rPr>
          <w:rFonts w:ascii="Calibri" w:eastAsia="PMingLiU" w:hAnsi="Calibri" w:cs="Arial"/>
          <w:szCs w:val="20"/>
        </w:rPr>
        <w:t>,”</w:t>
      </w:r>
      <w:r w:rsidRPr="00602A39">
        <w:rPr>
          <w:rFonts w:ascii="Calibri" w:eastAsia="PMingLiU" w:hAnsi="Calibri" w:cs="Arial"/>
          <w:szCs w:val="20"/>
        </w:rPr>
        <w:t xml:space="preserve"> “Partially Met</w:t>
      </w:r>
      <w:r w:rsidR="0072315A" w:rsidRPr="00602A39">
        <w:rPr>
          <w:rFonts w:ascii="Calibri" w:eastAsia="PMingLiU" w:hAnsi="Calibri" w:cs="Arial"/>
          <w:szCs w:val="20"/>
        </w:rPr>
        <w:t>,”</w:t>
      </w:r>
      <w:r w:rsidRPr="00602A39">
        <w:rPr>
          <w:rFonts w:ascii="Calibri" w:eastAsia="PMingLiU" w:hAnsi="Calibri" w:cs="Arial"/>
          <w:szCs w:val="20"/>
        </w:rPr>
        <w:t xml:space="preserve"> or “Not Met</w:t>
      </w:r>
      <w:r w:rsidR="0072315A" w:rsidRPr="00602A39">
        <w:rPr>
          <w:rFonts w:ascii="Calibri" w:eastAsia="PMingLiU" w:hAnsi="Calibri" w:cs="Arial"/>
          <w:szCs w:val="20"/>
        </w:rPr>
        <w:t>.”</w:t>
      </w:r>
      <w:r w:rsidRPr="00602A39">
        <w:rPr>
          <w:rFonts w:ascii="Calibri" w:eastAsia="PMingLiU" w:hAnsi="Calibri" w:cs="Arial"/>
          <w:szCs w:val="20"/>
        </w:rPr>
        <w:t xml:space="preserve"> Elements receiving a “Met” will receive 100% of the points assigned to the element, “Partially Met” elements will receive 50% of the assigned points, and “Not Met” elements will receive 0%. </w:t>
      </w:r>
    </w:p>
    <w:p w14:paraId="1871553A" w14:textId="77777777" w:rsidR="0074172F" w:rsidRPr="005C4D1C" w:rsidRDefault="0074172F" w:rsidP="005C4D1C">
      <w:pPr>
        <w:pStyle w:val="Heading2"/>
      </w:pPr>
      <w:bookmarkStart w:id="26" w:name="_Toc512521023"/>
      <w:bookmarkStart w:id="27" w:name="_Toc68527420"/>
      <w:bookmarkStart w:id="28" w:name="_Toc132641613"/>
      <w:r w:rsidRPr="005C4D1C">
        <w:lastRenderedPageBreak/>
        <w:t>Findings</w:t>
      </w:r>
      <w:bookmarkEnd w:id="26"/>
      <w:bookmarkEnd w:id="27"/>
      <w:bookmarkEnd w:id="28"/>
      <w:r w:rsidRPr="005C4D1C">
        <w:t xml:space="preserve"> </w:t>
      </w:r>
    </w:p>
    <w:p w14:paraId="4EDF4B51" w14:textId="77777777" w:rsidR="0074172F" w:rsidRPr="00602A39" w:rsidRDefault="0074172F" w:rsidP="0074172F">
      <w:pPr>
        <w:rPr>
          <w:rFonts w:ascii="Calibri" w:eastAsia="PMingLiU" w:hAnsi="Calibri" w:cs="Arial"/>
        </w:rPr>
      </w:pPr>
      <w:r w:rsidRPr="00602A39">
        <w:rPr>
          <w:rFonts w:ascii="Calibri" w:eastAsia="PMingLiU" w:hAnsi="Calibri" w:cs="Arial"/>
        </w:rPr>
        <w:t xml:space="preserve">To encourage MCOs to focus on improving the quality of the projects, PIPs were assessed for compliance on all applicable elements, but were not formally scored. The multiple levels of activity and collaboration between DHS, the CHIP MCOs, and IPRO continued and progressed throughout the review year.  </w:t>
      </w:r>
    </w:p>
    <w:p w14:paraId="67594A93" w14:textId="77777777" w:rsidR="0074172F" w:rsidRPr="00602A39" w:rsidRDefault="0074172F" w:rsidP="0074172F">
      <w:pPr>
        <w:rPr>
          <w:rFonts w:ascii="Calibri" w:eastAsia="PMingLiU" w:hAnsi="Calibri" w:cs="Arial"/>
        </w:rPr>
      </w:pPr>
    </w:p>
    <w:p w14:paraId="678ED5AC" w14:textId="77777777" w:rsidR="0074172F" w:rsidRPr="00602A39" w:rsidRDefault="0074172F" w:rsidP="0074172F">
      <w:pPr>
        <w:rPr>
          <w:rFonts w:ascii="Calibri" w:eastAsia="PMingLiU" w:hAnsi="Calibri" w:cs="Arial"/>
          <w:lang w:eastAsia="zh-TW"/>
        </w:rPr>
      </w:pPr>
      <w:r>
        <w:rPr>
          <w:rFonts w:ascii="Calibri" w:eastAsia="PMingLiU" w:hAnsi="Calibri" w:cs="Arial"/>
          <w:lang w:eastAsia="zh-TW"/>
        </w:rPr>
        <w:t>Throughout 2022, there were different levels of communication provided to MCOs in preparation for and after their Project P</w:t>
      </w:r>
      <w:r w:rsidRPr="00602A39">
        <w:rPr>
          <w:rFonts w:ascii="Calibri" w:eastAsia="PMingLiU" w:hAnsi="Calibri" w:cs="Arial"/>
          <w:lang w:eastAsia="zh-TW"/>
        </w:rPr>
        <w:t>roposal submissions in early 20</w:t>
      </w:r>
      <w:r>
        <w:rPr>
          <w:rFonts w:ascii="Calibri" w:eastAsia="PMingLiU" w:hAnsi="Calibri" w:cs="Arial"/>
          <w:lang w:eastAsia="zh-TW"/>
        </w:rPr>
        <w:t>22</w:t>
      </w:r>
      <w:r w:rsidRPr="00602A39">
        <w:rPr>
          <w:rFonts w:ascii="Calibri" w:eastAsia="PMingLiU" w:hAnsi="Calibri" w:cs="Arial"/>
          <w:lang w:eastAsia="zh-TW"/>
        </w:rPr>
        <w:t xml:space="preserve">, </w:t>
      </w:r>
      <w:r>
        <w:rPr>
          <w:rFonts w:ascii="Calibri" w:eastAsia="PMingLiU" w:hAnsi="Calibri" w:cs="Arial"/>
          <w:lang w:eastAsia="zh-TW"/>
        </w:rPr>
        <w:t>including</w:t>
      </w:r>
      <w:r w:rsidRPr="00602A39">
        <w:rPr>
          <w:rFonts w:ascii="Calibri" w:eastAsia="PMingLiU" w:hAnsi="Calibri" w:cs="Arial"/>
          <w:lang w:eastAsia="zh-TW"/>
        </w:rPr>
        <w:t xml:space="preserve">: </w:t>
      </w:r>
    </w:p>
    <w:p w14:paraId="6DA81361" w14:textId="77777777" w:rsidR="0074172F" w:rsidRDefault="0074172F" w:rsidP="00F41CA9">
      <w:pPr>
        <w:numPr>
          <w:ilvl w:val="0"/>
          <w:numId w:val="8"/>
        </w:numPr>
        <w:contextualSpacing/>
        <w:rPr>
          <w:rFonts w:ascii="Calibri" w:eastAsia="PMingLiU" w:hAnsi="Calibri" w:cs="Arial"/>
          <w:lang w:eastAsia="zh-TW"/>
        </w:rPr>
      </w:pPr>
      <w:r>
        <w:rPr>
          <w:rFonts w:ascii="Calibri" w:eastAsia="PMingLiU" w:hAnsi="Calibri" w:cs="Arial"/>
          <w:lang w:eastAsia="zh-TW"/>
        </w:rPr>
        <w:t>Responses to questions or requested clarifications, via both a Q&amp;A document for issues impacting all MCOs and individual responses to MCO-specific questions.</w:t>
      </w:r>
    </w:p>
    <w:p w14:paraId="63FC5FA8" w14:textId="77777777" w:rsidR="0074172F" w:rsidRPr="00602A39" w:rsidRDefault="0074172F" w:rsidP="00F41CA9">
      <w:pPr>
        <w:numPr>
          <w:ilvl w:val="0"/>
          <w:numId w:val="8"/>
        </w:numPr>
        <w:contextualSpacing/>
        <w:rPr>
          <w:rFonts w:ascii="Calibri" w:eastAsia="PMingLiU" w:hAnsi="Calibri" w:cs="Arial"/>
          <w:lang w:eastAsia="zh-TW"/>
        </w:rPr>
      </w:pPr>
      <w:r w:rsidRPr="00602A39">
        <w:rPr>
          <w:rFonts w:ascii="Calibri" w:eastAsia="PMingLiU" w:hAnsi="Calibri" w:cs="Arial"/>
          <w:lang w:eastAsia="zh-TW"/>
        </w:rPr>
        <w:t>MCO-specific review findings for each PIP</w:t>
      </w:r>
      <w:r>
        <w:rPr>
          <w:rFonts w:ascii="Calibri" w:eastAsia="PMingLiU" w:hAnsi="Calibri" w:cs="Arial"/>
          <w:lang w:eastAsia="zh-TW"/>
        </w:rPr>
        <w:t>, including a combined comprehensive review of the proposal submissions and the updated proposal/baseline report submissions.</w:t>
      </w:r>
    </w:p>
    <w:p w14:paraId="63EE8DC4" w14:textId="77777777" w:rsidR="0074172F" w:rsidRPr="00602A39" w:rsidRDefault="0074172F" w:rsidP="00F41CA9">
      <w:pPr>
        <w:numPr>
          <w:ilvl w:val="0"/>
          <w:numId w:val="8"/>
        </w:numPr>
        <w:contextualSpacing/>
        <w:rPr>
          <w:rFonts w:ascii="Calibri" w:eastAsia="PMingLiU" w:hAnsi="Calibri" w:cs="Arial"/>
          <w:lang w:eastAsia="zh-TW"/>
        </w:rPr>
      </w:pPr>
      <w:r w:rsidRPr="00602A39">
        <w:rPr>
          <w:rFonts w:ascii="Calibri" w:eastAsia="PMingLiU" w:hAnsi="Calibri" w:cs="Arial"/>
          <w:lang w:eastAsia="zh-TW"/>
        </w:rPr>
        <w:t>Information to assist MCOs in preparing their next PIP submission</w:t>
      </w:r>
      <w:r>
        <w:rPr>
          <w:rFonts w:ascii="Calibri" w:eastAsia="PMingLiU" w:hAnsi="Calibri" w:cs="Arial"/>
          <w:lang w:eastAsia="zh-TW"/>
        </w:rPr>
        <w:t>, the proposal update/baseline report</w:t>
      </w:r>
      <w:r w:rsidRPr="00602A39">
        <w:rPr>
          <w:rFonts w:ascii="Calibri" w:eastAsia="PMingLiU" w:hAnsi="Calibri" w:cs="Arial"/>
          <w:lang w:eastAsia="zh-TW"/>
        </w:rPr>
        <w:t xml:space="preserve">, such as additional instructions regarding collection </w:t>
      </w:r>
      <w:r>
        <w:rPr>
          <w:rFonts w:ascii="Calibri" w:eastAsia="PMingLiU" w:hAnsi="Calibri" w:cs="Arial"/>
          <w:lang w:eastAsia="zh-TW"/>
        </w:rPr>
        <w:t xml:space="preserve">and analysis </w:t>
      </w:r>
      <w:r w:rsidRPr="00602A39">
        <w:rPr>
          <w:rFonts w:ascii="Calibri" w:eastAsia="PMingLiU" w:hAnsi="Calibri" w:cs="Arial"/>
          <w:lang w:eastAsia="zh-TW"/>
        </w:rPr>
        <w:t>of the core required measures.</w:t>
      </w:r>
    </w:p>
    <w:p w14:paraId="51C17AF5" w14:textId="77777777" w:rsidR="0074172F" w:rsidRPr="00602A39" w:rsidRDefault="0074172F" w:rsidP="0074172F">
      <w:pPr>
        <w:rPr>
          <w:rFonts w:ascii="Calibri" w:eastAsia="PMingLiU" w:hAnsi="Calibri" w:cs="Arial"/>
          <w:lang w:eastAsia="zh-TW"/>
        </w:rPr>
      </w:pPr>
    </w:p>
    <w:p w14:paraId="0696F248" w14:textId="77777777" w:rsidR="0074172F" w:rsidRPr="00602A39" w:rsidRDefault="0074172F" w:rsidP="0074172F">
      <w:pPr>
        <w:rPr>
          <w:rFonts w:ascii="Calibri" w:eastAsia="PMingLiU" w:hAnsi="Calibri" w:cs="Arial"/>
        </w:rPr>
      </w:pPr>
      <w:r w:rsidRPr="00602A39">
        <w:rPr>
          <w:rFonts w:ascii="Calibri" w:eastAsia="PMingLiU" w:hAnsi="Calibri" w:cs="Arial"/>
        </w:rPr>
        <w:t xml:space="preserve">Similar </w:t>
      </w:r>
      <w:r>
        <w:rPr>
          <w:rFonts w:ascii="Calibri" w:eastAsia="PMingLiU" w:hAnsi="Calibri" w:cs="Arial"/>
        </w:rPr>
        <w:t xml:space="preserve">and additional </w:t>
      </w:r>
      <w:r w:rsidRPr="00602A39">
        <w:rPr>
          <w:rFonts w:ascii="Calibri" w:eastAsia="PMingLiU" w:hAnsi="Calibri" w:cs="Arial"/>
        </w:rPr>
        <w:t xml:space="preserve">types of feedback </w:t>
      </w:r>
      <w:r>
        <w:rPr>
          <w:rFonts w:ascii="Calibri" w:eastAsia="PMingLiU" w:hAnsi="Calibri" w:cs="Arial"/>
        </w:rPr>
        <w:t xml:space="preserve">will continue to be </w:t>
      </w:r>
      <w:r w:rsidRPr="00602A39">
        <w:rPr>
          <w:rFonts w:ascii="Calibri" w:eastAsia="PMingLiU" w:hAnsi="Calibri" w:cs="Arial"/>
        </w:rPr>
        <w:t xml:space="preserve">provided for each submission throughout the cycle. MCOs </w:t>
      </w:r>
      <w:r>
        <w:rPr>
          <w:rFonts w:ascii="Calibri" w:eastAsia="PMingLiU" w:hAnsi="Calibri" w:cs="Arial"/>
        </w:rPr>
        <w:t>are</w:t>
      </w:r>
      <w:r w:rsidRPr="00602A39">
        <w:rPr>
          <w:rFonts w:ascii="Calibri" w:eastAsia="PMingLiU" w:hAnsi="Calibri" w:cs="Arial"/>
        </w:rPr>
        <w:t xml:space="preserve"> requested to revise and resubmit their documents to address the feedback and to be reviewed again. PIP-specific calls </w:t>
      </w:r>
      <w:r>
        <w:rPr>
          <w:rFonts w:ascii="Calibri" w:eastAsia="PMingLiU" w:hAnsi="Calibri" w:cs="Arial"/>
        </w:rPr>
        <w:t>are</w:t>
      </w:r>
      <w:r w:rsidRPr="00602A39">
        <w:rPr>
          <w:rFonts w:ascii="Calibri" w:eastAsia="PMingLiU" w:hAnsi="Calibri" w:cs="Arial"/>
        </w:rPr>
        <w:t xml:space="preserve"> held with MCO</w:t>
      </w:r>
      <w:r>
        <w:rPr>
          <w:rFonts w:ascii="Calibri" w:eastAsia="PMingLiU" w:hAnsi="Calibri" w:cs="Arial"/>
        </w:rPr>
        <w:t>s</w:t>
      </w:r>
      <w:r w:rsidRPr="00602A39">
        <w:rPr>
          <w:rFonts w:ascii="Calibri" w:eastAsia="PMingLiU" w:hAnsi="Calibri" w:cs="Arial"/>
        </w:rPr>
        <w:t xml:space="preserve"> that experience continued difficulty</w:t>
      </w:r>
      <w:r>
        <w:rPr>
          <w:rFonts w:ascii="Calibri" w:eastAsia="PMingLiU" w:hAnsi="Calibri" w:cs="Arial"/>
        </w:rPr>
        <w:t xml:space="preserve"> or as requested</w:t>
      </w:r>
      <w:r w:rsidRPr="00602A39">
        <w:rPr>
          <w:rFonts w:ascii="Calibri" w:eastAsia="PMingLiU" w:hAnsi="Calibri" w:cs="Arial"/>
        </w:rPr>
        <w:t>.  Additionally, as needed, PA CHIP discusse</w:t>
      </w:r>
      <w:r>
        <w:rPr>
          <w:rFonts w:ascii="Calibri" w:eastAsia="PMingLiU" w:hAnsi="Calibri" w:cs="Arial"/>
        </w:rPr>
        <w:t>s</w:t>
      </w:r>
      <w:r w:rsidRPr="00602A39">
        <w:rPr>
          <w:rFonts w:ascii="Calibri" w:eastAsia="PMingLiU" w:hAnsi="Calibri" w:cs="Arial"/>
        </w:rPr>
        <w:t xml:space="preserve"> ongoing issues with MCOs as part of their regularly scheduled monitoring calls. As discussed earlier, </w:t>
      </w:r>
      <w:r w:rsidRPr="00445643">
        <w:rPr>
          <w:rFonts w:ascii="Calibri" w:eastAsia="PMingLiU" w:hAnsi="Calibri" w:cs="Arial"/>
        </w:rPr>
        <w:t>initial proposals were submitted in March 2022 and proposal update/baseline reports were submitted in August 2022</w:t>
      </w:r>
      <w:r w:rsidRPr="00602A39">
        <w:rPr>
          <w:rFonts w:ascii="Calibri" w:eastAsia="PMingLiU" w:hAnsi="Calibri" w:cs="Arial"/>
        </w:rPr>
        <w:t>.  Review of the</w:t>
      </w:r>
      <w:r>
        <w:rPr>
          <w:rFonts w:ascii="Calibri" w:eastAsia="PMingLiU" w:hAnsi="Calibri" w:cs="Arial"/>
        </w:rPr>
        <w:t xml:space="preserve"> initial </w:t>
      </w:r>
      <w:r w:rsidRPr="00602A39">
        <w:rPr>
          <w:rFonts w:ascii="Calibri" w:eastAsia="PMingLiU" w:hAnsi="Calibri" w:cs="Arial"/>
        </w:rPr>
        <w:t>submissions</w:t>
      </w:r>
      <w:r>
        <w:rPr>
          <w:rFonts w:ascii="Calibri" w:eastAsia="PMingLiU" w:hAnsi="Calibri" w:cs="Arial"/>
        </w:rPr>
        <w:t xml:space="preserve"> occurred in June 2022; review of the updates and baseline reports</w:t>
      </w:r>
      <w:r w:rsidRPr="00602A39">
        <w:rPr>
          <w:rFonts w:ascii="Calibri" w:eastAsia="PMingLiU" w:hAnsi="Calibri" w:cs="Arial"/>
        </w:rPr>
        <w:t xml:space="preserve"> began in October 202</w:t>
      </w:r>
      <w:r>
        <w:rPr>
          <w:rFonts w:ascii="Calibri" w:eastAsia="PMingLiU" w:hAnsi="Calibri" w:cs="Arial"/>
        </w:rPr>
        <w:t>2</w:t>
      </w:r>
      <w:r w:rsidRPr="00602A39">
        <w:rPr>
          <w:rFonts w:ascii="Calibri" w:eastAsia="PMingLiU" w:hAnsi="Calibri" w:cs="Arial"/>
        </w:rPr>
        <w:t xml:space="preserve"> and ran through </w:t>
      </w:r>
      <w:r>
        <w:rPr>
          <w:rFonts w:ascii="Calibri" w:eastAsia="PMingLiU" w:hAnsi="Calibri" w:cs="Arial"/>
        </w:rPr>
        <w:t>December</w:t>
      </w:r>
      <w:r w:rsidRPr="00602A39">
        <w:rPr>
          <w:rFonts w:ascii="Calibri" w:eastAsia="PMingLiU" w:hAnsi="Calibri" w:cs="Arial"/>
        </w:rPr>
        <w:t xml:space="preserve"> 2022.  Upon review of the</w:t>
      </w:r>
      <w:r>
        <w:rPr>
          <w:rFonts w:ascii="Calibri" w:eastAsia="PMingLiU" w:hAnsi="Calibri" w:cs="Arial"/>
        </w:rPr>
        <w:t xml:space="preserve"> most recent 2022</w:t>
      </w:r>
      <w:r w:rsidRPr="00602A39">
        <w:rPr>
          <w:rFonts w:ascii="Calibri" w:eastAsia="PMingLiU" w:hAnsi="Calibri" w:cs="Arial"/>
        </w:rPr>
        <w:t xml:space="preserve"> submissions, MCOs were provided findings for each PIP with request for clarification/revision as necessary</w:t>
      </w:r>
      <w:r>
        <w:rPr>
          <w:rFonts w:ascii="Calibri" w:eastAsia="PMingLiU" w:hAnsi="Calibri" w:cs="Arial"/>
        </w:rPr>
        <w:t>, which was due outside of the current EQR review period.  Reviews of the resubmissions are therefore not included in these 2022 reports.</w:t>
      </w:r>
    </w:p>
    <w:bookmarkEnd w:id="11"/>
    <w:p w14:paraId="2B7A27F1" w14:textId="77777777" w:rsidR="006E29DC" w:rsidRPr="0059065B" w:rsidRDefault="006E29DC" w:rsidP="006E29DC">
      <w:pPr>
        <w:rPr>
          <w:rFonts w:ascii="Calibri" w:eastAsia="Times New Roman" w:hAnsi="Calibri" w:cs="Times New Roman"/>
          <w:b/>
        </w:rPr>
      </w:pPr>
    </w:p>
    <w:p w14:paraId="23169CDB" w14:textId="77777777" w:rsidR="00AB379C" w:rsidRPr="00062E2A" w:rsidRDefault="00AB379C" w:rsidP="00AB379C">
      <w:pPr>
        <w:rPr>
          <w:rFonts w:ascii="Calibri" w:eastAsia="Times New Roman" w:hAnsi="Calibri" w:cs="Times New Roman"/>
          <w:b/>
        </w:rPr>
      </w:pPr>
      <w:r w:rsidRPr="00062E2A">
        <w:rPr>
          <w:rFonts w:ascii="Calibri" w:eastAsia="Times New Roman" w:hAnsi="Calibri" w:cs="Times New Roman"/>
          <w:b/>
        </w:rPr>
        <w:t xml:space="preserve">Improving Access to Pediatric Preventive Dental Care </w:t>
      </w:r>
    </w:p>
    <w:p w14:paraId="358C39A7" w14:textId="3F10AFD4" w:rsidR="00AB379C" w:rsidRPr="00062E2A" w:rsidRDefault="00AB379C" w:rsidP="00AB379C">
      <w:pPr>
        <w:rPr>
          <w:rFonts w:ascii="Calibri" w:eastAsia="Times New Roman" w:hAnsi="Calibri" w:cs="Arial"/>
        </w:rPr>
      </w:pPr>
      <w:r w:rsidRPr="00062E2A">
        <w:rPr>
          <w:rFonts w:ascii="Calibri" w:eastAsia="Times New Roman" w:hAnsi="Calibri" w:cs="Arial"/>
        </w:rPr>
        <w:t>UPMC for Kids’ (UPMC’s) baseline proposal demonstrated that the topic reflects high-volume or high-risk conditions for the population under review with the potential for meaningful impact on member health, functional status, and satisfaction for the population. The topic has potential to impact the maximum proportion of members that is feasible</w:t>
      </w:r>
      <w:r w:rsidR="00DE5F85">
        <w:rPr>
          <w:rFonts w:ascii="Calibri" w:eastAsia="Times New Roman" w:hAnsi="Calibri" w:cs="Arial"/>
        </w:rPr>
        <w:t>,</w:t>
      </w:r>
      <w:r w:rsidRPr="00062E2A">
        <w:rPr>
          <w:rFonts w:ascii="Calibri" w:eastAsia="Times New Roman" w:hAnsi="Calibri" w:cs="Arial"/>
        </w:rPr>
        <w:t xml:space="preserve"> and review noted that the topic was supported by MCO member-specific data and trends identified by the plan upon researching the topic.</w:t>
      </w:r>
    </w:p>
    <w:p w14:paraId="5F8C8911" w14:textId="77777777" w:rsidR="00AB379C" w:rsidRPr="00062E2A" w:rsidRDefault="00AB379C" w:rsidP="00AB379C">
      <w:pPr>
        <w:rPr>
          <w:rFonts w:ascii="Calibri" w:eastAsia="Times New Roman" w:hAnsi="Calibri" w:cs="Arial"/>
        </w:rPr>
      </w:pPr>
    </w:p>
    <w:p w14:paraId="2D73435E" w14:textId="2934B2A1" w:rsidR="00AB379C" w:rsidRPr="00062E2A" w:rsidRDefault="00AB379C" w:rsidP="00AB379C">
      <w:pPr>
        <w:rPr>
          <w:rFonts w:ascii="Calibri" w:eastAsia="Times New Roman" w:hAnsi="Calibri" w:cs="Arial"/>
        </w:rPr>
      </w:pPr>
      <w:r w:rsidRPr="00062E2A">
        <w:rPr>
          <w:rFonts w:ascii="Calibri" w:eastAsia="Times New Roman" w:hAnsi="Calibri" w:cs="Arial"/>
        </w:rPr>
        <w:t>Regarding the aim statements and objectives provided by UPMC, reviewers designated this element as partially met, as the aim statements should be separate from the objectives. Reviewers advised that the aim statement should specify what the plan is improving, among whom, by how much and by when, whereas the objectives should describe the main interventions through which the plan hopes to achieve the improvement laid out in the aim statement. Additionally, UPMC included baseline rates and indicated goals for Indicator 1, Annual Dental Visits, Indicator 2, CMS Preventive Dental Services, and Indicator 3, Sealant Receipt on Permanent First Molar.</w:t>
      </w:r>
    </w:p>
    <w:p w14:paraId="39EC4018" w14:textId="77777777" w:rsidR="00AB379C" w:rsidRPr="00062E2A" w:rsidRDefault="00AB379C" w:rsidP="00AB379C">
      <w:pPr>
        <w:rPr>
          <w:rFonts w:ascii="Calibri" w:eastAsia="Times New Roman" w:hAnsi="Calibri" w:cs="Arial"/>
        </w:rPr>
      </w:pPr>
    </w:p>
    <w:p w14:paraId="3763B57B" w14:textId="65B5A141" w:rsidR="00AB379C" w:rsidRPr="00062E2A" w:rsidRDefault="00AB379C" w:rsidP="00AB379C">
      <w:pPr>
        <w:rPr>
          <w:rFonts w:ascii="Calibri" w:eastAsia="Times New Roman" w:hAnsi="Calibri" w:cs="Arial"/>
        </w:rPr>
      </w:pPr>
      <w:r w:rsidRPr="00062E2A">
        <w:rPr>
          <w:rFonts w:ascii="Calibri" w:eastAsia="Times New Roman" w:hAnsi="Calibri" w:cs="Arial"/>
        </w:rPr>
        <w:t>UPMC created clearly defined and measurable indicators, which measure changes in health status, functional status, satisfaction or processes of care with strong associations with improved outcomes. Additionally, UPMC indicated a plan to measure the indicators consistently over time, including data collection procedures to ensure that data are valid</w:t>
      </w:r>
      <w:r w:rsidR="00A2141F">
        <w:rPr>
          <w:rFonts w:ascii="Calibri" w:eastAsia="Times New Roman" w:hAnsi="Calibri" w:cs="Arial"/>
        </w:rPr>
        <w:t>,</w:t>
      </w:r>
      <w:r w:rsidRPr="00062E2A">
        <w:rPr>
          <w:rFonts w:ascii="Calibri" w:eastAsia="Times New Roman" w:hAnsi="Calibri" w:cs="Arial"/>
        </w:rPr>
        <w:t xml:space="preserve"> reliable, and representative of the entire eligible population. UPMC’s data analysis procedures indicate that the plan will interpret improvement in terms of achieving target rates and the plan will monitor intervention tracking measures (ITMs) so that stagnating or worsening quarterly ITM trends will trigger barrier/root cause analysis, with findings used to inform modifications to interventions.</w:t>
      </w:r>
      <w:r w:rsidRPr="00062E2A" w:rsidDel="008F17BA">
        <w:rPr>
          <w:rFonts w:ascii="Calibri" w:eastAsia="Times New Roman" w:hAnsi="Calibri" w:cs="Arial"/>
        </w:rPr>
        <w:t xml:space="preserve"> </w:t>
      </w:r>
    </w:p>
    <w:p w14:paraId="07360495" w14:textId="77777777" w:rsidR="00AB379C" w:rsidRPr="00062E2A" w:rsidRDefault="00AB379C" w:rsidP="00AB379C">
      <w:pPr>
        <w:rPr>
          <w:rFonts w:ascii="Calibri" w:eastAsia="Times New Roman" w:hAnsi="Calibri" w:cs="Arial"/>
        </w:rPr>
      </w:pPr>
    </w:p>
    <w:p w14:paraId="3E5A73E3" w14:textId="75AE9647" w:rsidR="00AB379C" w:rsidRPr="00062E2A" w:rsidRDefault="00AB379C" w:rsidP="00AB379C">
      <w:pPr>
        <w:spacing w:line="252" w:lineRule="auto"/>
        <w:rPr>
          <w:rFonts w:ascii="Calibri" w:eastAsia="Times New Roman" w:hAnsi="Calibri" w:cs="Arial"/>
        </w:rPr>
      </w:pPr>
      <w:r w:rsidRPr="00062E2A">
        <w:rPr>
          <w:rFonts w:ascii="Calibri" w:eastAsia="Times New Roman" w:hAnsi="Calibri" w:cs="Arial"/>
        </w:rPr>
        <w:t xml:space="preserve">Reviewers noted that the plan identified barriers for improvement through feedback from members, internal staff, dental providers, claims data review of </w:t>
      </w:r>
      <w:r w:rsidR="00885A0E" w:rsidRPr="00885A0E">
        <w:rPr>
          <w:rFonts w:ascii="Calibri" w:eastAsia="Times New Roman" w:hAnsi="Calibri" w:cs="Arial"/>
        </w:rPr>
        <w:t>Current Procedural Terminology</w:t>
      </w:r>
      <w:r w:rsidR="00885A0E">
        <w:rPr>
          <w:rFonts w:ascii="Calibri" w:eastAsia="Times New Roman" w:hAnsi="Calibri" w:cs="Arial"/>
        </w:rPr>
        <w:t xml:space="preserve"> (</w:t>
      </w:r>
      <w:r w:rsidRPr="00062E2A">
        <w:rPr>
          <w:rFonts w:ascii="Calibri" w:eastAsia="Times New Roman" w:hAnsi="Calibri" w:cs="Arial"/>
        </w:rPr>
        <w:t>CPT</w:t>
      </w:r>
      <w:r w:rsidR="00885A0E">
        <w:rPr>
          <w:rFonts w:ascii="Calibri" w:eastAsia="Times New Roman" w:hAnsi="Calibri" w:cs="Arial"/>
        </w:rPr>
        <w:t>)</w:t>
      </w:r>
      <w:r w:rsidRPr="00062E2A">
        <w:rPr>
          <w:rFonts w:ascii="Calibri" w:eastAsia="Times New Roman" w:hAnsi="Calibri" w:cs="Arial"/>
        </w:rPr>
        <w:t xml:space="preserve"> codes, and </w:t>
      </w:r>
      <w:r w:rsidR="00885A0E">
        <w:rPr>
          <w:rFonts w:ascii="Calibri" w:eastAsia="Times New Roman" w:hAnsi="Calibri" w:cs="Arial"/>
        </w:rPr>
        <w:t>Public Health Dental Hygiene Practitioner (</w:t>
      </w:r>
      <w:r w:rsidRPr="00062E2A">
        <w:rPr>
          <w:rFonts w:ascii="Calibri" w:eastAsia="Times New Roman" w:hAnsi="Calibri" w:cs="Arial"/>
        </w:rPr>
        <w:t>PHDHP</w:t>
      </w:r>
      <w:r w:rsidR="00885A0E">
        <w:rPr>
          <w:rFonts w:ascii="Calibri" w:eastAsia="Times New Roman" w:hAnsi="Calibri" w:cs="Arial"/>
        </w:rPr>
        <w:t>)</w:t>
      </w:r>
      <w:r w:rsidRPr="00062E2A">
        <w:rPr>
          <w:rFonts w:ascii="Calibri" w:eastAsia="Times New Roman" w:hAnsi="Calibri" w:cs="Arial"/>
        </w:rPr>
        <w:t xml:space="preserve"> staff and provider feedback.  UPMC included several member and provider interventions to address identified causes/barriers</w:t>
      </w:r>
      <w:r w:rsidR="00563310">
        <w:rPr>
          <w:rFonts w:ascii="Calibri" w:eastAsia="Times New Roman" w:hAnsi="Calibri" w:cs="Arial"/>
        </w:rPr>
        <w:t>.</w:t>
      </w:r>
      <w:r w:rsidRPr="00062E2A">
        <w:rPr>
          <w:rFonts w:ascii="Calibri" w:eastAsia="Times New Roman" w:hAnsi="Calibri" w:cs="Arial"/>
        </w:rPr>
        <w:t xml:space="preserve"> There were, however, questions raised for Intervention 1. </w:t>
      </w:r>
      <w:r w:rsidRPr="00062E2A">
        <w:t xml:space="preserve">Reviewers asked that the MCO provide more detail regarding how the education will be provided, whether sessions will be one-on-one or group, and what the frequency will be. Overall, reviewers commended the MCO for well-designed and intervention-specific </w:t>
      </w:r>
      <w:r w:rsidRPr="00062E2A">
        <w:lastRenderedPageBreak/>
        <w:t>Intervention Tracking Measures (ITMs).</w:t>
      </w:r>
      <w:r w:rsidR="004B7558">
        <w:t xml:space="preserve"> </w:t>
      </w:r>
      <w:r w:rsidRPr="00062E2A">
        <w:rPr>
          <w:rFonts w:ascii="Calibri" w:eastAsia="PMingLiU" w:hAnsi="Calibri" w:cs="Times New Roman"/>
          <w:b/>
          <w:bCs/>
        </w:rPr>
        <w:t>Table A.1.1</w:t>
      </w:r>
      <w:r w:rsidRPr="00062E2A">
        <w:rPr>
          <w:rFonts w:ascii="Calibri" w:eastAsia="PMingLiU" w:hAnsi="Calibri" w:cs="Times New Roman"/>
        </w:rPr>
        <w:t xml:space="preserve"> </w:t>
      </w:r>
      <w:r w:rsidRPr="00062E2A">
        <w:rPr>
          <w:rFonts w:ascii="Calibri" w:eastAsia="Calibri" w:hAnsi="Calibri" w:cs="Calibri"/>
        </w:rPr>
        <w:t xml:space="preserve">of the MCO’s interventions for the project can be found in the </w:t>
      </w:r>
      <w:r w:rsidRPr="00062E2A">
        <w:rPr>
          <w:rFonts w:ascii="Calibri" w:eastAsia="Calibri" w:hAnsi="Calibri" w:cs="Calibri"/>
          <w:b/>
        </w:rPr>
        <w:t>Appendix</w:t>
      </w:r>
      <w:r w:rsidRPr="00062E2A">
        <w:rPr>
          <w:rFonts w:ascii="Calibri" w:eastAsia="Calibri" w:hAnsi="Calibri" w:cs="Calibri"/>
        </w:rPr>
        <w:t xml:space="preserve"> of this report.</w:t>
      </w:r>
    </w:p>
    <w:p w14:paraId="2F1CA84D" w14:textId="77777777" w:rsidR="00AB379C" w:rsidRPr="00062E2A" w:rsidRDefault="00AB379C" w:rsidP="00AB379C">
      <w:pPr>
        <w:rPr>
          <w:rFonts w:ascii="Calibri" w:eastAsia="Times New Roman" w:hAnsi="Calibri" w:cs="Arial"/>
        </w:rPr>
      </w:pPr>
    </w:p>
    <w:p w14:paraId="79716DD5" w14:textId="151E38EE" w:rsidR="00AB379C" w:rsidRPr="00062E2A" w:rsidRDefault="00AB379C" w:rsidP="00AB379C">
      <w:pPr>
        <w:rPr>
          <w:rFonts w:ascii="Calibri" w:eastAsia="Calibri" w:hAnsi="Calibri" w:cs="Calibri"/>
        </w:rPr>
      </w:pPr>
      <w:r w:rsidRPr="00062E2A">
        <w:rPr>
          <w:rFonts w:ascii="Calibri" w:eastAsia="Calibri" w:hAnsi="Calibri" w:cs="Calibri"/>
        </w:rPr>
        <w:t xml:space="preserve">The following recommendation </w:t>
      </w:r>
      <w:r w:rsidR="00FA0EBE">
        <w:rPr>
          <w:rFonts w:ascii="Calibri" w:eastAsia="Calibri" w:hAnsi="Calibri" w:cs="Calibri"/>
        </w:rPr>
        <w:t>was</w:t>
      </w:r>
      <w:r w:rsidR="00FA0EBE" w:rsidRPr="00062E2A">
        <w:rPr>
          <w:rFonts w:ascii="Calibri" w:eastAsia="Calibri" w:hAnsi="Calibri" w:cs="Calibri"/>
        </w:rPr>
        <w:t xml:space="preserve"> </w:t>
      </w:r>
      <w:r w:rsidRPr="00062E2A">
        <w:rPr>
          <w:rFonts w:ascii="Calibri" w:eastAsia="Calibri" w:hAnsi="Calibri" w:cs="Calibri"/>
        </w:rPr>
        <w:t>identified during the Proposal and Baseline Report review process:</w:t>
      </w:r>
    </w:p>
    <w:p w14:paraId="0F8F78BF" w14:textId="6BA6CC53" w:rsidR="00AB379C" w:rsidRPr="00062E2A" w:rsidRDefault="00AB379C" w:rsidP="00AB379C">
      <w:pPr>
        <w:pStyle w:val="ListParagraph"/>
        <w:numPr>
          <w:ilvl w:val="0"/>
          <w:numId w:val="30"/>
        </w:numPr>
        <w:rPr>
          <w:rFonts w:ascii="Calibri" w:eastAsia="Times New Roman" w:hAnsi="Calibri" w:cs="Times New Roman"/>
          <w:b/>
          <w:lang w:bidi="en-US"/>
        </w:rPr>
      </w:pPr>
      <w:r w:rsidRPr="00062E2A">
        <w:rPr>
          <w:rFonts w:ascii="Calibri" w:eastAsia="Calibri" w:hAnsi="Calibri" w:cs="Calibri"/>
        </w:rPr>
        <w:t xml:space="preserve">It was recommended that the MCO </w:t>
      </w:r>
      <w:r w:rsidRPr="00062E2A">
        <w:rPr>
          <w:rFonts w:eastAsia="Times New Roman" w:cs="Times New Roman"/>
          <w:color w:val="000000"/>
        </w:rPr>
        <w:t>provide an aim statement in addition to the objectives. The aim statement should answer the questions: what you want to improve, among whom, by how much, and over what time</w:t>
      </w:r>
      <w:r w:rsidR="004B7558">
        <w:rPr>
          <w:rFonts w:eastAsia="Times New Roman" w:cs="Times New Roman"/>
          <w:color w:val="000000"/>
        </w:rPr>
        <w:t xml:space="preserve"> </w:t>
      </w:r>
      <w:r w:rsidRPr="00062E2A">
        <w:rPr>
          <w:rFonts w:eastAsia="Times New Roman" w:cs="Times New Roman"/>
          <w:color w:val="000000"/>
        </w:rPr>
        <w:t xml:space="preserve">frame. All information provided in the aim statement should be consistent with what is provided in the objective statements. </w:t>
      </w:r>
    </w:p>
    <w:p w14:paraId="0E17EE50" w14:textId="77777777" w:rsidR="00AB379C" w:rsidRDefault="00AB379C" w:rsidP="00AB379C">
      <w:pPr>
        <w:rPr>
          <w:rFonts w:ascii="Calibri" w:eastAsia="Times New Roman" w:hAnsi="Calibri" w:cs="Arial"/>
          <w:b/>
          <w:bCs/>
        </w:rPr>
      </w:pPr>
    </w:p>
    <w:p w14:paraId="471E2C02" w14:textId="07324C12" w:rsidR="00AB379C" w:rsidRPr="00062E2A" w:rsidRDefault="00AB379C" w:rsidP="00AB379C">
      <w:pPr>
        <w:rPr>
          <w:rFonts w:ascii="Calibri" w:eastAsia="Times New Roman" w:hAnsi="Calibri" w:cs="Arial"/>
        </w:rPr>
      </w:pPr>
      <w:r w:rsidRPr="00062E2A">
        <w:rPr>
          <w:rFonts w:ascii="Calibri" w:eastAsia="Times New Roman" w:hAnsi="Calibri" w:cs="Arial"/>
          <w:b/>
          <w:bCs/>
        </w:rPr>
        <w:t>Improving Blood Lead Screening Rate in Children</w:t>
      </w:r>
    </w:p>
    <w:p w14:paraId="6B8B245D" w14:textId="76CD9E65" w:rsidR="00AB379C" w:rsidRPr="00062E2A" w:rsidRDefault="00AB379C" w:rsidP="00AB379C">
      <w:pPr>
        <w:rPr>
          <w:rFonts w:ascii="Calibri" w:eastAsia="Times New Roman" w:hAnsi="Calibri" w:cs="Arial"/>
        </w:rPr>
      </w:pPr>
      <w:r w:rsidRPr="00062E2A">
        <w:rPr>
          <w:rFonts w:ascii="Calibri" w:eastAsia="Times New Roman" w:hAnsi="Calibri" w:cs="Arial"/>
        </w:rPr>
        <w:t xml:space="preserve">UPMC’s baseline proposal demonstrated that the topic reflects high-volume or high-risk conditions for the population under review with the potential for meaningful impact on member health, functional status, and satisfaction for the population. The topic has potential to impact the maximum proportion of members that is </w:t>
      </w:r>
      <w:r w:rsidR="00580E39" w:rsidRPr="00062E2A">
        <w:rPr>
          <w:rFonts w:ascii="Calibri" w:eastAsia="Times New Roman" w:hAnsi="Calibri" w:cs="Arial"/>
        </w:rPr>
        <w:t>feasible,</w:t>
      </w:r>
      <w:r w:rsidRPr="00062E2A">
        <w:rPr>
          <w:rFonts w:ascii="Calibri" w:eastAsia="Times New Roman" w:hAnsi="Calibri" w:cs="Arial"/>
        </w:rPr>
        <w:t xml:space="preserve"> and review noted that the topic was supported by MCO member-specific data and trends identified by the plan upon researching the topic.</w:t>
      </w:r>
    </w:p>
    <w:p w14:paraId="53FEE33E" w14:textId="77777777" w:rsidR="00AB379C" w:rsidRPr="00062E2A" w:rsidRDefault="00AB379C" w:rsidP="00AB379C">
      <w:pPr>
        <w:rPr>
          <w:rFonts w:ascii="Calibri" w:eastAsia="Times New Roman" w:hAnsi="Calibri" w:cs="Arial"/>
        </w:rPr>
      </w:pPr>
    </w:p>
    <w:p w14:paraId="7460AB3F" w14:textId="1CBD1FB7" w:rsidR="00AB379C" w:rsidRPr="00062E2A" w:rsidRDefault="00AB379C" w:rsidP="00AB379C">
      <w:pPr>
        <w:rPr>
          <w:rFonts w:ascii="Calibri" w:eastAsia="Times New Roman" w:hAnsi="Calibri" w:cs="Arial"/>
        </w:rPr>
      </w:pPr>
      <w:r w:rsidRPr="00062E2A">
        <w:rPr>
          <w:rFonts w:ascii="Calibri" w:eastAsia="Times New Roman" w:hAnsi="Calibri" w:cs="Arial"/>
        </w:rPr>
        <w:t xml:space="preserve">Regarding the aim statements and objectives provided by </w:t>
      </w:r>
      <w:r w:rsidR="00717EC9">
        <w:rPr>
          <w:rFonts w:ascii="Calibri" w:eastAsia="Times New Roman" w:hAnsi="Calibri" w:cs="Arial"/>
        </w:rPr>
        <w:t>the MCO</w:t>
      </w:r>
      <w:r w:rsidRPr="00062E2A">
        <w:rPr>
          <w:rFonts w:ascii="Calibri" w:eastAsia="Times New Roman" w:hAnsi="Calibri" w:cs="Arial"/>
        </w:rPr>
        <w:t>, reviewers determined this element as met, as a</w:t>
      </w:r>
      <w:r w:rsidRPr="00062E2A">
        <w:rPr>
          <w:rFonts w:eastAsia="Times New Roman" w:cs="Times New Roman"/>
          <w:color w:val="000000"/>
        </w:rPr>
        <w:t>ims, objectives, and interventions were found to be in alignment</w:t>
      </w:r>
      <w:r w:rsidRPr="00062E2A">
        <w:rPr>
          <w:rFonts w:ascii="Calibri" w:eastAsia="Times New Roman" w:hAnsi="Calibri" w:cs="Arial"/>
        </w:rPr>
        <w:t xml:space="preserve">. </w:t>
      </w:r>
      <w:r w:rsidRPr="00062E2A">
        <w:rPr>
          <w:rFonts w:eastAsia="Times New Roman" w:cs="Times New Roman"/>
          <w:color w:val="000000"/>
        </w:rPr>
        <w:t xml:space="preserve">The MCO was asked to better define the rationale for target rates for Indicators 2 and 3, including if there are state or national benchmarks that these numbers are based on. </w:t>
      </w:r>
    </w:p>
    <w:p w14:paraId="3B96750A" w14:textId="77777777" w:rsidR="00AB379C" w:rsidRPr="00062E2A" w:rsidRDefault="00AB379C" w:rsidP="00AB379C">
      <w:pPr>
        <w:rPr>
          <w:rFonts w:ascii="Calibri" w:eastAsia="Times New Roman" w:hAnsi="Calibri" w:cs="Arial"/>
        </w:rPr>
      </w:pPr>
    </w:p>
    <w:p w14:paraId="1614E2DE" w14:textId="1E7662BC" w:rsidR="00AB379C" w:rsidRPr="00062E2A" w:rsidRDefault="00AB379C" w:rsidP="00AB379C">
      <w:pPr>
        <w:rPr>
          <w:rFonts w:ascii="Calibri" w:eastAsia="Times New Roman" w:hAnsi="Calibri" w:cs="Arial"/>
        </w:rPr>
      </w:pPr>
      <w:r w:rsidRPr="00062E2A">
        <w:rPr>
          <w:rFonts w:eastAsia="Times New Roman" w:cs="Times New Roman"/>
        </w:rPr>
        <w:t xml:space="preserve">Upon review of UPMC’s methodology for data collection and analysis, questions were raised. Reviewers requested that UPMC clarify </w:t>
      </w:r>
      <w:r w:rsidRPr="00062E2A">
        <w:t>in what way and how often members</w:t>
      </w:r>
      <w:r w:rsidR="00156B2A">
        <w:t xml:space="preserve"> are</w:t>
      </w:r>
      <w:r w:rsidRPr="00062E2A">
        <w:t xml:space="preserve"> identified and referred for outreach.</w:t>
      </w:r>
    </w:p>
    <w:p w14:paraId="3A501725" w14:textId="77777777" w:rsidR="00AB379C" w:rsidRPr="00062E2A" w:rsidRDefault="00AB379C" w:rsidP="00AB379C">
      <w:pPr>
        <w:rPr>
          <w:rFonts w:ascii="Calibri" w:eastAsia="Times New Roman" w:hAnsi="Calibri" w:cs="Arial"/>
        </w:rPr>
      </w:pPr>
    </w:p>
    <w:p w14:paraId="2D94BEA2" w14:textId="5A1937D2" w:rsidR="00AB379C" w:rsidRPr="00062E2A" w:rsidRDefault="00AB379C" w:rsidP="00AB379C">
      <w:pPr>
        <w:rPr>
          <w:rFonts w:ascii="Calibri" w:eastAsia="Times New Roman" w:hAnsi="Calibri" w:cs="Arial"/>
        </w:rPr>
      </w:pPr>
      <w:r w:rsidRPr="00062E2A">
        <w:rPr>
          <w:rFonts w:ascii="Calibri" w:eastAsia="Times New Roman" w:hAnsi="Calibri" w:cs="Times New Roman"/>
        </w:rPr>
        <w:t xml:space="preserve">UPMC listed three barriers identified via UPMC Department of Health Economics Report, Marketing Analytics, PA </w:t>
      </w:r>
      <w:r w:rsidR="00885A0E">
        <w:rPr>
          <w:rFonts w:ascii="Calibri" w:eastAsia="Times New Roman" w:hAnsi="Calibri" w:cs="Times New Roman"/>
        </w:rPr>
        <w:t>Department of Health (</w:t>
      </w:r>
      <w:r w:rsidRPr="00062E2A">
        <w:rPr>
          <w:rFonts w:ascii="Calibri" w:eastAsia="Times New Roman" w:hAnsi="Calibri" w:cs="Times New Roman"/>
        </w:rPr>
        <w:t>DOH</w:t>
      </w:r>
      <w:r w:rsidR="00885A0E">
        <w:rPr>
          <w:rFonts w:ascii="Calibri" w:eastAsia="Times New Roman" w:hAnsi="Calibri" w:cs="Times New Roman"/>
        </w:rPr>
        <w:t>)</w:t>
      </w:r>
      <w:r w:rsidRPr="00062E2A">
        <w:rPr>
          <w:rFonts w:ascii="Calibri" w:eastAsia="Times New Roman" w:hAnsi="Calibri" w:cs="Times New Roman"/>
        </w:rPr>
        <w:t xml:space="preserve"> Childhood Lead Surveillance Annual Report, and</w:t>
      </w:r>
      <w:r w:rsidRPr="00062E2A">
        <w:t xml:space="preserve"> </w:t>
      </w:r>
      <w:r w:rsidRPr="00062E2A">
        <w:rPr>
          <w:rFonts w:ascii="Calibri" w:eastAsia="Times New Roman" w:hAnsi="Calibri" w:cs="Times New Roman"/>
        </w:rPr>
        <w:t>Clinical and Analytics Program Review Meeting</w:t>
      </w:r>
      <w:r w:rsidR="00885A0E">
        <w:rPr>
          <w:rFonts w:ascii="Calibri" w:eastAsia="Times New Roman" w:hAnsi="Calibri" w:cs="Times New Roman"/>
        </w:rPr>
        <w:t>,</w:t>
      </w:r>
      <w:r w:rsidRPr="00062E2A">
        <w:rPr>
          <w:rFonts w:ascii="Calibri" w:eastAsia="Times New Roman" w:hAnsi="Calibri" w:cs="Times New Roman"/>
        </w:rPr>
        <w:t xml:space="preserve"> as well as three associated interventions and a number of ITMs. All but one of the review items for the barrier analysis and interventions were designated as met. Reviewers requested that the plan clarify </w:t>
      </w:r>
      <w:r w:rsidRPr="00062E2A">
        <w:t>for barriers 1 and 2 the age of children included and whether it is all children in the population.</w:t>
      </w:r>
      <w:r w:rsidRPr="00062E2A">
        <w:rPr>
          <w:rFonts w:eastAsia="Times New Roman" w:cs="Times New Roman"/>
        </w:rPr>
        <w:t xml:space="preserve"> Reviewers suggested that UPMC also include </w:t>
      </w:r>
      <w:r w:rsidRPr="00062E2A">
        <w:t xml:space="preserve">actual start dates for all interventions. </w:t>
      </w:r>
      <w:r w:rsidRPr="00062E2A">
        <w:rPr>
          <w:rFonts w:ascii="Calibri" w:eastAsia="PMingLiU" w:hAnsi="Calibri" w:cs="Times New Roman"/>
          <w:b/>
          <w:bCs/>
        </w:rPr>
        <w:t>Table A.1.1</w:t>
      </w:r>
      <w:r w:rsidRPr="00062E2A">
        <w:rPr>
          <w:rFonts w:ascii="Calibri" w:eastAsia="PMingLiU" w:hAnsi="Calibri" w:cs="Times New Roman"/>
        </w:rPr>
        <w:t xml:space="preserve"> </w:t>
      </w:r>
      <w:r w:rsidRPr="00062E2A">
        <w:rPr>
          <w:rFonts w:ascii="Calibri" w:eastAsia="Calibri" w:hAnsi="Calibri" w:cs="Calibri"/>
        </w:rPr>
        <w:t xml:space="preserve">of the MCO’s interventions for the project can be found in the </w:t>
      </w:r>
      <w:r w:rsidRPr="00062E2A">
        <w:rPr>
          <w:rFonts w:ascii="Calibri" w:eastAsia="Calibri" w:hAnsi="Calibri" w:cs="Calibri"/>
          <w:b/>
        </w:rPr>
        <w:t>Appendix</w:t>
      </w:r>
      <w:r w:rsidRPr="00062E2A">
        <w:rPr>
          <w:rFonts w:ascii="Calibri" w:eastAsia="Calibri" w:hAnsi="Calibri" w:cs="Calibri"/>
        </w:rPr>
        <w:t xml:space="preserve"> of this report.</w:t>
      </w:r>
    </w:p>
    <w:p w14:paraId="3E621EAC" w14:textId="77777777" w:rsidR="00AB379C" w:rsidRPr="00062E2A" w:rsidRDefault="00AB379C" w:rsidP="00AB379C">
      <w:pPr>
        <w:rPr>
          <w:rFonts w:ascii="Calibri" w:eastAsia="Times New Roman" w:hAnsi="Calibri" w:cs="Arial"/>
        </w:rPr>
      </w:pPr>
    </w:p>
    <w:p w14:paraId="553F93CF" w14:textId="77777777" w:rsidR="00AB379C" w:rsidRPr="00062E2A" w:rsidRDefault="00AB379C" w:rsidP="00AB379C">
      <w:pPr>
        <w:autoSpaceDE w:val="0"/>
        <w:autoSpaceDN w:val="0"/>
        <w:adjustRightInd w:val="0"/>
        <w:rPr>
          <w:rFonts w:ascii="Calibri" w:eastAsia="Calibri" w:hAnsi="Calibri" w:cs="Calibri"/>
        </w:rPr>
      </w:pPr>
      <w:r w:rsidRPr="00062E2A">
        <w:rPr>
          <w:rFonts w:ascii="Calibri" w:eastAsia="Calibri" w:hAnsi="Calibri" w:cs="Calibri"/>
        </w:rPr>
        <w:t>The following recommendations were identified during the Proposal and Baseline</w:t>
      </w:r>
      <w:r w:rsidRPr="00062E2A" w:rsidDel="000C3F0A">
        <w:rPr>
          <w:rFonts w:ascii="Calibri" w:eastAsia="Calibri" w:hAnsi="Calibri" w:cs="Calibri"/>
        </w:rPr>
        <w:t xml:space="preserve"> </w:t>
      </w:r>
      <w:r w:rsidRPr="00062E2A">
        <w:rPr>
          <w:rFonts w:ascii="Calibri" w:eastAsia="Calibri" w:hAnsi="Calibri" w:cs="Calibri"/>
        </w:rPr>
        <w:t>Report review process:</w:t>
      </w:r>
    </w:p>
    <w:p w14:paraId="0316588D" w14:textId="4D012EC2" w:rsidR="00AB379C" w:rsidRPr="00062E2A" w:rsidRDefault="00AB379C" w:rsidP="00AB379C">
      <w:pPr>
        <w:numPr>
          <w:ilvl w:val="0"/>
          <w:numId w:val="26"/>
        </w:numPr>
        <w:autoSpaceDE w:val="0"/>
        <w:autoSpaceDN w:val="0"/>
        <w:adjustRightInd w:val="0"/>
        <w:contextualSpacing/>
        <w:rPr>
          <w:rFonts w:ascii="Calibri" w:eastAsia="Calibri" w:hAnsi="Calibri" w:cs="Calibri"/>
        </w:rPr>
      </w:pPr>
      <w:r w:rsidRPr="00062E2A">
        <w:rPr>
          <w:rFonts w:ascii="Calibri" w:eastAsia="Calibri" w:hAnsi="Calibri" w:cs="Calibri"/>
        </w:rPr>
        <w:t xml:space="preserve">It was recommended that UPMC </w:t>
      </w:r>
      <w:r w:rsidRPr="00062E2A">
        <w:rPr>
          <w:rFonts w:eastAsia="Times New Roman" w:cs="Times New Roman"/>
          <w:color w:val="000000"/>
        </w:rPr>
        <w:t xml:space="preserve">better define the rationale for target rates for Indicators 2 </w:t>
      </w:r>
      <w:r w:rsidR="00B20AF4">
        <w:rPr>
          <w:rFonts w:eastAsia="Times New Roman" w:cs="Times New Roman"/>
          <w:color w:val="000000"/>
        </w:rPr>
        <w:t xml:space="preserve">and </w:t>
      </w:r>
      <w:r w:rsidRPr="00062E2A">
        <w:rPr>
          <w:rFonts w:eastAsia="Times New Roman" w:cs="Times New Roman"/>
          <w:color w:val="000000"/>
        </w:rPr>
        <w:t>3. Are there state or national benchmarks you are basing these numbers on?</w:t>
      </w:r>
    </w:p>
    <w:p w14:paraId="0B4FBF5D" w14:textId="77777777" w:rsidR="00AB379C" w:rsidRPr="00062E2A" w:rsidRDefault="00AB379C" w:rsidP="00AB379C">
      <w:pPr>
        <w:numPr>
          <w:ilvl w:val="0"/>
          <w:numId w:val="26"/>
        </w:numPr>
        <w:autoSpaceDE w:val="0"/>
        <w:autoSpaceDN w:val="0"/>
        <w:adjustRightInd w:val="0"/>
        <w:contextualSpacing/>
        <w:rPr>
          <w:rFonts w:ascii="Calibri" w:eastAsia="Calibri" w:hAnsi="Calibri" w:cs="Calibri"/>
        </w:rPr>
      </w:pPr>
      <w:r w:rsidRPr="00062E2A">
        <w:rPr>
          <w:rFonts w:ascii="Calibri" w:eastAsia="Calibri" w:hAnsi="Calibri" w:cs="Calibri"/>
        </w:rPr>
        <w:t xml:space="preserve">It was recommended that the MCO include </w:t>
      </w:r>
      <w:r w:rsidRPr="00062E2A">
        <w:t>in what way and how often members are identified and referred for outreach.</w:t>
      </w:r>
    </w:p>
    <w:p w14:paraId="0D6D17BA" w14:textId="147F4710" w:rsidR="00AB379C" w:rsidRPr="00062E2A" w:rsidRDefault="00AB379C" w:rsidP="00AB379C">
      <w:pPr>
        <w:numPr>
          <w:ilvl w:val="0"/>
          <w:numId w:val="26"/>
        </w:numPr>
        <w:autoSpaceDE w:val="0"/>
        <w:autoSpaceDN w:val="0"/>
        <w:adjustRightInd w:val="0"/>
        <w:contextualSpacing/>
        <w:rPr>
          <w:rFonts w:ascii="Calibri" w:eastAsia="Calibri" w:hAnsi="Calibri" w:cs="Calibri"/>
        </w:rPr>
      </w:pPr>
      <w:r w:rsidRPr="00062E2A">
        <w:rPr>
          <w:rFonts w:ascii="Calibri" w:eastAsia="Calibri" w:hAnsi="Calibri" w:cs="Calibri"/>
        </w:rPr>
        <w:t xml:space="preserve">It was recommended that the MCO </w:t>
      </w:r>
      <w:r w:rsidRPr="00062E2A">
        <w:t>include actual start date</w:t>
      </w:r>
      <w:r w:rsidR="00885A0E">
        <w:t>s</w:t>
      </w:r>
      <w:r w:rsidRPr="00062E2A">
        <w:t xml:space="preserve"> for all interventions.</w:t>
      </w:r>
    </w:p>
    <w:p w14:paraId="183B9A31" w14:textId="54FD3489" w:rsidR="00717EC9" w:rsidRDefault="00717EC9">
      <w:pPr>
        <w:rPr>
          <w:rFonts w:ascii="Cambria" w:eastAsia="Times New Roman" w:hAnsi="Cambria" w:cs="Times New Roman"/>
          <w:bCs/>
          <w:iCs/>
          <w:color w:val="244061"/>
        </w:rPr>
      </w:pPr>
      <w:bookmarkStart w:id="29" w:name="_Toc98922498"/>
    </w:p>
    <w:p w14:paraId="2D33E2E0" w14:textId="5D22B9B7" w:rsidR="00AB379C" w:rsidRPr="00062E2A" w:rsidRDefault="00AB379C" w:rsidP="000C742E">
      <w:pPr>
        <w:pStyle w:val="tableheading"/>
        <w:rPr>
          <w:rFonts w:eastAsia="Times New Roman"/>
        </w:rPr>
      </w:pPr>
      <w:bookmarkStart w:id="30" w:name="_Toc132641660"/>
      <w:r w:rsidRPr="00062E2A">
        <w:rPr>
          <w:rFonts w:eastAsia="Times New Roman"/>
        </w:rPr>
        <w:t>Table 1.2: UPMC PIP Compliance Assessments – 2022 Proposal and Baseline Report</w:t>
      </w:r>
      <w:bookmarkEnd w:id="30"/>
      <w:r w:rsidRPr="00062E2A">
        <w:rPr>
          <w:rFonts w:eastAsia="Times New Roman"/>
        </w:rPr>
        <w:t xml:space="preserve"> </w:t>
      </w:r>
      <w:bookmarkEnd w:id="29"/>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54"/>
        <w:gridCol w:w="3123"/>
        <w:gridCol w:w="3125"/>
      </w:tblGrid>
      <w:tr w:rsidR="00AB379C" w:rsidRPr="00062E2A" w14:paraId="67F9FF8D" w14:textId="77777777" w:rsidTr="007055F6">
        <w:trPr>
          <w:trHeight w:val="288"/>
          <w:tblHeader/>
          <w:jc w:val="center"/>
        </w:trPr>
        <w:tc>
          <w:tcPr>
            <w:tcW w:w="2081" w:type="pct"/>
            <w:shd w:val="clear" w:color="auto" w:fill="5F497A"/>
            <w:noWrap/>
            <w:tcMar>
              <w:top w:w="17" w:type="dxa"/>
              <w:left w:w="58" w:type="dxa"/>
              <w:bottom w:w="0" w:type="dxa"/>
              <w:right w:w="58" w:type="dxa"/>
            </w:tcMar>
            <w:vAlign w:val="center"/>
          </w:tcPr>
          <w:p w14:paraId="3A936B54" w14:textId="77777777" w:rsidR="00AB379C" w:rsidRPr="00062E2A" w:rsidRDefault="00AB379C" w:rsidP="007055F6">
            <w:pPr>
              <w:ind w:left="72"/>
              <w:rPr>
                <w:rFonts w:ascii="Calibri" w:eastAsia="Arial Unicode MS" w:hAnsi="Calibri" w:cs="Arial"/>
                <w:b/>
                <w:bCs/>
                <w:color w:val="FFFFFF"/>
              </w:rPr>
            </w:pPr>
            <w:r w:rsidRPr="00062E2A">
              <w:rPr>
                <w:rFonts w:ascii="Calibri" w:eastAsia="Times New Roman" w:hAnsi="Calibri" w:cs="Arial"/>
                <w:b/>
                <w:bCs/>
                <w:color w:val="FFFFFF"/>
              </w:rPr>
              <w:t xml:space="preserve">Review Element </w:t>
            </w:r>
          </w:p>
        </w:tc>
        <w:tc>
          <w:tcPr>
            <w:tcW w:w="1459" w:type="pct"/>
            <w:shd w:val="clear" w:color="auto" w:fill="5F497A"/>
            <w:noWrap/>
            <w:tcMar>
              <w:top w:w="17" w:type="dxa"/>
              <w:left w:w="58" w:type="dxa"/>
              <w:bottom w:w="0" w:type="dxa"/>
              <w:right w:w="58" w:type="dxa"/>
            </w:tcMar>
            <w:vAlign w:val="center"/>
          </w:tcPr>
          <w:p w14:paraId="44893D56" w14:textId="77777777" w:rsidR="00AB379C" w:rsidRPr="00062E2A" w:rsidRDefault="00AB379C" w:rsidP="007055F6">
            <w:pPr>
              <w:jc w:val="center"/>
              <w:rPr>
                <w:rFonts w:ascii="Calibri" w:eastAsia="Arial Unicode MS" w:hAnsi="Calibri" w:cs="Arial"/>
                <w:b/>
                <w:bCs/>
                <w:color w:val="FFFFFF"/>
              </w:rPr>
            </w:pPr>
            <w:r w:rsidRPr="00062E2A">
              <w:rPr>
                <w:rFonts w:ascii="Calibri" w:eastAsia="Times New Roman" w:hAnsi="Calibri" w:cs="Arial"/>
                <w:b/>
                <w:bCs/>
                <w:color w:val="FFFFFF"/>
              </w:rPr>
              <w:t>Improving Access to Pediatric Preventive Dental Care</w:t>
            </w:r>
          </w:p>
        </w:tc>
        <w:tc>
          <w:tcPr>
            <w:tcW w:w="1460" w:type="pct"/>
            <w:shd w:val="clear" w:color="auto" w:fill="5F497A"/>
            <w:noWrap/>
            <w:tcMar>
              <w:top w:w="17" w:type="dxa"/>
              <w:left w:w="58" w:type="dxa"/>
              <w:bottom w:w="0" w:type="dxa"/>
              <w:right w:w="58" w:type="dxa"/>
            </w:tcMar>
            <w:vAlign w:val="center"/>
          </w:tcPr>
          <w:p w14:paraId="6002D6DE" w14:textId="22716903" w:rsidR="00AB379C" w:rsidRPr="00062E2A" w:rsidRDefault="00AB379C" w:rsidP="007055F6">
            <w:pPr>
              <w:jc w:val="center"/>
              <w:rPr>
                <w:rFonts w:ascii="Calibri" w:eastAsia="Arial Unicode MS" w:hAnsi="Calibri" w:cs="Arial"/>
                <w:b/>
                <w:bCs/>
                <w:color w:val="FFFFFF"/>
              </w:rPr>
            </w:pPr>
            <w:r w:rsidRPr="00062E2A">
              <w:rPr>
                <w:rFonts w:ascii="Calibri" w:eastAsia="Times New Roman" w:hAnsi="Calibri" w:cs="Arial"/>
                <w:b/>
                <w:bCs/>
                <w:color w:val="FFFFFF"/>
              </w:rPr>
              <w:t xml:space="preserve">Improving Blood Lead Screening Rate in Children </w:t>
            </w:r>
          </w:p>
        </w:tc>
      </w:tr>
      <w:tr w:rsidR="00AB379C" w:rsidRPr="00062E2A" w14:paraId="2F343463" w14:textId="77777777" w:rsidTr="007055F6">
        <w:trPr>
          <w:trHeight w:val="288"/>
          <w:jc w:val="center"/>
        </w:trPr>
        <w:tc>
          <w:tcPr>
            <w:tcW w:w="2081" w:type="pct"/>
            <w:tcMar>
              <w:top w:w="17" w:type="dxa"/>
              <w:left w:w="43" w:type="dxa"/>
              <w:bottom w:w="0" w:type="dxa"/>
              <w:right w:w="72" w:type="dxa"/>
            </w:tcMar>
            <w:vAlign w:val="center"/>
          </w:tcPr>
          <w:p w14:paraId="7CCDBC8E" w14:textId="77777777" w:rsidR="00AB379C" w:rsidRPr="00062E2A" w:rsidRDefault="00AB379C" w:rsidP="00885A0E">
            <w:pPr>
              <w:ind w:left="330"/>
              <w:contextualSpacing/>
              <w:jc w:val="left"/>
              <w:rPr>
                <w:rFonts w:ascii="Calibri" w:eastAsia="PMingLiU" w:hAnsi="Calibri" w:cs="Times New Roman"/>
              </w:rPr>
            </w:pPr>
            <w:r w:rsidRPr="00062E2A">
              <w:rPr>
                <w:rFonts w:ascii="Calibri" w:eastAsia="PMingLiU" w:hAnsi="Calibri" w:cs="Times New Roman"/>
              </w:rPr>
              <w:t>Element 1. Project Topic/Rationale</w:t>
            </w:r>
          </w:p>
        </w:tc>
        <w:tc>
          <w:tcPr>
            <w:tcW w:w="1459" w:type="pct"/>
            <w:shd w:val="clear" w:color="auto" w:fill="auto"/>
            <w:tcMar>
              <w:top w:w="17" w:type="dxa"/>
              <w:left w:w="58" w:type="dxa"/>
              <w:bottom w:w="0" w:type="dxa"/>
              <w:right w:w="58" w:type="dxa"/>
            </w:tcMar>
            <w:vAlign w:val="center"/>
          </w:tcPr>
          <w:p w14:paraId="7BC788D8"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Met</w:t>
            </w:r>
          </w:p>
        </w:tc>
        <w:tc>
          <w:tcPr>
            <w:tcW w:w="1460" w:type="pct"/>
            <w:shd w:val="clear" w:color="auto" w:fill="auto"/>
            <w:tcMar>
              <w:top w:w="17" w:type="dxa"/>
              <w:left w:w="58" w:type="dxa"/>
              <w:bottom w:w="0" w:type="dxa"/>
              <w:right w:w="58" w:type="dxa"/>
            </w:tcMar>
            <w:vAlign w:val="center"/>
          </w:tcPr>
          <w:p w14:paraId="30D9D103"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Met</w:t>
            </w:r>
          </w:p>
        </w:tc>
      </w:tr>
      <w:tr w:rsidR="00AB379C" w:rsidRPr="00062E2A" w14:paraId="4788263C" w14:textId="77777777" w:rsidTr="007055F6">
        <w:trPr>
          <w:trHeight w:val="288"/>
          <w:jc w:val="center"/>
        </w:trPr>
        <w:tc>
          <w:tcPr>
            <w:tcW w:w="2081" w:type="pct"/>
            <w:tcMar>
              <w:top w:w="17" w:type="dxa"/>
              <w:left w:w="43" w:type="dxa"/>
              <w:bottom w:w="0" w:type="dxa"/>
              <w:right w:w="72" w:type="dxa"/>
            </w:tcMar>
            <w:vAlign w:val="center"/>
          </w:tcPr>
          <w:p w14:paraId="00CA7AB5" w14:textId="77777777" w:rsidR="00AB379C" w:rsidRPr="00062E2A" w:rsidRDefault="00AB379C" w:rsidP="00885A0E">
            <w:pPr>
              <w:ind w:left="330"/>
              <w:contextualSpacing/>
              <w:jc w:val="left"/>
              <w:rPr>
                <w:rFonts w:ascii="Calibri" w:eastAsia="PMingLiU" w:hAnsi="Calibri" w:cs="Times New Roman"/>
              </w:rPr>
            </w:pPr>
            <w:r w:rsidRPr="00062E2A">
              <w:rPr>
                <w:rFonts w:ascii="Calibri" w:eastAsia="PMingLiU" w:hAnsi="Calibri" w:cs="Times New Roman"/>
              </w:rPr>
              <w:t>Element 2. Aim</w:t>
            </w:r>
          </w:p>
        </w:tc>
        <w:tc>
          <w:tcPr>
            <w:tcW w:w="1459" w:type="pct"/>
            <w:shd w:val="clear" w:color="auto" w:fill="auto"/>
            <w:tcMar>
              <w:top w:w="17" w:type="dxa"/>
              <w:left w:w="58" w:type="dxa"/>
              <w:bottom w:w="0" w:type="dxa"/>
              <w:right w:w="58" w:type="dxa"/>
            </w:tcMar>
            <w:vAlign w:val="center"/>
          </w:tcPr>
          <w:p w14:paraId="72D222D4"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Partially Met</w:t>
            </w:r>
          </w:p>
        </w:tc>
        <w:tc>
          <w:tcPr>
            <w:tcW w:w="1460" w:type="pct"/>
            <w:shd w:val="clear" w:color="auto" w:fill="auto"/>
            <w:tcMar>
              <w:top w:w="17" w:type="dxa"/>
              <w:left w:w="58" w:type="dxa"/>
              <w:bottom w:w="0" w:type="dxa"/>
              <w:right w:w="58" w:type="dxa"/>
            </w:tcMar>
            <w:vAlign w:val="center"/>
          </w:tcPr>
          <w:p w14:paraId="028F1E40"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Partially Met</w:t>
            </w:r>
          </w:p>
        </w:tc>
      </w:tr>
      <w:tr w:rsidR="00AB379C" w:rsidRPr="00062E2A" w14:paraId="54DA2153" w14:textId="77777777" w:rsidTr="007055F6">
        <w:trPr>
          <w:trHeight w:val="288"/>
          <w:jc w:val="center"/>
        </w:trPr>
        <w:tc>
          <w:tcPr>
            <w:tcW w:w="2081" w:type="pct"/>
            <w:tcMar>
              <w:top w:w="17" w:type="dxa"/>
              <w:left w:w="43" w:type="dxa"/>
              <w:bottom w:w="0" w:type="dxa"/>
              <w:right w:w="72" w:type="dxa"/>
            </w:tcMar>
            <w:vAlign w:val="center"/>
          </w:tcPr>
          <w:p w14:paraId="4D2FB35A" w14:textId="77777777" w:rsidR="00AB379C" w:rsidRPr="00062E2A" w:rsidRDefault="00AB379C" w:rsidP="00885A0E">
            <w:pPr>
              <w:ind w:left="330"/>
              <w:contextualSpacing/>
              <w:jc w:val="left"/>
              <w:rPr>
                <w:rFonts w:ascii="Calibri" w:eastAsia="PMingLiU" w:hAnsi="Calibri" w:cs="Times New Roman"/>
              </w:rPr>
            </w:pPr>
            <w:r w:rsidRPr="00062E2A">
              <w:rPr>
                <w:rFonts w:ascii="Calibri" w:eastAsia="PMingLiU" w:hAnsi="Calibri" w:cs="Times New Roman"/>
              </w:rPr>
              <w:t>Element 3. Methodology</w:t>
            </w:r>
          </w:p>
        </w:tc>
        <w:tc>
          <w:tcPr>
            <w:tcW w:w="1459" w:type="pct"/>
            <w:shd w:val="clear" w:color="auto" w:fill="auto"/>
            <w:tcMar>
              <w:top w:w="17" w:type="dxa"/>
              <w:left w:w="58" w:type="dxa"/>
              <w:bottom w:w="0" w:type="dxa"/>
              <w:right w:w="58" w:type="dxa"/>
            </w:tcMar>
            <w:vAlign w:val="center"/>
          </w:tcPr>
          <w:p w14:paraId="3A004F39"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Met</w:t>
            </w:r>
          </w:p>
        </w:tc>
        <w:tc>
          <w:tcPr>
            <w:tcW w:w="1460" w:type="pct"/>
            <w:shd w:val="clear" w:color="auto" w:fill="auto"/>
            <w:tcMar>
              <w:top w:w="17" w:type="dxa"/>
              <w:left w:w="58" w:type="dxa"/>
              <w:bottom w:w="0" w:type="dxa"/>
              <w:right w:w="58" w:type="dxa"/>
            </w:tcMar>
            <w:vAlign w:val="center"/>
          </w:tcPr>
          <w:p w14:paraId="38EC1B25"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Partially Met</w:t>
            </w:r>
          </w:p>
        </w:tc>
      </w:tr>
      <w:tr w:rsidR="00AB379C" w:rsidRPr="00062E2A" w14:paraId="118D1D34" w14:textId="77777777" w:rsidTr="007055F6">
        <w:trPr>
          <w:trHeight w:val="288"/>
          <w:jc w:val="center"/>
        </w:trPr>
        <w:tc>
          <w:tcPr>
            <w:tcW w:w="2081" w:type="pct"/>
            <w:tcMar>
              <w:top w:w="17" w:type="dxa"/>
              <w:left w:w="43" w:type="dxa"/>
              <w:bottom w:w="0" w:type="dxa"/>
              <w:right w:w="72" w:type="dxa"/>
            </w:tcMar>
            <w:vAlign w:val="center"/>
          </w:tcPr>
          <w:p w14:paraId="4F3D408C" w14:textId="77777777" w:rsidR="00AB379C" w:rsidRPr="00062E2A" w:rsidRDefault="00AB379C" w:rsidP="00885A0E">
            <w:pPr>
              <w:ind w:left="330"/>
              <w:contextualSpacing/>
              <w:jc w:val="left"/>
              <w:rPr>
                <w:rFonts w:ascii="Calibri" w:eastAsia="PMingLiU" w:hAnsi="Calibri" w:cs="Times New Roman"/>
              </w:rPr>
            </w:pPr>
            <w:r w:rsidRPr="00062E2A">
              <w:rPr>
                <w:rFonts w:ascii="Calibri" w:eastAsia="PMingLiU" w:hAnsi="Calibri" w:cs="Times New Roman"/>
              </w:rPr>
              <w:t>Element 4. Barrier Analysis</w:t>
            </w:r>
          </w:p>
        </w:tc>
        <w:tc>
          <w:tcPr>
            <w:tcW w:w="1459" w:type="pct"/>
            <w:shd w:val="clear" w:color="auto" w:fill="auto"/>
            <w:tcMar>
              <w:top w:w="17" w:type="dxa"/>
              <w:left w:w="58" w:type="dxa"/>
              <w:bottom w:w="0" w:type="dxa"/>
              <w:right w:w="58" w:type="dxa"/>
            </w:tcMar>
            <w:vAlign w:val="center"/>
          </w:tcPr>
          <w:p w14:paraId="7BE21B10"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Met</w:t>
            </w:r>
          </w:p>
        </w:tc>
        <w:tc>
          <w:tcPr>
            <w:tcW w:w="1460" w:type="pct"/>
            <w:shd w:val="clear" w:color="auto" w:fill="auto"/>
            <w:tcMar>
              <w:top w:w="17" w:type="dxa"/>
              <w:left w:w="58" w:type="dxa"/>
              <w:bottom w:w="0" w:type="dxa"/>
              <w:right w:w="58" w:type="dxa"/>
            </w:tcMar>
            <w:vAlign w:val="center"/>
          </w:tcPr>
          <w:p w14:paraId="2C353DB5"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Met</w:t>
            </w:r>
          </w:p>
        </w:tc>
      </w:tr>
      <w:tr w:rsidR="00AB379C" w:rsidRPr="00062E2A" w14:paraId="3F3F0218" w14:textId="77777777" w:rsidTr="007055F6">
        <w:trPr>
          <w:trHeight w:val="288"/>
          <w:jc w:val="center"/>
        </w:trPr>
        <w:tc>
          <w:tcPr>
            <w:tcW w:w="2081" w:type="pct"/>
            <w:tcMar>
              <w:top w:w="17" w:type="dxa"/>
              <w:left w:w="43" w:type="dxa"/>
              <w:bottom w:w="0" w:type="dxa"/>
              <w:right w:w="72" w:type="dxa"/>
            </w:tcMar>
            <w:vAlign w:val="center"/>
          </w:tcPr>
          <w:p w14:paraId="6DA5FC33" w14:textId="77777777" w:rsidR="00AB379C" w:rsidRPr="00062E2A" w:rsidRDefault="00AB379C" w:rsidP="00885A0E">
            <w:pPr>
              <w:ind w:left="330"/>
              <w:contextualSpacing/>
              <w:jc w:val="left"/>
              <w:rPr>
                <w:rFonts w:ascii="Calibri" w:eastAsia="PMingLiU" w:hAnsi="Calibri" w:cs="Times New Roman"/>
              </w:rPr>
            </w:pPr>
            <w:r w:rsidRPr="00062E2A">
              <w:rPr>
                <w:rFonts w:ascii="Calibri" w:eastAsia="PMingLiU" w:hAnsi="Calibri" w:cs="Times New Roman"/>
              </w:rPr>
              <w:t>Element 5. Robust Interventions</w:t>
            </w:r>
          </w:p>
        </w:tc>
        <w:tc>
          <w:tcPr>
            <w:tcW w:w="1459" w:type="pct"/>
            <w:tcBorders>
              <w:bottom w:val="single" w:sz="4" w:space="0" w:color="auto"/>
            </w:tcBorders>
            <w:shd w:val="clear" w:color="auto" w:fill="auto"/>
            <w:tcMar>
              <w:top w:w="17" w:type="dxa"/>
              <w:left w:w="58" w:type="dxa"/>
              <w:bottom w:w="0" w:type="dxa"/>
              <w:right w:w="58" w:type="dxa"/>
            </w:tcMar>
            <w:vAlign w:val="center"/>
          </w:tcPr>
          <w:p w14:paraId="13C92618"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Met</w:t>
            </w:r>
          </w:p>
        </w:tc>
        <w:tc>
          <w:tcPr>
            <w:tcW w:w="1460" w:type="pct"/>
            <w:tcBorders>
              <w:bottom w:val="single" w:sz="4" w:space="0" w:color="auto"/>
            </w:tcBorders>
            <w:shd w:val="clear" w:color="auto" w:fill="auto"/>
            <w:tcMar>
              <w:top w:w="17" w:type="dxa"/>
              <w:left w:w="58" w:type="dxa"/>
              <w:bottom w:w="0" w:type="dxa"/>
              <w:right w:w="58" w:type="dxa"/>
            </w:tcMar>
            <w:vAlign w:val="center"/>
          </w:tcPr>
          <w:p w14:paraId="26C71A0C"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Partially Met</w:t>
            </w:r>
          </w:p>
        </w:tc>
      </w:tr>
      <w:tr w:rsidR="00AB379C" w:rsidRPr="00062E2A" w14:paraId="6A212738" w14:textId="77777777" w:rsidTr="007055F6">
        <w:trPr>
          <w:trHeight w:val="288"/>
          <w:jc w:val="center"/>
        </w:trPr>
        <w:tc>
          <w:tcPr>
            <w:tcW w:w="2081" w:type="pct"/>
            <w:shd w:val="clear" w:color="auto" w:fill="auto"/>
            <w:tcMar>
              <w:top w:w="17" w:type="dxa"/>
              <w:left w:w="43" w:type="dxa"/>
              <w:bottom w:w="0" w:type="dxa"/>
              <w:right w:w="72" w:type="dxa"/>
            </w:tcMar>
            <w:vAlign w:val="center"/>
          </w:tcPr>
          <w:p w14:paraId="6F403459" w14:textId="77777777" w:rsidR="00AB379C" w:rsidRPr="00062E2A" w:rsidRDefault="00AB379C" w:rsidP="00885A0E">
            <w:pPr>
              <w:ind w:left="330"/>
              <w:contextualSpacing/>
              <w:jc w:val="left"/>
              <w:rPr>
                <w:rFonts w:ascii="Calibri" w:eastAsia="PMingLiU" w:hAnsi="Calibri" w:cs="Times New Roman"/>
              </w:rPr>
            </w:pPr>
            <w:r w:rsidRPr="00062E2A">
              <w:rPr>
                <w:rFonts w:ascii="Calibri" w:eastAsia="PMingLiU" w:hAnsi="Calibri" w:cs="Times New Roman"/>
              </w:rPr>
              <w:t>Element 6. Results Table</w:t>
            </w:r>
          </w:p>
        </w:tc>
        <w:tc>
          <w:tcPr>
            <w:tcW w:w="1459" w:type="pct"/>
            <w:shd w:val="clear" w:color="auto" w:fill="auto"/>
            <w:tcMar>
              <w:top w:w="17" w:type="dxa"/>
              <w:left w:w="58" w:type="dxa"/>
              <w:bottom w:w="0" w:type="dxa"/>
              <w:right w:w="58" w:type="dxa"/>
            </w:tcMar>
            <w:vAlign w:val="center"/>
          </w:tcPr>
          <w:p w14:paraId="0D252E2D"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N/A</w:t>
            </w:r>
          </w:p>
        </w:tc>
        <w:tc>
          <w:tcPr>
            <w:tcW w:w="1460" w:type="pct"/>
            <w:shd w:val="clear" w:color="auto" w:fill="auto"/>
            <w:tcMar>
              <w:top w:w="17" w:type="dxa"/>
              <w:left w:w="58" w:type="dxa"/>
              <w:bottom w:w="0" w:type="dxa"/>
              <w:right w:w="58" w:type="dxa"/>
            </w:tcMar>
            <w:vAlign w:val="center"/>
          </w:tcPr>
          <w:p w14:paraId="666920EE"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N/A</w:t>
            </w:r>
          </w:p>
        </w:tc>
      </w:tr>
      <w:tr w:rsidR="00AB379C" w:rsidRPr="00062E2A" w14:paraId="059EBBF5" w14:textId="77777777" w:rsidTr="007055F6">
        <w:trPr>
          <w:trHeight w:val="288"/>
          <w:jc w:val="center"/>
        </w:trPr>
        <w:tc>
          <w:tcPr>
            <w:tcW w:w="2081" w:type="pct"/>
            <w:shd w:val="clear" w:color="auto" w:fill="auto"/>
            <w:tcMar>
              <w:top w:w="17" w:type="dxa"/>
              <w:left w:w="43" w:type="dxa"/>
              <w:bottom w:w="0" w:type="dxa"/>
              <w:right w:w="72" w:type="dxa"/>
            </w:tcMar>
            <w:vAlign w:val="center"/>
          </w:tcPr>
          <w:p w14:paraId="14EA8A9B" w14:textId="77777777" w:rsidR="00AB379C" w:rsidRPr="00062E2A" w:rsidRDefault="00AB379C" w:rsidP="00885A0E">
            <w:pPr>
              <w:ind w:left="330"/>
              <w:contextualSpacing/>
              <w:jc w:val="left"/>
              <w:rPr>
                <w:rFonts w:ascii="Calibri" w:eastAsia="PMingLiU" w:hAnsi="Calibri" w:cs="Times New Roman"/>
              </w:rPr>
            </w:pPr>
            <w:r w:rsidRPr="00062E2A">
              <w:rPr>
                <w:rFonts w:ascii="Calibri" w:eastAsia="PMingLiU" w:hAnsi="Calibri" w:cs="Times New Roman"/>
              </w:rPr>
              <w:t>Element 7. Discussion and Validity of Reported Improvement</w:t>
            </w:r>
          </w:p>
        </w:tc>
        <w:tc>
          <w:tcPr>
            <w:tcW w:w="1459" w:type="pct"/>
            <w:shd w:val="clear" w:color="auto" w:fill="auto"/>
            <w:tcMar>
              <w:top w:w="17" w:type="dxa"/>
              <w:left w:w="58" w:type="dxa"/>
              <w:bottom w:w="0" w:type="dxa"/>
              <w:right w:w="58" w:type="dxa"/>
            </w:tcMar>
            <w:vAlign w:val="center"/>
          </w:tcPr>
          <w:p w14:paraId="04D40812"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N/A</w:t>
            </w:r>
          </w:p>
        </w:tc>
        <w:tc>
          <w:tcPr>
            <w:tcW w:w="1460" w:type="pct"/>
            <w:shd w:val="clear" w:color="auto" w:fill="auto"/>
            <w:tcMar>
              <w:top w:w="17" w:type="dxa"/>
              <w:left w:w="58" w:type="dxa"/>
              <w:bottom w:w="0" w:type="dxa"/>
              <w:right w:w="58" w:type="dxa"/>
            </w:tcMar>
            <w:vAlign w:val="center"/>
          </w:tcPr>
          <w:p w14:paraId="55465103" w14:textId="77777777" w:rsidR="00AB379C" w:rsidRPr="00062E2A" w:rsidRDefault="00AB379C" w:rsidP="007055F6">
            <w:pPr>
              <w:jc w:val="center"/>
              <w:rPr>
                <w:rFonts w:ascii="Calibri" w:eastAsia="Arial Unicode MS" w:hAnsi="Calibri" w:cs="Arial"/>
              </w:rPr>
            </w:pPr>
            <w:r w:rsidRPr="00062E2A">
              <w:rPr>
                <w:rFonts w:ascii="Calibri" w:eastAsia="Arial Unicode MS" w:hAnsi="Calibri" w:cs="Arial"/>
              </w:rPr>
              <w:t>N/A</w:t>
            </w:r>
          </w:p>
        </w:tc>
      </w:tr>
    </w:tbl>
    <w:p w14:paraId="359D4DA4" w14:textId="2FCE52F9" w:rsidR="00AB379C" w:rsidRPr="00602A39" w:rsidRDefault="00AB379C" w:rsidP="00AB379C">
      <w:pPr>
        <w:rPr>
          <w:rFonts w:ascii="Calibri" w:eastAsia="Times New Roman" w:hAnsi="Calibri" w:cs="Times New Roman"/>
          <w:sz w:val="20"/>
          <w:szCs w:val="20"/>
        </w:rPr>
      </w:pPr>
      <w:r w:rsidRPr="00062E2A">
        <w:rPr>
          <w:rFonts w:ascii="Calibri" w:eastAsia="Times New Roman" w:hAnsi="Calibri" w:cs="Times New Roman"/>
          <w:sz w:val="20"/>
          <w:szCs w:val="20"/>
        </w:rPr>
        <w:t>PIP: performance improvement project</w:t>
      </w:r>
      <w:r w:rsidR="00C23FB3">
        <w:rPr>
          <w:rFonts w:ascii="Calibri" w:eastAsia="Times New Roman" w:hAnsi="Calibri" w:cs="Times New Roman"/>
          <w:sz w:val="20"/>
          <w:szCs w:val="20"/>
        </w:rPr>
        <w:t>; N/A: not applicable</w:t>
      </w:r>
      <w:r w:rsidRPr="00062E2A">
        <w:rPr>
          <w:rFonts w:ascii="Calibri" w:eastAsia="Times New Roman" w:hAnsi="Calibri" w:cs="Times New Roman"/>
          <w:sz w:val="20"/>
          <w:szCs w:val="20"/>
        </w:rPr>
        <w:t>.</w:t>
      </w:r>
    </w:p>
    <w:p w14:paraId="39183029" w14:textId="484EF2D5" w:rsidR="00B34706" w:rsidRPr="00231C6F" w:rsidRDefault="00B34706">
      <w:pPr>
        <w:rPr>
          <w:rFonts w:ascii="Calibri" w:eastAsia="Times New Roman" w:hAnsi="Calibri" w:cs="Times New Roman"/>
          <w:sz w:val="20"/>
          <w:szCs w:val="20"/>
        </w:rPr>
      </w:pPr>
      <w:r w:rsidRPr="00F7033D">
        <w:rPr>
          <w:rFonts w:asciiTheme="majorHAnsi" w:eastAsiaTheme="majorEastAsia" w:hAnsiTheme="majorHAnsi" w:cstheme="majorBidi"/>
          <w:b/>
          <w:bCs/>
          <w:color w:val="365F91" w:themeColor="accent1" w:themeShade="BF"/>
          <w:sz w:val="28"/>
          <w:szCs w:val="28"/>
        </w:rPr>
        <w:br w:type="page"/>
      </w:r>
    </w:p>
    <w:p w14:paraId="05195E46" w14:textId="77777777" w:rsidR="004602C2" w:rsidRPr="00F7033D" w:rsidRDefault="004602C2" w:rsidP="004602C2">
      <w:pPr>
        <w:pStyle w:val="Heading1"/>
        <w:spacing w:before="0"/>
      </w:pPr>
      <w:bookmarkStart w:id="31" w:name="_Toc132641614"/>
      <w:r w:rsidRPr="00F7033D">
        <w:lastRenderedPageBreak/>
        <w:t>II: Performance Measures and CAHPS Survey</w:t>
      </w:r>
      <w:bookmarkEnd w:id="31"/>
      <w:r w:rsidRPr="00F7033D">
        <w:rPr>
          <w:lang w:eastAsia="zh-TW"/>
        </w:rPr>
        <w:t xml:space="preserve"> </w:t>
      </w:r>
    </w:p>
    <w:p w14:paraId="39424CB7" w14:textId="77777777" w:rsidR="004602C2" w:rsidRPr="00F7033D" w:rsidRDefault="004602C2" w:rsidP="004602C2">
      <w:pPr>
        <w:pStyle w:val="Heading2"/>
      </w:pPr>
      <w:bookmarkStart w:id="32" w:name="_Toc132641615"/>
      <w:r w:rsidRPr="00F7033D">
        <w:t>Objectives</w:t>
      </w:r>
      <w:bookmarkEnd w:id="32"/>
    </w:p>
    <w:p w14:paraId="3F85E58B" w14:textId="77777777" w:rsidR="004602C2" w:rsidRPr="00F7033D" w:rsidRDefault="004602C2" w:rsidP="004602C2">
      <w:bookmarkStart w:id="33" w:name="_Toc441484443"/>
      <w:bookmarkStart w:id="34" w:name="_Toc442200315"/>
      <w:bookmarkStart w:id="35" w:name="_Toc68527459"/>
      <w:r w:rsidRPr="00F7033D">
        <w:t>IPRO validated PA-specific performance measures and HEDIS data for each of the CHIP MCOs.</w:t>
      </w:r>
    </w:p>
    <w:p w14:paraId="0EC3CFE7" w14:textId="77777777" w:rsidR="004602C2" w:rsidRPr="00F7033D" w:rsidRDefault="004602C2" w:rsidP="004602C2"/>
    <w:p w14:paraId="090B928F" w14:textId="4AE1B0FD" w:rsidR="004602C2" w:rsidRPr="00F7033D" w:rsidRDefault="004602C2" w:rsidP="004602C2">
      <w:r w:rsidRPr="00F7033D">
        <w:t xml:space="preserve">The MCOs were provided with final specifications for the PA Performance Measures in </w:t>
      </w:r>
      <w:r>
        <w:t>April</w:t>
      </w:r>
      <w:r w:rsidRPr="00F7033D">
        <w:t xml:space="preserve"> 202</w:t>
      </w:r>
      <w:r>
        <w:t>2</w:t>
      </w:r>
      <w:r w:rsidRPr="00F7033D">
        <w:t>. Source code, raw data, and rate sheets were submitted by the MCOs to IPRO for review in 202</w:t>
      </w:r>
      <w:r>
        <w:t>2</w:t>
      </w:r>
      <w:r w:rsidRPr="00F7033D">
        <w:t>. IPRO conducted an initial validation of each measure including source code review and provided each MCO with formal written feedback. The MCOs were then given the opportunity for resubmission, if necessary, with a limit of four total submissions. Additional resubmissions required discussion with and approval from DHS. Pseudo code was reviewed by IPRO. Raw data were also reviewed for reasonability, and IPRO ran validation code against these data to validate that the final reported rates were accurate. Additionally, MCOs were provided with comparisons to the previous year’s rates and were requested to provide explanations for highlighted differences. Differences were highlighted for rates that were statistically significant and displayed at least a 3-percentage</w:t>
      </w:r>
      <w:r w:rsidR="00E57854">
        <w:t>-</w:t>
      </w:r>
      <w:r w:rsidRPr="00F7033D">
        <w:t xml:space="preserve">point difference in observed rates. </w:t>
      </w:r>
    </w:p>
    <w:p w14:paraId="1C022FEC" w14:textId="77777777" w:rsidR="004602C2" w:rsidRPr="00F7033D" w:rsidRDefault="004602C2" w:rsidP="004602C2"/>
    <w:p w14:paraId="1AF53E83" w14:textId="77777777" w:rsidR="004602C2" w:rsidRPr="00F7033D" w:rsidRDefault="004602C2" w:rsidP="004602C2">
      <w:r w:rsidRPr="00F7033D">
        <w:t>HEDIS MY 202</w:t>
      </w:r>
      <w:r>
        <w:t>1</w:t>
      </w:r>
      <w:r w:rsidRPr="00F7033D">
        <w:t xml:space="preserve"> measures were validated through a standard HEDIS compliance audit of each MCO. This audit includes pre-onsite review of the HEDIS Roadmap, onsite interviews with staff and a review of systems, and post-onsite validation of the Interactive Data Submission System (IDSS). HEDIS MY 202</w:t>
      </w:r>
      <w:r>
        <w:t>1</w:t>
      </w:r>
      <w:r w:rsidRPr="00F7033D">
        <w:t xml:space="preserve"> audit activities were performed virtually due to the public health emergency. A Final Audit Report was submitted to NCQA for each MCO per NCQA guidelines in July following completion of audit activities. Because the PA-specific performance measures rely on the same systems and staff, no separate review was necessary for validation of PA-specific measures. IPRO conducts a thorough review and validation of source code, data, and submitted rates for the PA-specific measures.</w:t>
      </w:r>
    </w:p>
    <w:p w14:paraId="4D6BEFE5" w14:textId="77777777" w:rsidR="004602C2" w:rsidRPr="00F7033D" w:rsidRDefault="004602C2" w:rsidP="004602C2"/>
    <w:p w14:paraId="40DF08E5" w14:textId="77777777" w:rsidR="004602C2" w:rsidRPr="00F7033D" w:rsidRDefault="004602C2" w:rsidP="004602C2">
      <w:r w:rsidRPr="00F7033D">
        <w:t xml:space="preserve">Evaluation of MCO performance is based on both PA-specific performance measures and selected </w:t>
      </w:r>
      <w:r w:rsidRPr="00F7033D">
        <w:rPr>
          <w:rFonts w:cs="Arial"/>
        </w:rPr>
        <w:t>HEDIS</w:t>
      </w:r>
      <w:r w:rsidRPr="00F7033D">
        <w:t xml:space="preserve"> measures for the EQR. A list of the performance measures included in this year’s EQR report is presented in </w:t>
      </w:r>
      <w:r w:rsidRPr="00F7033D">
        <w:rPr>
          <w:b/>
        </w:rPr>
        <w:t>Table 2.1</w:t>
      </w:r>
      <w:r w:rsidRPr="00F7033D">
        <w:t>.</w:t>
      </w:r>
      <w:bookmarkStart w:id="36" w:name="_Toc37422479"/>
      <w:bookmarkEnd w:id="33"/>
      <w:bookmarkEnd w:id="34"/>
    </w:p>
    <w:p w14:paraId="476517D3" w14:textId="77777777" w:rsidR="004602C2" w:rsidRPr="00F7033D" w:rsidRDefault="004602C2" w:rsidP="004602C2">
      <w:pPr>
        <w:pStyle w:val="tableheading"/>
      </w:pPr>
      <w:bookmarkStart w:id="37" w:name="_Toc132641661"/>
      <w:bookmarkEnd w:id="36"/>
      <w:r w:rsidRPr="00F7033D">
        <w:t>Table 2.1: Performance Measure Groupings</w:t>
      </w:r>
      <w:bookmarkEnd w:id="35"/>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593"/>
        <w:gridCol w:w="9197"/>
      </w:tblGrid>
      <w:tr w:rsidR="004602C2" w:rsidRPr="00F7033D" w14:paraId="14B0E7BD" w14:textId="77777777" w:rsidTr="00231C6F">
        <w:trPr>
          <w:cantSplit/>
          <w:trHeight w:val="20"/>
          <w:tblHeader/>
        </w:trPr>
        <w:tc>
          <w:tcPr>
            <w:tcW w:w="738" w:type="pct"/>
            <w:shd w:val="clear" w:color="auto" w:fill="5F497A" w:themeFill="accent4" w:themeFillShade="BF"/>
          </w:tcPr>
          <w:p w14:paraId="0C4FE34E" w14:textId="77777777" w:rsidR="004602C2" w:rsidRPr="00F7033D" w:rsidRDefault="004602C2" w:rsidP="00723ED5">
            <w:pPr>
              <w:jc w:val="left"/>
              <w:rPr>
                <w:rFonts w:eastAsia="Times New Roman" w:cstheme="minorHAnsi"/>
                <w:b/>
                <w:bCs/>
                <w:color w:val="FFFFFF" w:themeColor="background1"/>
              </w:rPr>
            </w:pPr>
            <w:r w:rsidRPr="00F7033D">
              <w:rPr>
                <w:rFonts w:eastAsia="Times New Roman" w:cstheme="minorHAnsi"/>
                <w:b/>
                <w:bCs/>
                <w:color w:val="FFFFFF" w:themeColor="background1"/>
              </w:rPr>
              <w:t>Source</w:t>
            </w:r>
          </w:p>
        </w:tc>
        <w:tc>
          <w:tcPr>
            <w:tcW w:w="4262" w:type="pct"/>
            <w:shd w:val="clear" w:color="auto" w:fill="5F497A" w:themeFill="accent4" w:themeFillShade="BF"/>
          </w:tcPr>
          <w:p w14:paraId="6FCFDF28" w14:textId="77777777" w:rsidR="004602C2" w:rsidRPr="00F7033D" w:rsidRDefault="004602C2" w:rsidP="00723ED5">
            <w:pPr>
              <w:jc w:val="left"/>
              <w:rPr>
                <w:rFonts w:eastAsia="Times New Roman" w:cstheme="minorHAnsi"/>
                <w:b/>
                <w:bCs/>
                <w:color w:val="FFFFFF" w:themeColor="background1"/>
              </w:rPr>
            </w:pPr>
            <w:r w:rsidRPr="00F7033D">
              <w:rPr>
                <w:rFonts w:eastAsia="Times New Roman" w:cstheme="minorHAnsi"/>
                <w:b/>
                <w:bCs/>
                <w:color w:val="FFFFFF" w:themeColor="background1"/>
              </w:rPr>
              <w:t>Measures</w:t>
            </w:r>
          </w:p>
        </w:tc>
      </w:tr>
      <w:tr w:rsidR="004602C2" w:rsidRPr="00F7033D" w14:paraId="40E92D6C" w14:textId="77777777" w:rsidTr="00723ED5">
        <w:trPr>
          <w:cantSplit/>
          <w:trHeight w:val="20"/>
        </w:trPr>
        <w:tc>
          <w:tcPr>
            <w:tcW w:w="5000" w:type="pct"/>
            <w:gridSpan w:val="2"/>
            <w:shd w:val="clear" w:color="auto" w:fill="CCC0D9" w:themeFill="accent4" w:themeFillTint="66"/>
            <w:vAlign w:val="center"/>
          </w:tcPr>
          <w:p w14:paraId="61B6E7D8" w14:textId="77777777" w:rsidR="004602C2" w:rsidRPr="00F7033D" w:rsidRDefault="004602C2" w:rsidP="00723ED5">
            <w:pPr>
              <w:rPr>
                <w:rFonts w:cstheme="minorHAnsi"/>
                <w:color w:val="000000" w:themeColor="text1"/>
              </w:rPr>
            </w:pPr>
            <w:bookmarkStart w:id="38" w:name="_Toc319061123"/>
            <w:bookmarkStart w:id="39" w:name="_Toc384162329"/>
            <w:bookmarkStart w:id="40" w:name="_Toc417036743"/>
            <w:bookmarkStart w:id="41" w:name="_Toc447022724"/>
            <w:bookmarkStart w:id="42" w:name="_Toc447022859"/>
            <w:bookmarkStart w:id="43" w:name="_Toc447023159"/>
            <w:bookmarkStart w:id="44" w:name="_Toc447033103"/>
            <w:bookmarkStart w:id="45" w:name="_Toc447033224"/>
            <w:bookmarkStart w:id="46" w:name="_Toc447033735"/>
            <w:bookmarkStart w:id="47" w:name="_Toc447034002"/>
            <w:bookmarkStart w:id="48" w:name="_Toc447034818"/>
            <w:bookmarkStart w:id="49" w:name="_Toc447725850"/>
            <w:bookmarkStart w:id="50" w:name="_Toc449099969"/>
            <w:r w:rsidRPr="00F7033D">
              <w:rPr>
                <w:rFonts w:cstheme="minorHAnsi"/>
                <w:color w:val="000000" w:themeColor="text1"/>
              </w:rPr>
              <w:t>Access/Availability to Care</w:t>
            </w:r>
            <w:bookmarkEnd w:id="38"/>
            <w:bookmarkEnd w:id="39"/>
            <w:bookmarkEnd w:id="40"/>
            <w:bookmarkEnd w:id="41"/>
            <w:bookmarkEnd w:id="42"/>
            <w:bookmarkEnd w:id="43"/>
            <w:bookmarkEnd w:id="44"/>
            <w:bookmarkEnd w:id="45"/>
            <w:bookmarkEnd w:id="46"/>
            <w:bookmarkEnd w:id="47"/>
            <w:bookmarkEnd w:id="48"/>
            <w:bookmarkEnd w:id="49"/>
            <w:bookmarkEnd w:id="50"/>
          </w:p>
        </w:tc>
      </w:tr>
      <w:tr w:rsidR="004602C2" w:rsidRPr="00F7033D" w14:paraId="49ABEF84" w14:textId="77777777" w:rsidTr="00231C6F">
        <w:trPr>
          <w:cantSplit/>
          <w:trHeight w:val="20"/>
        </w:trPr>
        <w:tc>
          <w:tcPr>
            <w:tcW w:w="738" w:type="pct"/>
            <w:vAlign w:val="center"/>
          </w:tcPr>
          <w:p w14:paraId="4C806DE9" w14:textId="77777777" w:rsidR="004602C2" w:rsidRPr="00F7033D" w:rsidRDefault="004602C2" w:rsidP="00723ED5">
            <w:pPr>
              <w:jc w:val="center"/>
              <w:rPr>
                <w:rFonts w:eastAsia="Times New Roman" w:cstheme="minorHAnsi"/>
              </w:rPr>
            </w:pPr>
            <w:r w:rsidRPr="00F7033D">
              <w:rPr>
                <w:rFonts w:eastAsia="Times New Roman" w:cstheme="minorHAnsi"/>
              </w:rPr>
              <w:t>PA EQR</w:t>
            </w:r>
          </w:p>
        </w:tc>
        <w:tc>
          <w:tcPr>
            <w:tcW w:w="4262" w:type="pct"/>
            <w:vAlign w:val="center"/>
          </w:tcPr>
          <w:p w14:paraId="76057023" w14:textId="18357FE7" w:rsidR="004602C2" w:rsidRPr="00F7033D" w:rsidRDefault="004602C2" w:rsidP="00723ED5">
            <w:pPr>
              <w:jc w:val="left"/>
              <w:rPr>
                <w:rFonts w:eastAsia="Times New Roman" w:cstheme="minorHAnsi"/>
              </w:rPr>
            </w:pPr>
            <w:r w:rsidRPr="00F7033D">
              <w:rPr>
                <w:rFonts w:eastAsia="Times New Roman" w:cstheme="minorHAnsi"/>
              </w:rPr>
              <w:t>Contraceptive Care for All Women (Age</w:t>
            </w:r>
            <w:r w:rsidR="001D72C2">
              <w:rPr>
                <w:rFonts w:eastAsia="Times New Roman" w:cstheme="minorHAnsi"/>
              </w:rPr>
              <w:t>s</w:t>
            </w:r>
            <w:r w:rsidRPr="00F7033D">
              <w:rPr>
                <w:rFonts w:eastAsia="Times New Roman" w:cstheme="minorHAnsi"/>
              </w:rPr>
              <w:t xml:space="preserve"> 15–20 years): Most/Moderately Effective </w:t>
            </w:r>
          </w:p>
        </w:tc>
      </w:tr>
      <w:tr w:rsidR="004602C2" w:rsidRPr="00F7033D" w14:paraId="118A69B5" w14:textId="77777777" w:rsidTr="00231C6F">
        <w:trPr>
          <w:cantSplit/>
          <w:trHeight w:val="20"/>
        </w:trPr>
        <w:tc>
          <w:tcPr>
            <w:tcW w:w="738" w:type="pct"/>
            <w:vAlign w:val="center"/>
          </w:tcPr>
          <w:p w14:paraId="64107E15" w14:textId="77777777" w:rsidR="004602C2" w:rsidRPr="00F7033D" w:rsidRDefault="004602C2" w:rsidP="00723ED5">
            <w:pPr>
              <w:jc w:val="center"/>
              <w:rPr>
                <w:rFonts w:eastAsia="Times New Roman" w:cstheme="minorHAnsi"/>
              </w:rPr>
            </w:pPr>
            <w:r w:rsidRPr="00F7033D">
              <w:rPr>
                <w:rFonts w:eastAsia="Times New Roman" w:cstheme="minorHAnsi"/>
              </w:rPr>
              <w:t>PA EQR</w:t>
            </w:r>
          </w:p>
        </w:tc>
        <w:tc>
          <w:tcPr>
            <w:tcW w:w="4262" w:type="pct"/>
            <w:vAlign w:val="center"/>
          </w:tcPr>
          <w:p w14:paraId="67C1D161" w14:textId="57789164" w:rsidR="004602C2" w:rsidRPr="00F7033D" w:rsidRDefault="004602C2" w:rsidP="00723ED5">
            <w:pPr>
              <w:jc w:val="left"/>
              <w:rPr>
                <w:rFonts w:eastAsia="Times New Roman" w:cstheme="minorHAnsi"/>
              </w:rPr>
            </w:pPr>
            <w:r w:rsidRPr="00F7033D">
              <w:rPr>
                <w:rFonts w:eastAsia="Times New Roman" w:cstheme="minorHAnsi"/>
              </w:rPr>
              <w:t>Contraceptive Care for All Women (Age</w:t>
            </w:r>
            <w:r w:rsidR="001D72C2">
              <w:rPr>
                <w:rFonts w:eastAsia="Times New Roman" w:cstheme="minorHAnsi"/>
              </w:rPr>
              <w:t>s</w:t>
            </w:r>
            <w:r w:rsidRPr="00F7033D">
              <w:rPr>
                <w:rFonts w:eastAsia="Times New Roman" w:cstheme="minorHAnsi"/>
              </w:rPr>
              <w:t xml:space="preserve"> 15–20 years): LARC </w:t>
            </w:r>
          </w:p>
        </w:tc>
      </w:tr>
      <w:tr w:rsidR="004602C2" w:rsidRPr="00F7033D" w14:paraId="14DF9157" w14:textId="77777777" w:rsidTr="00231C6F">
        <w:trPr>
          <w:cantSplit/>
          <w:trHeight w:val="20"/>
        </w:trPr>
        <w:tc>
          <w:tcPr>
            <w:tcW w:w="738" w:type="pct"/>
            <w:vAlign w:val="center"/>
          </w:tcPr>
          <w:p w14:paraId="0605F4B6" w14:textId="77777777" w:rsidR="004602C2" w:rsidRPr="00F7033D" w:rsidRDefault="004602C2" w:rsidP="00723ED5">
            <w:pPr>
              <w:jc w:val="center"/>
              <w:rPr>
                <w:rFonts w:eastAsia="Times New Roman" w:cstheme="minorHAnsi"/>
              </w:rPr>
            </w:pPr>
            <w:r w:rsidRPr="00F7033D">
              <w:rPr>
                <w:rFonts w:eastAsia="Times New Roman" w:cstheme="minorHAnsi"/>
              </w:rPr>
              <w:t>PA EQR</w:t>
            </w:r>
          </w:p>
        </w:tc>
        <w:tc>
          <w:tcPr>
            <w:tcW w:w="4262" w:type="pct"/>
            <w:vAlign w:val="center"/>
          </w:tcPr>
          <w:p w14:paraId="2D89A72F" w14:textId="476E8650" w:rsidR="004602C2" w:rsidRPr="00F7033D" w:rsidRDefault="004602C2" w:rsidP="00723ED5">
            <w:pPr>
              <w:jc w:val="left"/>
              <w:rPr>
                <w:rFonts w:eastAsia="Times New Roman" w:cstheme="minorHAnsi"/>
              </w:rPr>
            </w:pPr>
            <w:r w:rsidRPr="00F7033D">
              <w:rPr>
                <w:rFonts w:eastAsia="Times New Roman" w:cstheme="minorHAnsi"/>
              </w:rPr>
              <w:t>Contraceptive Care for Postpartum Women (Age</w:t>
            </w:r>
            <w:r w:rsidR="001D72C2">
              <w:rPr>
                <w:rFonts w:eastAsia="Times New Roman" w:cstheme="minorHAnsi"/>
              </w:rPr>
              <w:t>s</w:t>
            </w:r>
            <w:r w:rsidRPr="00F7033D">
              <w:rPr>
                <w:rFonts w:eastAsia="Times New Roman" w:cstheme="minorHAnsi"/>
              </w:rPr>
              <w:t xml:space="preserve"> 15–20 years): Most/Moderately Effective—3 days </w:t>
            </w:r>
          </w:p>
        </w:tc>
      </w:tr>
      <w:tr w:rsidR="004602C2" w:rsidRPr="00F7033D" w14:paraId="3B81CF06" w14:textId="77777777" w:rsidTr="00231C6F">
        <w:trPr>
          <w:cantSplit/>
          <w:trHeight w:val="20"/>
        </w:trPr>
        <w:tc>
          <w:tcPr>
            <w:tcW w:w="738" w:type="pct"/>
            <w:vAlign w:val="center"/>
          </w:tcPr>
          <w:p w14:paraId="5FD77339" w14:textId="77777777" w:rsidR="004602C2" w:rsidRPr="00F7033D" w:rsidRDefault="004602C2" w:rsidP="00723ED5">
            <w:pPr>
              <w:jc w:val="center"/>
              <w:rPr>
                <w:rFonts w:eastAsia="Times New Roman" w:cstheme="minorHAnsi"/>
              </w:rPr>
            </w:pPr>
            <w:r w:rsidRPr="00F7033D">
              <w:rPr>
                <w:rFonts w:eastAsia="Times New Roman" w:cstheme="minorHAnsi"/>
              </w:rPr>
              <w:t>PA EQR</w:t>
            </w:r>
          </w:p>
        </w:tc>
        <w:tc>
          <w:tcPr>
            <w:tcW w:w="4262" w:type="pct"/>
            <w:vAlign w:val="center"/>
          </w:tcPr>
          <w:p w14:paraId="676C2985" w14:textId="762394DC" w:rsidR="004602C2" w:rsidRPr="00F7033D" w:rsidRDefault="004602C2" w:rsidP="00723ED5">
            <w:pPr>
              <w:jc w:val="left"/>
              <w:rPr>
                <w:rFonts w:eastAsia="Times New Roman" w:cstheme="minorHAnsi"/>
              </w:rPr>
            </w:pPr>
            <w:r w:rsidRPr="00F7033D">
              <w:rPr>
                <w:rFonts w:eastAsia="Times New Roman" w:cstheme="minorHAnsi"/>
              </w:rPr>
              <w:t>Contraceptive Care for Postpartum Women (Age</w:t>
            </w:r>
            <w:r w:rsidR="001D72C2">
              <w:rPr>
                <w:rFonts w:eastAsia="Times New Roman" w:cstheme="minorHAnsi"/>
              </w:rPr>
              <w:t>s</w:t>
            </w:r>
            <w:r w:rsidRPr="00F7033D">
              <w:rPr>
                <w:rFonts w:eastAsia="Times New Roman" w:cstheme="minorHAnsi"/>
              </w:rPr>
              <w:t xml:space="preserve"> 15–20 years): Most/Moderately Effective—60 days </w:t>
            </w:r>
          </w:p>
        </w:tc>
      </w:tr>
      <w:tr w:rsidR="004602C2" w:rsidRPr="00F7033D" w14:paraId="39B2791C" w14:textId="77777777" w:rsidTr="00231C6F">
        <w:trPr>
          <w:cantSplit/>
          <w:trHeight w:val="20"/>
        </w:trPr>
        <w:tc>
          <w:tcPr>
            <w:tcW w:w="738" w:type="pct"/>
            <w:vAlign w:val="center"/>
          </w:tcPr>
          <w:p w14:paraId="7DEFEEBF" w14:textId="77777777" w:rsidR="004602C2" w:rsidRPr="00F7033D" w:rsidRDefault="004602C2" w:rsidP="00723ED5">
            <w:pPr>
              <w:jc w:val="center"/>
              <w:rPr>
                <w:rFonts w:eastAsia="Times New Roman" w:cstheme="minorHAnsi"/>
              </w:rPr>
            </w:pPr>
            <w:r w:rsidRPr="00F7033D">
              <w:rPr>
                <w:rFonts w:eastAsia="Times New Roman" w:cstheme="minorHAnsi"/>
              </w:rPr>
              <w:t>PA EQR</w:t>
            </w:r>
          </w:p>
        </w:tc>
        <w:tc>
          <w:tcPr>
            <w:tcW w:w="4262" w:type="pct"/>
            <w:vAlign w:val="center"/>
          </w:tcPr>
          <w:p w14:paraId="78A6FFDB" w14:textId="4E12A80B" w:rsidR="004602C2" w:rsidRPr="00F7033D" w:rsidRDefault="004602C2" w:rsidP="00723ED5">
            <w:pPr>
              <w:jc w:val="left"/>
              <w:rPr>
                <w:rFonts w:eastAsia="Times New Roman" w:cstheme="minorHAnsi"/>
              </w:rPr>
            </w:pPr>
            <w:r w:rsidRPr="00F7033D">
              <w:rPr>
                <w:rFonts w:eastAsia="Times New Roman" w:cstheme="minorHAnsi"/>
              </w:rPr>
              <w:t>Contraceptive Care for Postpartum Women (Age</w:t>
            </w:r>
            <w:r w:rsidR="001D72C2">
              <w:rPr>
                <w:rFonts w:eastAsia="Times New Roman" w:cstheme="minorHAnsi"/>
              </w:rPr>
              <w:t>s</w:t>
            </w:r>
            <w:r w:rsidRPr="00F7033D">
              <w:rPr>
                <w:rFonts w:eastAsia="Times New Roman" w:cstheme="minorHAnsi"/>
              </w:rPr>
              <w:t xml:space="preserve"> 15–20 years): LARC—3 days </w:t>
            </w:r>
          </w:p>
        </w:tc>
      </w:tr>
      <w:tr w:rsidR="004602C2" w:rsidRPr="00F7033D" w14:paraId="702B710F" w14:textId="77777777" w:rsidTr="00231C6F">
        <w:trPr>
          <w:cantSplit/>
          <w:trHeight w:val="20"/>
        </w:trPr>
        <w:tc>
          <w:tcPr>
            <w:tcW w:w="738" w:type="pct"/>
            <w:vAlign w:val="center"/>
          </w:tcPr>
          <w:p w14:paraId="0EDCE717" w14:textId="77777777" w:rsidR="004602C2" w:rsidRPr="00F7033D" w:rsidRDefault="004602C2" w:rsidP="00723ED5">
            <w:pPr>
              <w:jc w:val="center"/>
              <w:rPr>
                <w:rFonts w:eastAsia="Times New Roman" w:cstheme="minorHAnsi"/>
              </w:rPr>
            </w:pPr>
            <w:r w:rsidRPr="00F7033D">
              <w:rPr>
                <w:rFonts w:eastAsia="Times New Roman" w:cstheme="minorHAnsi"/>
              </w:rPr>
              <w:t>PA EQR</w:t>
            </w:r>
          </w:p>
        </w:tc>
        <w:tc>
          <w:tcPr>
            <w:tcW w:w="4262" w:type="pct"/>
            <w:vAlign w:val="center"/>
          </w:tcPr>
          <w:p w14:paraId="4B9A0E82" w14:textId="3CC58C08" w:rsidR="004602C2" w:rsidRPr="00F7033D" w:rsidRDefault="004602C2" w:rsidP="00723ED5">
            <w:pPr>
              <w:jc w:val="left"/>
              <w:rPr>
                <w:rFonts w:eastAsia="Times New Roman" w:cstheme="minorHAnsi"/>
              </w:rPr>
            </w:pPr>
            <w:r w:rsidRPr="00F7033D">
              <w:rPr>
                <w:rFonts w:eastAsia="Times New Roman" w:cstheme="minorHAnsi"/>
              </w:rPr>
              <w:t>Contraceptive Care for Postpartum Women (Age</w:t>
            </w:r>
            <w:r w:rsidR="001D72C2">
              <w:rPr>
                <w:rFonts w:eastAsia="Times New Roman" w:cstheme="minorHAnsi"/>
              </w:rPr>
              <w:t>s</w:t>
            </w:r>
            <w:r w:rsidRPr="00F7033D">
              <w:rPr>
                <w:rFonts w:eastAsia="Times New Roman" w:cstheme="minorHAnsi"/>
              </w:rPr>
              <w:t xml:space="preserve"> 15–20 years): LARC—60 days </w:t>
            </w:r>
          </w:p>
        </w:tc>
      </w:tr>
      <w:tr w:rsidR="004602C2" w:rsidRPr="00F7033D" w14:paraId="554A18AA" w14:textId="77777777" w:rsidTr="00723ED5">
        <w:trPr>
          <w:cantSplit/>
          <w:trHeight w:val="20"/>
        </w:trPr>
        <w:tc>
          <w:tcPr>
            <w:tcW w:w="5000" w:type="pct"/>
            <w:gridSpan w:val="2"/>
            <w:shd w:val="clear" w:color="auto" w:fill="CCC0D9" w:themeFill="accent4" w:themeFillTint="66"/>
            <w:vAlign w:val="center"/>
          </w:tcPr>
          <w:p w14:paraId="1D4AAFE1" w14:textId="77777777" w:rsidR="004602C2" w:rsidRPr="00F7033D" w:rsidRDefault="004602C2" w:rsidP="00723ED5">
            <w:pPr>
              <w:rPr>
                <w:rFonts w:cstheme="minorHAnsi"/>
                <w:color w:val="000000" w:themeColor="text1"/>
              </w:rPr>
            </w:pPr>
            <w:bookmarkStart w:id="51" w:name="_Toc319061124"/>
            <w:bookmarkStart w:id="52" w:name="_Toc384162330"/>
            <w:bookmarkStart w:id="53" w:name="_Toc417036744"/>
            <w:bookmarkStart w:id="54" w:name="_Toc447022725"/>
            <w:bookmarkStart w:id="55" w:name="_Toc447022860"/>
            <w:bookmarkStart w:id="56" w:name="_Toc447023160"/>
            <w:bookmarkStart w:id="57" w:name="_Toc447033104"/>
            <w:bookmarkStart w:id="58" w:name="_Toc447033225"/>
            <w:bookmarkStart w:id="59" w:name="_Toc447033736"/>
            <w:bookmarkStart w:id="60" w:name="_Toc447034003"/>
            <w:bookmarkStart w:id="61" w:name="_Toc447034819"/>
            <w:bookmarkStart w:id="62" w:name="_Toc447725851"/>
            <w:bookmarkStart w:id="63" w:name="_Toc449099970"/>
            <w:r w:rsidRPr="00F7033D">
              <w:rPr>
                <w:rFonts w:cstheme="minorHAnsi"/>
                <w:color w:val="000000" w:themeColor="text1"/>
              </w:rPr>
              <w:t>Well-Care Visits and Immunizations</w:t>
            </w:r>
            <w:bookmarkEnd w:id="51"/>
            <w:bookmarkEnd w:id="52"/>
            <w:bookmarkEnd w:id="53"/>
            <w:bookmarkEnd w:id="54"/>
            <w:bookmarkEnd w:id="55"/>
            <w:bookmarkEnd w:id="56"/>
            <w:bookmarkEnd w:id="57"/>
            <w:bookmarkEnd w:id="58"/>
            <w:bookmarkEnd w:id="59"/>
            <w:bookmarkEnd w:id="60"/>
            <w:bookmarkEnd w:id="61"/>
            <w:bookmarkEnd w:id="62"/>
            <w:bookmarkEnd w:id="63"/>
          </w:p>
        </w:tc>
      </w:tr>
      <w:tr w:rsidR="004602C2" w:rsidRPr="00F7033D" w14:paraId="76C9C23F" w14:textId="77777777" w:rsidTr="00231C6F">
        <w:trPr>
          <w:cantSplit/>
          <w:trHeight w:val="20"/>
        </w:trPr>
        <w:tc>
          <w:tcPr>
            <w:tcW w:w="738" w:type="pct"/>
            <w:vAlign w:val="center"/>
          </w:tcPr>
          <w:p w14:paraId="16A10801"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ABCC476" w14:textId="0199E72D" w:rsidR="004602C2" w:rsidRPr="00F7033D" w:rsidRDefault="004602C2" w:rsidP="00723ED5">
            <w:pPr>
              <w:jc w:val="left"/>
              <w:rPr>
                <w:rFonts w:eastAsia="Times New Roman" w:cstheme="minorHAnsi"/>
                <w:bCs/>
              </w:rPr>
            </w:pPr>
            <w:r w:rsidRPr="00F7033D">
              <w:rPr>
                <w:rFonts w:eastAsia="Times New Roman" w:cstheme="minorHAnsi"/>
                <w:bCs/>
              </w:rPr>
              <w:t>Weight Assessment and Counseling for Nutrition and Physical Activity for Children/Adolescents—Body Mass Index Percentile (Age</w:t>
            </w:r>
            <w:r w:rsidR="001D72C2">
              <w:rPr>
                <w:rFonts w:eastAsia="Times New Roman" w:cstheme="minorHAnsi"/>
                <w:bCs/>
              </w:rPr>
              <w:t>s</w:t>
            </w:r>
            <w:r w:rsidRPr="00F7033D">
              <w:rPr>
                <w:rFonts w:eastAsia="Times New Roman" w:cstheme="minorHAnsi"/>
                <w:bCs/>
              </w:rPr>
              <w:t xml:space="preserve"> 3–11 years)</w:t>
            </w:r>
          </w:p>
        </w:tc>
      </w:tr>
      <w:tr w:rsidR="004602C2" w:rsidRPr="00F7033D" w14:paraId="3CC98224" w14:textId="77777777" w:rsidTr="00231C6F">
        <w:trPr>
          <w:cantSplit/>
          <w:trHeight w:val="20"/>
        </w:trPr>
        <w:tc>
          <w:tcPr>
            <w:tcW w:w="738" w:type="pct"/>
            <w:vAlign w:val="center"/>
          </w:tcPr>
          <w:p w14:paraId="352DF3DB"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EF0F3E6" w14:textId="08465BC7" w:rsidR="004602C2" w:rsidRPr="00F7033D" w:rsidRDefault="004602C2" w:rsidP="00723ED5">
            <w:pPr>
              <w:jc w:val="left"/>
              <w:rPr>
                <w:rFonts w:eastAsia="Times New Roman" w:cstheme="minorHAnsi"/>
                <w:bCs/>
              </w:rPr>
            </w:pPr>
            <w:r w:rsidRPr="00F7033D">
              <w:rPr>
                <w:rFonts w:eastAsia="Times New Roman" w:cstheme="minorHAnsi"/>
                <w:bCs/>
              </w:rPr>
              <w:t>Weight Assessment and Counseling for Nutrition and Physical Activity for Children/Adolescents—Body Mass Index Percentile (Age</w:t>
            </w:r>
            <w:r w:rsidR="001D72C2">
              <w:rPr>
                <w:rFonts w:eastAsia="Times New Roman" w:cstheme="minorHAnsi"/>
                <w:bCs/>
              </w:rPr>
              <w:t>s</w:t>
            </w:r>
            <w:r w:rsidRPr="00F7033D">
              <w:rPr>
                <w:rFonts w:eastAsia="Times New Roman" w:cstheme="minorHAnsi"/>
                <w:bCs/>
              </w:rPr>
              <w:t xml:space="preserve"> 12–17 years)</w:t>
            </w:r>
          </w:p>
        </w:tc>
      </w:tr>
      <w:tr w:rsidR="004602C2" w:rsidRPr="00F7033D" w14:paraId="08E2115B" w14:textId="77777777" w:rsidTr="00231C6F">
        <w:trPr>
          <w:cantSplit/>
          <w:trHeight w:val="20"/>
        </w:trPr>
        <w:tc>
          <w:tcPr>
            <w:tcW w:w="738" w:type="pct"/>
            <w:vAlign w:val="center"/>
          </w:tcPr>
          <w:p w14:paraId="199272C7"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2249EBA6" w14:textId="77777777" w:rsidR="004602C2" w:rsidRPr="00F7033D" w:rsidRDefault="004602C2" w:rsidP="00723ED5">
            <w:pPr>
              <w:jc w:val="left"/>
              <w:rPr>
                <w:rFonts w:eastAsia="Times New Roman" w:cstheme="minorHAnsi"/>
                <w:bCs/>
              </w:rPr>
            </w:pPr>
            <w:r w:rsidRPr="00F7033D">
              <w:rPr>
                <w:rFonts w:eastAsia="Times New Roman" w:cstheme="minorHAnsi"/>
                <w:bCs/>
              </w:rPr>
              <w:t>Weight Assessment and Counseling for Nutrition and Physical Activity for Children/Adolescents—Body Mass Index Percentile (Total)</w:t>
            </w:r>
          </w:p>
        </w:tc>
      </w:tr>
      <w:tr w:rsidR="004602C2" w:rsidRPr="00F7033D" w14:paraId="44BB0C3C" w14:textId="77777777" w:rsidTr="00231C6F">
        <w:trPr>
          <w:cantSplit/>
          <w:trHeight w:val="20"/>
        </w:trPr>
        <w:tc>
          <w:tcPr>
            <w:tcW w:w="738" w:type="pct"/>
            <w:vAlign w:val="center"/>
          </w:tcPr>
          <w:p w14:paraId="63C07F90"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6AEA974B" w14:textId="0E3B9E24" w:rsidR="004602C2" w:rsidRPr="00F7033D" w:rsidRDefault="004602C2" w:rsidP="00723ED5">
            <w:pPr>
              <w:jc w:val="left"/>
              <w:rPr>
                <w:rFonts w:eastAsia="Times New Roman" w:cstheme="minorHAnsi"/>
                <w:bCs/>
              </w:rPr>
            </w:pPr>
            <w:r w:rsidRPr="00F7033D">
              <w:rPr>
                <w:rFonts w:eastAsia="Times New Roman" w:cstheme="minorHAnsi"/>
                <w:bCs/>
              </w:rPr>
              <w:t>Weight Assessment and Counseling for Nutrition and Physical Activity for Children/Adolescents—Counseling for Nutrition (Age</w:t>
            </w:r>
            <w:r w:rsidR="001D72C2">
              <w:rPr>
                <w:rFonts w:eastAsia="Times New Roman" w:cstheme="minorHAnsi"/>
                <w:bCs/>
              </w:rPr>
              <w:t>s</w:t>
            </w:r>
            <w:r w:rsidRPr="00F7033D">
              <w:rPr>
                <w:rFonts w:eastAsia="Times New Roman" w:cstheme="minorHAnsi"/>
                <w:bCs/>
              </w:rPr>
              <w:t xml:space="preserve"> 3–11 years) </w:t>
            </w:r>
          </w:p>
        </w:tc>
      </w:tr>
      <w:tr w:rsidR="004602C2" w:rsidRPr="00F7033D" w14:paraId="4A207CCC" w14:textId="77777777" w:rsidTr="00231C6F">
        <w:trPr>
          <w:cantSplit/>
          <w:trHeight w:val="20"/>
        </w:trPr>
        <w:tc>
          <w:tcPr>
            <w:tcW w:w="738" w:type="pct"/>
            <w:vAlign w:val="center"/>
          </w:tcPr>
          <w:p w14:paraId="56D13A87"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3BF39FD" w14:textId="202E7694" w:rsidR="004602C2" w:rsidRPr="00F7033D" w:rsidRDefault="004602C2" w:rsidP="00723ED5">
            <w:pPr>
              <w:jc w:val="left"/>
              <w:rPr>
                <w:rFonts w:eastAsia="Times New Roman" w:cstheme="minorHAnsi"/>
                <w:bCs/>
              </w:rPr>
            </w:pPr>
            <w:r w:rsidRPr="00F7033D">
              <w:rPr>
                <w:rFonts w:eastAsia="Times New Roman" w:cstheme="minorHAnsi"/>
                <w:bCs/>
              </w:rPr>
              <w:t>Weight Assessment and Counseling for Nutrition and Physical Activity for Children/Adolescents—Counseling for Nutrition (Age</w:t>
            </w:r>
            <w:r w:rsidR="001D72C2">
              <w:rPr>
                <w:rFonts w:eastAsia="Times New Roman" w:cstheme="minorHAnsi"/>
                <w:bCs/>
              </w:rPr>
              <w:t>s</w:t>
            </w:r>
            <w:r w:rsidRPr="00F7033D">
              <w:rPr>
                <w:rFonts w:eastAsia="Times New Roman" w:cstheme="minorHAnsi"/>
                <w:bCs/>
              </w:rPr>
              <w:t xml:space="preserve"> 12–17 years)</w:t>
            </w:r>
          </w:p>
        </w:tc>
      </w:tr>
      <w:tr w:rsidR="004602C2" w:rsidRPr="00F7033D" w14:paraId="5F7E824C" w14:textId="77777777" w:rsidTr="00231C6F">
        <w:trPr>
          <w:cantSplit/>
          <w:trHeight w:val="20"/>
        </w:trPr>
        <w:tc>
          <w:tcPr>
            <w:tcW w:w="738" w:type="pct"/>
            <w:vAlign w:val="center"/>
          </w:tcPr>
          <w:p w14:paraId="5B606870"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1C9371B9" w14:textId="77777777" w:rsidR="004602C2" w:rsidRPr="00F7033D" w:rsidRDefault="004602C2" w:rsidP="00723ED5">
            <w:pPr>
              <w:jc w:val="left"/>
              <w:rPr>
                <w:rFonts w:eastAsia="Times New Roman" w:cstheme="minorHAnsi"/>
                <w:bCs/>
              </w:rPr>
            </w:pPr>
            <w:r w:rsidRPr="00F7033D">
              <w:rPr>
                <w:rFonts w:eastAsia="Times New Roman" w:cstheme="minorHAnsi"/>
                <w:bCs/>
              </w:rPr>
              <w:t>Weight Assessment and Counseling for Nutrition and Physical Activity for Children/Adolescents—Counseling for Nutrition (Total)</w:t>
            </w:r>
          </w:p>
        </w:tc>
      </w:tr>
      <w:tr w:rsidR="004602C2" w:rsidRPr="00F7033D" w14:paraId="7D3B5B55" w14:textId="77777777" w:rsidTr="00231C6F">
        <w:trPr>
          <w:cantSplit/>
          <w:trHeight w:val="20"/>
        </w:trPr>
        <w:tc>
          <w:tcPr>
            <w:tcW w:w="738" w:type="pct"/>
            <w:vAlign w:val="center"/>
          </w:tcPr>
          <w:p w14:paraId="13599160"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6E2ADBB3" w14:textId="3187BD08" w:rsidR="004602C2" w:rsidRPr="00F7033D" w:rsidRDefault="004602C2" w:rsidP="00723ED5">
            <w:pPr>
              <w:jc w:val="left"/>
              <w:rPr>
                <w:rFonts w:eastAsia="Times New Roman" w:cstheme="minorHAnsi"/>
                <w:bCs/>
              </w:rPr>
            </w:pPr>
            <w:r w:rsidRPr="00F7033D">
              <w:rPr>
                <w:rFonts w:eastAsia="Times New Roman" w:cstheme="minorHAnsi"/>
                <w:bCs/>
              </w:rPr>
              <w:t>Weight Assessment and Counseling for Nutrition and Physical Activity for Children/Adolescents—Physical Activity (Age</w:t>
            </w:r>
            <w:r w:rsidR="001D72C2">
              <w:rPr>
                <w:rFonts w:eastAsia="Times New Roman" w:cstheme="minorHAnsi"/>
                <w:bCs/>
              </w:rPr>
              <w:t>s</w:t>
            </w:r>
            <w:r w:rsidRPr="00F7033D">
              <w:rPr>
                <w:rFonts w:eastAsia="Times New Roman" w:cstheme="minorHAnsi"/>
                <w:bCs/>
              </w:rPr>
              <w:t xml:space="preserve"> 3–11 years)</w:t>
            </w:r>
          </w:p>
        </w:tc>
      </w:tr>
      <w:tr w:rsidR="004602C2" w:rsidRPr="00F7033D" w14:paraId="2691B5DC" w14:textId="77777777" w:rsidTr="00231C6F">
        <w:trPr>
          <w:cantSplit/>
          <w:trHeight w:val="20"/>
        </w:trPr>
        <w:tc>
          <w:tcPr>
            <w:tcW w:w="738" w:type="pct"/>
            <w:vAlign w:val="center"/>
          </w:tcPr>
          <w:p w14:paraId="692BCF13"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50B40E34" w14:textId="3F6BB303" w:rsidR="004602C2" w:rsidRPr="00F7033D" w:rsidRDefault="004602C2" w:rsidP="00723ED5">
            <w:pPr>
              <w:jc w:val="left"/>
              <w:rPr>
                <w:rFonts w:eastAsia="Times New Roman" w:cstheme="minorHAnsi"/>
                <w:bCs/>
              </w:rPr>
            </w:pPr>
            <w:r w:rsidRPr="00F7033D">
              <w:rPr>
                <w:rFonts w:eastAsia="Times New Roman" w:cstheme="minorHAnsi"/>
                <w:bCs/>
              </w:rPr>
              <w:t>Weight Assessment and Counseling for Nutrition and Physical Activity for Children/Adolescents—Physical Activity (Age</w:t>
            </w:r>
            <w:r w:rsidR="001D72C2">
              <w:rPr>
                <w:rFonts w:eastAsia="Times New Roman" w:cstheme="minorHAnsi"/>
                <w:bCs/>
              </w:rPr>
              <w:t>s</w:t>
            </w:r>
            <w:r w:rsidRPr="00F7033D">
              <w:rPr>
                <w:rFonts w:eastAsia="Times New Roman" w:cstheme="minorHAnsi"/>
                <w:bCs/>
              </w:rPr>
              <w:t xml:space="preserve"> 12–17 years)</w:t>
            </w:r>
          </w:p>
        </w:tc>
      </w:tr>
      <w:tr w:rsidR="004602C2" w:rsidRPr="00F7033D" w14:paraId="46A89C13" w14:textId="77777777" w:rsidTr="00231C6F">
        <w:trPr>
          <w:cantSplit/>
          <w:trHeight w:val="20"/>
        </w:trPr>
        <w:tc>
          <w:tcPr>
            <w:tcW w:w="738" w:type="pct"/>
            <w:vAlign w:val="center"/>
          </w:tcPr>
          <w:p w14:paraId="3EFA9203" w14:textId="77777777" w:rsidR="004602C2" w:rsidRPr="00F7033D" w:rsidRDefault="004602C2" w:rsidP="00723ED5">
            <w:pPr>
              <w:jc w:val="center"/>
              <w:rPr>
                <w:rFonts w:cstheme="minorHAnsi"/>
              </w:rPr>
            </w:pPr>
            <w:r w:rsidRPr="00F7033D">
              <w:rPr>
                <w:rFonts w:cstheme="minorHAnsi"/>
              </w:rPr>
              <w:lastRenderedPageBreak/>
              <w:t>HEDIS</w:t>
            </w:r>
          </w:p>
        </w:tc>
        <w:tc>
          <w:tcPr>
            <w:tcW w:w="4262" w:type="pct"/>
            <w:vAlign w:val="center"/>
          </w:tcPr>
          <w:p w14:paraId="2DC055CE" w14:textId="77777777" w:rsidR="004602C2" w:rsidRPr="00F7033D" w:rsidRDefault="004602C2" w:rsidP="00723ED5">
            <w:pPr>
              <w:jc w:val="left"/>
              <w:rPr>
                <w:rFonts w:eastAsia="Times New Roman" w:cstheme="minorHAnsi"/>
                <w:bCs/>
              </w:rPr>
            </w:pPr>
            <w:r w:rsidRPr="00F7033D">
              <w:rPr>
                <w:rFonts w:eastAsia="Times New Roman" w:cstheme="minorHAnsi"/>
                <w:bCs/>
              </w:rPr>
              <w:t>Weight assessment and Counseling for Nutrition and Physical Activity for Children/Adolescents—Physical Activity (Total)</w:t>
            </w:r>
          </w:p>
        </w:tc>
      </w:tr>
      <w:tr w:rsidR="004602C2" w:rsidRPr="00F7033D" w14:paraId="1EA86A78" w14:textId="77777777" w:rsidTr="00231C6F">
        <w:trPr>
          <w:cantSplit/>
          <w:trHeight w:val="20"/>
        </w:trPr>
        <w:tc>
          <w:tcPr>
            <w:tcW w:w="738" w:type="pct"/>
            <w:vAlign w:val="center"/>
          </w:tcPr>
          <w:p w14:paraId="4D784F61"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1B8A2B36"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2—DTaP</w:t>
            </w:r>
          </w:p>
        </w:tc>
      </w:tr>
      <w:tr w:rsidR="004602C2" w:rsidRPr="00F7033D" w14:paraId="249F9F16" w14:textId="77777777" w:rsidTr="00231C6F">
        <w:trPr>
          <w:cantSplit/>
          <w:trHeight w:val="20"/>
        </w:trPr>
        <w:tc>
          <w:tcPr>
            <w:tcW w:w="738" w:type="pct"/>
            <w:vAlign w:val="center"/>
          </w:tcPr>
          <w:p w14:paraId="3E094BBF"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05ABA32D"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2—IPV</w:t>
            </w:r>
          </w:p>
        </w:tc>
      </w:tr>
      <w:tr w:rsidR="004602C2" w:rsidRPr="00F7033D" w14:paraId="2658A55D" w14:textId="77777777" w:rsidTr="00231C6F">
        <w:trPr>
          <w:cantSplit/>
          <w:trHeight w:val="20"/>
        </w:trPr>
        <w:tc>
          <w:tcPr>
            <w:tcW w:w="738" w:type="pct"/>
            <w:vAlign w:val="center"/>
          </w:tcPr>
          <w:p w14:paraId="1AA6C924"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0B7F1BC2"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2—MMR</w:t>
            </w:r>
          </w:p>
        </w:tc>
      </w:tr>
      <w:tr w:rsidR="004602C2" w:rsidRPr="00F7033D" w14:paraId="51AB60C5" w14:textId="77777777" w:rsidTr="00231C6F">
        <w:trPr>
          <w:cantSplit/>
          <w:trHeight w:val="20"/>
        </w:trPr>
        <w:tc>
          <w:tcPr>
            <w:tcW w:w="738" w:type="pct"/>
            <w:vAlign w:val="center"/>
          </w:tcPr>
          <w:p w14:paraId="31CCA9FE"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13A23A83"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w:t>
            </w:r>
            <w:proofErr w:type="spellStart"/>
            <w:r w:rsidRPr="00F7033D">
              <w:rPr>
                <w:rFonts w:eastAsia="Times New Roman" w:cstheme="minorHAnsi"/>
              </w:rPr>
              <w:t>Hi</w:t>
            </w:r>
            <w:r>
              <w:rPr>
                <w:rFonts w:eastAsia="Times New Roman" w:cstheme="minorHAnsi"/>
              </w:rPr>
              <w:t>B</w:t>
            </w:r>
            <w:proofErr w:type="spellEnd"/>
          </w:p>
        </w:tc>
      </w:tr>
      <w:tr w:rsidR="004602C2" w:rsidRPr="00F7033D" w14:paraId="010435E7" w14:textId="77777777" w:rsidTr="00231C6F">
        <w:trPr>
          <w:cantSplit/>
          <w:trHeight w:val="20"/>
        </w:trPr>
        <w:tc>
          <w:tcPr>
            <w:tcW w:w="738" w:type="pct"/>
            <w:vAlign w:val="center"/>
          </w:tcPr>
          <w:p w14:paraId="36AC53B6"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0C144769"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2—Hepatitis B</w:t>
            </w:r>
          </w:p>
        </w:tc>
      </w:tr>
      <w:tr w:rsidR="004602C2" w:rsidRPr="00F7033D" w14:paraId="1E53E76F" w14:textId="77777777" w:rsidTr="00231C6F">
        <w:trPr>
          <w:cantSplit/>
          <w:trHeight w:val="20"/>
        </w:trPr>
        <w:tc>
          <w:tcPr>
            <w:tcW w:w="738" w:type="pct"/>
            <w:vAlign w:val="center"/>
          </w:tcPr>
          <w:p w14:paraId="19949F95"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75BAE79A"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2—VZV</w:t>
            </w:r>
          </w:p>
        </w:tc>
      </w:tr>
      <w:tr w:rsidR="004602C2" w:rsidRPr="00F7033D" w14:paraId="73095E00" w14:textId="77777777" w:rsidTr="00231C6F">
        <w:trPr>
          <w:cantSplit/>
          <w:trHeight w:val="20"/>
        </w:trPr>
        <w:tc>
          <w:tcPr>
            <w:tcW w:w="738" w:type="pct"/>
            <w:vAlign w:val="center"/>
          </w:tcPr>
          <w:p w14:paraId="13E25F86"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6E77551E"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2—Pneumococcal Conjugate</w:t>
            </w:r>
          </w:p>
        </w:tc>
      </w:tr>
      <w:tr w:rsidR="004602C2" w:rsidRPr="00F7033D" w14:paraId="67CEF031" w14:textId="77777777" w:rsidTr="00231C6F">
        <w:trPr>
          <w:cantSplit/>
          <w:trHeight w:val="20"/>
        </w:trPr>
        <w:tc>
          <w:tcPr>
            <w:tcW w:w="738" w:type="pct"/>
            <w:vAlign w:val="center"/>
          </w:tcPr>
          <w:p w14:paraId="49681AD0"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9D97E4C"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2—Hepatitis A</w:t>
            </w:r>
          </w:p>
        </w:tc>
      </w:tr>
      <w:tr w:rsidR="004602C2" w:rsidRPr="00F7033D" w14:paraId="0416A0BD" w14:textId="77777777" w:rsidTr="00231C6F">
        <w:trPr>
          <w:cantSplit/>
          <w:trHeight w:val="20"/>
        </w:trPr>
        <w:tc>
          <w:tcPr>
            <w:tcW w:w="738" w:type="pct"/>
            <w:vAlign w:val="center"/>
          </w:tcPr>
          <w:p w14:paraId="08E165B1"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4A06DB44"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2—Rotavirus</w:t>
            </w:r>
          </w:p>
        </w:tc>
      </w:tr>
      <w:tr w:rsidR="004602C2" w:rsidRPr="00F7033D" w14:paraId="60C1E6DB" w14:textId="77777777" w:rsidTr="00231C6F">
        <w:trPr>
          <w:cantSplit/>
          <w:trHeight w:val="20"/>
        </w:trPr>
        <w:tc>
          <w:tcPr>
            <w:tcW w:w="738" w:type="pct"/>
            <w:vAlign w:val="center"/>
          </w:tcPr>
          <w:p w14:paraId="73212EC0"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5B0B6F83" w14:textId="77777777" w:rsidR="004602C2" w:rsidRPr="00F7033D" w:rsidRDefault="004602C2" w:rsidP="00723ED5">
            <w:pPr>
              <w:jc w:val="left"/>
              <w:rPr>
                <w:rFonts w:eastAsia="Times New Roman" w:cstheme="minorHAnsi"/>
              </w:rPr>
            </w:pPr>
            <w:r w:rsidRPr="00F7033D">
              <w:rPr>
                <w:rFonts w:eastAsia="Times New Roman" w:cstheme="minorHAnsi"/>
              </w:rPr>
              <w:t>Childhood Immunization Status by Age 2—Influenza</w:t>
            </w:r>
          </w:p>
        </w:tc>
      </w:tr>
      <w:tr w:rsidR="004602C2" w:rsidRPr="00F7033D" w14:paraId="231455DA" w14:textId="77777777" w:rsidTr="00231C6F">
        <w:trPr>
          <w:cantSplit/>
          <w:trHeight w:val="20"/>
        </w:trPr>
        <w:tc>
          <w:tcPr>
            <w:tcW w:w="738" w:type="pct"/>
            <w:vAlign w:val="center"/>
          </w:tcPr>
          <w:p w14:paraId="09C2397A"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7B23AF98" w14:textId="4BBF15EC" w:rsidR="004602C2" w:rsidRPr="00F7033D" w:rsidRDefault="004602C2" w:rsidP="00723ED5">
            <w:pPr>
              <w:jc w:val="left"/>
              <w:rPr>
                <w:rFonts w:eastAsia="Times New Roman" w:cstheme="minorHAnsi"/>
              </w:rPr>
            </w:pPr>
            <w:r w:rsidRPr="00F7033D">
              <w:rPr>
                <w:rFonts w:eastAsia="Times New Roman" w:cstheme="minorHAnsi"/>
              </w:rPr>
              <w:t>Childhood Immunizations Status by Age 2—Comb</w:t>
            </w:r>
            <w:r w:rsidR="001D72C2">
              <w:rPr>
                <w:rFonts w:eastAsia="Times New Roman" w:cstheme="minorHAnsi"/>
              </w:rPr>
              <w:t>ination</w:t>
            </w:r>
            <w:r w:rsidRPr="00F7033D">
              <w:rPr>
                <w:rFonts w:eastAsia="Times New Roman" w:cstheme="minorHAnsi"/>
              </w:rPr>
              <w:t xml:space="preserve"> 3</w:t>
            </w:r>
          </w:p>
        </w:tc>
      </w:tr>
      <w:tr w:rsidR="004602C2" w:rsidRPr="00F7033D" w14:paraId="16991720" w14:textId="77777777" w:rsidTr="00231C6F">
        <w:trPr>
          <w:cantSplit/>
          <w:trHeight w:val="20"/>
        </w:trPr>
        <w:tc>
          <w:tcPr>
            <w:tcW w:w="738" w:type="pct"/>
            <w:vAlign w:val="center"/>
          </w:tcPr>
          <w:p w14:paraId="5E2E5AF2"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363CC15" w14:textId="09782B94" w:rsidR="004602C2" w:rsidRPr="00F7033D" w:rsidRDefault="004602C2" w:rsidP="00723ED5">
            <w:pPr>
              <w:jc w:val="left"/>
              <w:rPr>
                <w:rFonts w:eastAsia="Times New Roman" w:cstheme="minorHAnsi"/>
              </w:rPr>
            </w:pPr>
            <w:r w:rsidRPr="00F7033D">
              <w:rPr>
                <w:rFonts w:eastAsia="Times New Roman" w:cstheme="minorHAnsi"/>
              </w:rPr>
              <w:t>Childhood Immunizations Status by Age 2—Comb</w:t>
            </w:r>
            <w:r w:rsidR="001D72C2">
              <w:rPr>
                <w:rFonts w:eastAsia="Times New Roman" w:cstheme="minorHAnsi"/>
              </w:rPr>
              <w:t>ination</w:t>
            </w:r>
            <w:r w:rsidRPr="00F7033D">
              <w:rPr>
                <w:rFonts w:eastAsia="Times New Roman" w:cstheme="minorHAnsi"/>
              </w:rPr>
              <w:t xml:space="preserve"> 7</w:t>
            </w:r>
          </w:p>
        </w:tc>
      </w:tr>
      <w:tr w:rsidR="004602C2" w:rsidRPr="00F7033D" w14:paraId="693E592E" w14:textId="77777777" w:rsidTr="00231C6F">
        <w:trPr>
          <w:cantSplit/>
          <w:trHeight w:val="20"/>
        </w:trPr>
        <w:tc>
          <w:tcPr>
            <w:tcW w:w="738" w:type="pct"/>
            <w:vAlign w:val="center"/>
          </w:tcPr>
          <w:p w14:paraId="0A18E3C5"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77E6B86E" w14:textId="75564D21" w:rsidR="004602C2" w:rsidRPr="00F7033D" w:rsidRDefault="004602C2" w:rsidP="00723ED5">
            <w:pPr>
              <w:jc w:val="left"/>
              <w:rPr>
                <w:rFonts w:eastAsia="Times New Roman" w:cstheme="minorHAnsi"/>
              </w:rPr>
            </w:pPr>
            <w:r w:rsidRPr="00F7033D">
              <w:rPr>
                <w:rFonts w:eastAsia="Times New Roman" w:cstheme="minorHAnsi"/>
              </w:rPr>
              <w:t>Childhood Immunizations Status by Age 2—Comb</w:t>
            </w:r>
            <w:r w:rsidR="00991654">
              <w:rPr>
                <w:rFonts w:eastAsia="Times New Roman" w:cstheme="minorHAnsi"/>
              </w:rPr>
              <w:t>ination</w:t>
            </w:r>
            <w:r w:rsidRPr="00F7033D">
              <w:rPr>
                <w:rFonts w:eastAsia="Times New Roman" w:cstheme="minorHAnsi"/>
              </w:rPr>
              <w:t xml:space="preserve"> 10</w:t>
            </w:r>
          </w:p>
        </w:tc>
      </w:tr>
      <w:tr w:rsidR="004602C2" w:rsidRPr="00F7033D" w14:paraId="264981CA" w14:textId="77777777" w:rsidTr="00231C6F">
        <w:trPr>
          <w:cantSplit/>
          <w:trHeight w:val="20"/>
        </w:trPr>
        <w:tc>
          <w:tcPr>
            <w:tcW w:w="738" w:type="pct"/>
            <w:vAlign w:val="center"/>
          </w:tcPr>
          <w:p w14:paraId="17F0386B"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75B11A43" w14:textId="77777777" w:rsidR="004602C2" w:rsidRPr="00F7033D" w:rsidRDefault="004602C2" w:rsidP="00723ED5">
            <w:pPr>
              <w:jc w:val="left"/>
              <w:rPr>
                <w:rFonts w:eastAsia="Times New Roman" w:cstheme="minorHAnsi"/>
                <w:bCs/>
              </w:rPr>
            </w:pPr>
            <w:r w:rsidRPr="00F7033D">
              <w:rPr>
                <w:rFonts w:eastAsia="Times New Roman" w:cstheme="minorHAnsi"/>
                <w:bCs/>
              </w:rPr>
              <w:t>Immunizations for Adolescents—Meningococcal</w:t>
            </w:r>
          </w:p>
        </w:tc>
      </w:tr>
      <w:tr w:rsidR="004602C2" w:rsidRPr="00F7033D" w14:paraId="7E9E9A65" w14:textId="77777777" w:rsidTr="00231C6F">
        <w:trPr>
          <w:cantSplit/>
          <w:trHeight w:val="20"/>
        </w:trPr>
        <w:tc>
          <w:tcPr>
            <w:tcW w:w="738" w:type="pct"/>
            <w:vAlign w:val="center"/>
          </w:tcPr>
          <w:p w14:paraId="6D04E930"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7072C93A" w14:textId="77777777" w:rsidR="004602C2" w:rsidRPr="00F7033D" w:rsidRDefault="004602C2" w:rsidP="00723ED5">
            <w:pPr>
              <w:jc w:val="left"/>
              <w:rPr>
                <w:rFonts w:eastAsia="Times New Roman" w:cstheme="minorHAnsi"/>
                <w:bCs/>
              </w:rPr>
            </w:pPr>
            <w:r w:rsidRPr="00F7033D">
              <w:rPr>
                <w:rFonts w:eastAsia="Times New Roman" w:cstheme="minorHAnsi"/>
                <w:bCs/>
              </w:rPr>
              <w:t>Immunizations for Adolescents—Tdap</w:t>
            </w:r>
          </w:p>
        </w:tc>
      </w:tr>
      <w:tr w:rsidR="004602C2" w:rsidRPr="00F7033D" w14:paraId="74C4394C" w14:textId="77777777" w:rsidTr="00231C6F">
        <w:trPr>
          <w:cantSplit/>
          <w:trHeight w:val="20"/>
        </w:trPr>
        <w:tc>
          <w:tcPr>
            <w:tcW w:w="738" w:type="pct"/>
            <w:vAlign w:val="center"/>
          </w:tcPr>
          <w:p w14:paraId="25961D4A"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0AEE5875" w14:textId="77777777" w:rsidR="004602C2" w:rsidRPr="00F7033D" w:rsidRDefault="004602C2" w:rsidP="00723ED5">
            <w:pPr>
              <w:jc w:val="left"/>
              <w:rPr>
                <w:rFonts w:eastAsia="Times New Roman" w:cstheme="minorHAnsi"/>
                <w:bCs/>
              </w:rPr>
            </w:pPr>
            <w:r w:rsidRPr="00F7033D">
              <w:rPr>
                <w:rFonts w:eastAsia="Times New Roman" w:cstheme="minorHAnsi"/>
                <w:bCs/>
              </w:rPr>
              <w:t>Immunizations for Adolescents—HPV</w:t>
            </w:r>
          </w:p>
        </w:tc>
      </w:tr>
      <w:tr w:rsidR="004602C2" w:rsidRPr="00F7033D" w14:paraId="6CAC75C4" w14:textId="77777777" w:rsidTr="00231C6F">
        <w:trPr>
          <w:cantSplit/>
          <w:trHeight w:val="20"/>
        </w:trPr>
        <w:tc>
          <w:tcPr>
            <w:tcW w:w="738" w:type="pct"/>
            <w:vAlign w:val="center"/>
          </w:tcPr>
          <w:p w14:paraId="26D70CAD"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230E0A43" w14:textId="77777777" w:rsidR="004602C2" w:rsidRPr="00F7033D" w:rsidRDefault="004602C2" w:rsidP="00723ED5">
            <w:pPr>
              <w:jc w:val="left"/>
              <w:rPr>
                <w:rFonts w:eastAsia="Times New Roman" w:cstheme="minorHAnsi"/>
                <w:bCs/>
              </w:rPr>
            </w:pPr>
            <w:r w:rsidRPr="00F7033D">
              <w:rPr>
                <w:rFonts w:eastAsia="Times New Roman" w:cstheme="minorHAnsi"/>
                <w:bCs/>
              </w:rPr>
              <w:t>Immunizations for Adolescents—Combination 1</w:t>
            </w:r>
          </w:p>
        </w:tc>
      </w:tr>
      <w:tr w:rsidR="004602C2" w:rsidRPr="00F7033D" w14:paraId="2C040DF7" w14:textId="77777777" w:rsidTr="00231C6F">
        <w:trPr>
          <w:cantSplit/>
          <w:trHeight w:val="20"/>
        </w:trPr>
        <w:tc>
          <w:tcPr>
            <w:tcW w:w="738" w:type="pct"/>
            <w:vAlign w:val="center"/>
          </w:tcPr>
          <w:p w14:paraId="2F2EE0B5"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46F4703" w14:textId="77777777" w:rsidR="004602C2" w:rsidRPr="00F7033D" w:rsidRDefault="004602C2" w:rsidP="00723ED5">
            <w:pPr>
              <w:jc w:val="left"/>
              <w:rPr>
                <w:rFonts w:eastAsia="Times New Roman" w:cstheme="minorHAnsi"/>
                <w:bCs/>
              </w:rPr>
            </w:pPr>
            <w:r w:rsidRPr="00F7033D">
              <w:rPr>
                <w:rFonts w:eastAsia="Times New Roman" w:cstheme="minorHAnsi"/>
                <w:bCs/>
              </w:rPr>
              <w:t>Immunizations for Adolescents—Combination 2</w:t>
            </w:r>
          </w:p>
        </w:tc>
      </w:tr>
      <w:tr w:rsidR="004602C2" w:rsidRPr="00F7033D" w14:paraId="0F77F849" w14:textId="77777777" w:rsidTr="00231C6F">
        <w:trPr>
          <w:cantSplit/>
          <w:trHeight w:val="20"/>
        </w:trPr>
        <w:tc>
          <w:tcPr>
            <w:tcW w:w="738" w:type="pct"/>
            <w:vAlign w:val="center"/>
          </w:tcPr>
          <w:p w14:paraId="32988856"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20B30949" w14:textId="627A2711" w:rsidR="004602C2" w:rsidRPr="00F7033D" w:rsidRDefault="004602C2" w:rsidP="00723ED5">
            <w:pPr>
              <w:jc w:val="left"/>
              <w:rPr>
                <w:rFonts w:eastAsia="Times New Roman" w:cstheme="minorHAnsi"/>
              </w:rPr>
            </w:pPr>
            <w:r w:rsidRPr="00F7033D">
              <w:rPr>
                <w:rFonts w:eastAsia="Times New Roman" w:cstheme="minorHAnsi"/>
              </w:rPr>
              <w:t>Well-Child Visits in the First 15 Months of Life (</w:t>
            </w:r>
            <w:r w:rsidR="00991654">
              <w:rPr>
                <w:rFonts w:eastAsia="Times New Roman" w:cstheme="minorHAnsi"/>
              </w:rPr>
              <w:t>≥</w:t>
            </w:r>
            <w:r w:rsidRPr="00F7033D">
              <w:rPr>
                <w:rFonts w:eastAsia="Times New Roman" w:cstheme="minorHAnsi"/>
              </w:rPr>
              <w:t xml:space="preserve"> 6 Visits)</w:t>
            </w:r>
          </w:p>
        </w:tc>
      </w:tr>
      <w:tr w:rsidR="004602C2" w:rsidRPr="00F7033D" w14:paraId="7088E9F1" w14:textId="77777777" w:rsidTr="00231C6F">
        <w:trPr>
          <w:cantSplit/>
          <w:trHeight w:val="20"/>
        </w:trPr>
        <w:tc>
          <w:tcPr>
            <w:tcW w:w="738" w:type="pct"/>
            <w:vAlign w:val="center"/>
          </w:tcPr>
          <w:p w14:paraId="087CB5EE"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35C21C9" w14:textId="557C9598" w:rsidR="004602C2" w:rsidRPr="00F7033D" w:rsidRDefault="004602C2" w:rsidP="00723ED5">
            <w:pPr>
              <w:rPr>
                <w:rFonts w:eastAsia="Times New Roman" w:cstheme="minorHAnsi"/>
              </w:rPr>
            </w:pPr>
            <w:r w:rsidRPr="00F7033D">
              <w:rPr>
                <w:rFonts w:eastAsia="Times New Roman" w:cstheme="minorHAnsi"/>
              </w:rPr>
              <w:t>Well-Child Visits in the First 30 Months of Life (</w:t>
            </w:r>
            <w:r w:rsidR="00991654">
              <w:rPr>
                <w:rFonts w:eastAsia="Times New Roman" w:cstheme="minorHAnsi"/>
              </w:rPr>
              <w:t>≥</w:t>
            </w:r>
            <w:r w:rsidRPr="007951ED">
              <w:rPr>
                <w:rFonts w:eastAsia="Times New Roman" w:cstheme="minorHAnsi"/>
              </w:rPr>
              <w:t xml:space="preserve"> 2 visits)</w:t>
            </w:r>
          </w:p>
        </w:tc>
      </w:tr>
      <w:tr w:rsidR="004602C2" w:rsidRPr="00F7033D" w14:paraId="70DEF886" w14:textId="77777777" w:rsidTr="00231C6F">
        <w:trPr>
          <w:cantSplit/>
          <w:trHeight w:val="20"/>
        </w:trPr>
        <w:tc>
          <w:tcPr>
            <w:tcW w:w="738" w:type="pct"/>
            <w:vAlign w:val="center"/>
          </w:tcPr>
          <w:p w14:paraId="4F83BF28" w14:textId="77777777" w:rsidR="004602C2" w:rsidRPr="00F7033D" w:rsidRDefault="004602C2" w:rsidP="00723ED5">
            <w:pPr>
              <w:jc w:val="center"/>
              <w:rPr>
                <w:rFonts w:cstheme="minorHAnsi"/>
              </w:rPr>
            </w:pPr>
            <w:bookmarkStart w:id="64" w:name="_Hlk94702970"/>
            <w:r w:rsidRPr="00F7033D">
              <w:rPr>
                <w:rFonts w:cstheme="minorHAnsi"/>
              </w:rPr>
              <w:t>HEDIS</w:t>
            </w:r>
          </w:p>
        </w:tc>
        <w:tc>
          <w:tcPr>
            <w:tcW w:w="4262" w:type="pct"/>
            <w:vAlign w:val="center"/>
          </w:tcPr>
          <w:p w14:paraId="0C493E12" w14:textId="1C820921" w:rsidR="004602C2" w:rsidRPr="00F7033D" w:rsidRDefault="004602C2" w:rsidP="00723ED5">
            <w:pPr>
              <w:rPr>
                <w:rFonts w:eastAsia="Times New Roman" w:cstheme="minorHAnsi"/>
              </w:rPr>
            </w:pPr>
            <w:r w:rsidRPr="00F7033D">
              <w:rPr>
                <w:rFonts w:eastAsia="Times New Roman" w:cstheme="minorHAnsi"/>
              </w:rPr>
              <w:t>Child and Adolescent Well-Care Visits (</w:t>
            </w:r>
            <w:r w:rsidR="00991654">
              <w:rPr>
                <w:rFonts w:eastAsia="Times New Roman" w:cstheme="minorHAnsi"/>
              </w:rPr>
              <w:t xml:space="preserve">Ages </w:t>
            </w:r>
            <w:r w:rsidRPr="00F7033D">
              <w:rPr>
                <w:rFonts w:eastAsia="Times New Roman" w:cstheme="minorHAnsi"/>
              </w:rPr>
              <w:t>3-11 years)</w:t>
            </w:r>
          </w:p>
        </w:tc>
      </w:tr>
      <w:bookmarkEnd w:id="64"/>
      <w:tr w:rsidR="004602C2" w:rsidRPr="00F7033D" w14:paraId="1102296A" w14:textId="77777777" w:rsidTr="00231C6F">
        <w:trPr>
          <w:cantSplit/>
          <w:trHeight w:val="20"/>
        </w:trPr>
        <w:tc>
          <w:tcPr>
            <w:tcW w:w="738" w:type="pct"/>
            <w:vAlign w:val="center"/>
          </w:tcPr>
          <w:p w14:paraId="34F13187"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2405E3D5" w14:textId="2966CFF2" w:rsidR="004602C2" w:rsidRPr="00F7033D" w:rsidRDefault="004602C2" w:rsidP="00723ED5">
            <w:pPr>
              <w:rPr>
                <w:rFonts w:eastAsia="Times New Roman" w:cstheme="minorHAnsi"/>
              </w:rPr>
            </w:pPr>
            <w:r w:rsidRPr="00F7033D">
              <w:rPr>
                <w:rFonts w:eastAsia="Times New Roman" w:cstheme="minorHAnsi"/>
              </w:rPr>
              <w:t>Child and Adolescent Well-Care Visits (</w:t>
            </w:r>
            <w:r w:rsidR="00991654">
              <w:rPr>
                <w:rFonts w:eastAsia="Times New Roman" w:cstheme="minorHAnsi"/>
              </w:rPr>
              <w:t xml:space="preserve">Ages </w:t>
            </w:r>
            <w:r w:rsidRPr="00F7033D">
              <w:rPr>
                <w:rFonts w:eastAsia="Times New Roman" w:cstheme="minorHAnsi"/>
              </w:rPr>
              <w:t>12-17 years)</w:t>
            </w:r>
          </w:p>
        </w:tc>
      </w:tr>
      <w:tr w:rsidR="004602C2" w:rsidRPr="00F7033D" w14:paraId="709985CC" w14:textId="77777777" w:rsidTr="00231C6F">
        <w:trPr>
          <w:cantSplit/>
          <w:trHeight w:val="20"/>
        </w:trPr>
        <w:tc>
          <w:tcPr>
            <w:tcW w:w="738" w:type="pct"/>
            <w:vAlign w:val="center"/>
          </w:tcPr>
          <w:p w14:paraId="1AFB827B"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DC95A49" w14:textId="129AC91D" w:rsidR="004602C2" w:rsidRPr="00F7033D" w:rsidRDefault="004602C2" w:rsidP="00723ED5">
            <w:pPr>
              <w:rPr>
                <w:rFonts w:eastAsia="Times New Roman" w:cstheme="minorHAnsi"/>
              </w:rPr>
            </w:pPr>
            <w:r w:rsidRPr="00F7033D">
              <w:rPr>
                <w:rFonts w:eastAsia="Times New Roman" w:cstheme="minorHAnsi"/>
              </w:rPr>
              <w:t>Child and Adolescent Well-Care Visits (</w:t>
            </w:r>
            <w:r w:rsidR="00991654">
              <w:rPr>
                <w:rFonts w:eastAsia="Times New Roman" w:cstheme="minorHAnsi"/>
              </w:rPr>
              <w:t xml:space="preserve">Ages </w:t>
            </w:r>
            <w:r w:rsidRPr="00F7033D">
              <w:rPr>
                <w:rFonts w:eastAsia="Times New Roman" w:cstheme="minorHAnsi"/>
              </w:rPr>
              <w:t>18-19 years)</w:t>
            </w:r>
          </w:p>
        </w:tc>
      </w:tr>
      <w:tr w:rsidR="004602C2" w:rsidRPr="00F7033D" w14:paraId="61B802F2" w14:textId="77777777" w:rsidTr="00231C6F">
        <w:trPr>
          <w:cantSplit/>
          <w:trHeight w:val="20"/>
        </w:trPr>
        <w:tc>
          <w:tcPr>
            <w:tcW w:w="738" w:type="pct"/>
            <w:vAlign w:val="center"/>
          </w:tcPr>
          <w:p w14:paraId="4CAED6CC"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6A733B54" w14:textId="358687B4" w:rsidR="004602C2" w:rsidRPr="00F7033D" w:rsidRDefault="004602C2" w:rsidP="00723ED5">
            <w:pPr>
              <w:rPr>
                <w:rFonts w:eastAsia="Times New Roman" w:cstheme="minorHAnsi"/>
              </w:rPr>
            </w:pPr>
            <w:r w:rsidRPr="00F7033D">
              <w:rPr>
                <w:rFonts w:eastAsia="Times New Roman" w:cstheme="minorHAnsi"/>
              </w:rPr>
              <w:t>Child and Adolescent Well-Care Visits (</w:t>
            </w:r>
            <w:r w:rsidR="00991654">
              <w:rPr>
                <w:rFonts w:eastAsia="Times New Roman" w:cstheme="minorHAnsi"/>
              </w:rPr>
              <w:t xml:space="preserve">Ages </w:t>
            </w:r>
            <w:r w:rsidRPr="00F7033D">
              <w:rPr>
                <w:rFonts w:eastAsia="Times New Roman" w:cstheme="minorHAnsi"/>
              </w:rPr>
              <w:t>3-19 years)</w:t>
            </w:r>
          </w:p>
        </w:tc>
      </w:tr>
      <w:tr w:rsidR="004602C2" w:rsidRPr="00F7033D" w14:paraId="57A49463" w14:textId="77777777" w:rsidTr="00723ED5">
        <w:trPr>
          <w:cantSplit/>
          <w:trHeight w:val="20"/>
        </w:trPr>
        <w:tc>
          <w:tcPr>
            <w:tcW w:w="5000" w:type="pct"/>
            <w:gridSpan w:val="2"/>
            <w:shd w:val="clear" w:color="auto" w:fill="CCC0D9" w:themeFill="accent4" w:themeFillTint="66"/>
            <w:vAlign w:val="center"/>
          </w:tcPr>
          <w:p w14:paraId="6B55DA4C" w14:textId="77777777" w:rsidR="004602C2" w:rsidRPr="00F7033D" w:rsidRDefault="004602C2" w:rsidP="00723ED5">
            <w:pPr>
              <w:rPr>
                <w:rFonts w:cstheme="minorHAnsi"/>
                <w:color w:val="000000" w:themeColor="text1"/>
              </w:rPr>
            </w:pPr>
            <w:bookmarkStart w:id="65" w:name="_Toc319061125"/>
            <w:bookmarkStart w:id="66" w:name="_Toc384162331"/>
            <w:bookmarkStart w:id="67" w:name="_Toc417036745"/>
            <w:bookmarkStart w:id="68" w:name="_Toc447022726"/>
            <w:bookmarkStart w:id="69" w:name="_Toc447022861"/>
            <w:bookmarkStart w:id="70" w:name="_Toc447023161"/>
            <w:bookmarkStart w:id="71" w:name="_Toc447033105"/>
            <w:bookmarkStart w:id="72" w:name="_Toc447033226"/>
            <w:bookmarkStart w:id="73" w:name="_Toc447033737"/>
            <w:bookmarkStart w:id="74" w:name="_Toc447034004"/>
            <w:bookmarkStart w:id="75" w:name="_Toc447034820"/>
            <w:bookmarkStart w:id="76" w:name="_Toc447725852"/>
            <w:bookmarkStart w:id="77" w:name="_Toc449099971"/>
            <w:r w:rsidRPr="00F7033D">
              <w:rPr>
                <w:rFonts w:cstheme="minorHAnsi"/>
                <w:color w:val="000000" w:themeColor="text1"/>
              </w:rPr>
              <w:t>Early and Periodic Screening, Diagnostic and Treatment (EPSDT): Screenings and Follow–up</w:t>
            </w:r>
            <w:bookmarkEnd w:id="65"/>
            <w:bookmarkEnd w:id="66"/>
            <w:bookmarkEnd w:id="67"/>
            <w:bookmarkEnd w:id="68"/>
            <w:bookmarkEnd w:id="69"/>
            <w:bookmarkEnd w:id="70"/>
            <w:bookmarkEnd w:id="71"/>
            <w:bookmarkEnd w:id="72"/>
            <w:bookmarkEnd w:id="73"/>
            <w:bookmarkEnd w:id="74"/>
            <w:bookmarkEnd w:id="75"/>
            <w:bookmarkEnd w:id="76"/>
            <w:bookmarkEnd w:id="77"/>
          </w:p>
        </w:tc>
      </w:tr>
      <w:tr w:rsidR="004602C2" w:rsidRPr="00F7033D" w14:paraId="1D34B4D0" w14:textId="77777777" w:rsidTr="00231C6F">
        <w:trPr>
          <w:cantSplit/>
          <w:trHeight w:val="20"/>
        </w:trPr>
        <w:tc>
          <w:tcPr>
            <w:tcW w:w="738" w:type="pct"/>
            <w:vAlign w:val="center"/>
          </w:tcPr>
          <w:p w14:paraId="5FDD80B1"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4F9EE143" w14:textId="77777777" w:rsidR="004602C2" w:rsidRPr="00F7033D" w:rsidRDefault="004602C2" w:rsidP="00723ED5">
            <w:pPr>
              <w:jc w:val="left"/>
              <w:rPr>
                <w:rFonts w:eastAsia="Times New Roman" w:cstheme="minorHAnsi"/>
              </w:rPr>
            </w:pPr>
            <w:r w:rsidRPr="00F7033D">
              <w:rPr>
                <w:rFonts w:eastAsia="Times New Roman" w:cstheme="minorHAnsi"/>
              </w:rPr>
              <w:t xml:space="preserve">Lead Screening in Children (Age 2 years) </w:t>
            </w:r>
          </w:p>
        </w:tc>
      </w:tr>
      <w:tr w:rsidR="004602C2" w:rsidRPr="00F7033D" w14:paraId="6724669F" w14:textId="77777777" w:rsidTr="00231C6F">
        <w:trPr>
          <w:cantSplit/>
          <w:trHeight w:val="20"/>
        </w:trPr>
        <w:tc>
          <w:tcPr>
            <w:tcW w:w="738" w:type="pct"/>
            <w:vAlign w:val="center"/>
          </w:tcPr>
          <w:p w14:paraId="0A095181"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22886F59" w14:textId="0F58E3D6" w:rsidR="004602C2" w:rsidRPr="00F7033D" w:rsidRDefault="004602C2" w:rsidP="00723ED5">
            <w:pPr>
              <w:jc w:val="left"/>
              <w:rPr>
                <w:rFonts w:eastAsia="Times New Roman" w:cstheme="minorHAnsi"/>
                <w:bCs/>
              </w:rPr>
            </w:pPr>
            <w:r w:rsidRPr="00F7033D">
              <w:rPr>
                <w:rFonts w:eastAsia="Times New Roman" w:cstheme="minorHAnsi"/>
                <w:bCs/>
              </w:rPr>
              <w:t>Chlamydia Screening in Women (</w:t>
            </w:r>
            <w:r w:rsidR="00991654">
              <w:rPr>
                <w:rFonts w:eastAsia="Times New Roman" w:cstheme="minorHAnsi"/>
                <w:bCs/>
              </w:rPr>
              <w:t xml:space="preserve">Ages </w:t>
            </w:r>
            <w:r w:rsidRPr="00F7033D">
              <w:rPr>
                <w:rFonts w:eastAsia="Times New Roman" w:cstheme="minorHAnsi"/>
                <w:bCs/>
              </w:rPr>
              <w:t>16</w:t>
            </w:r>
            <w:r w:rsidRPr="00F7033D">
              <w:rPr>
                <w:rFonts w:eastAsia="Times New Roman" w:cstheme="minorHAnsi"/>
              </w:rPr>
              <w:t>–</w:t>
            </w:r>
            <w:r w:rsidRPr="00F7033D">
              <w:rPr>
                <w:rFonts w:eastAsia="Times New Roman" w:cstheme="minorHAnsi"/>
                <w:bCs/>
              </w:rPr>
              <w:t>20 years)</w:t>
            </w:r>
          </w:p>
        </w:tc>
      </w:tr>
      <w:tr w:rsidR="004602C2" w:rsidRPr="00F7033D" w14:paraId="250ECE35" w14:textId="77777777" w:rsidTr="00231C6F">
        <w:trPr>
          <w:cantSplit/>
          <w:trHeight w:val="20"/>
        </w:trPr>
        <w:tc>
          <w:tcPr>
            <w:tcW w:w="738" w:type="pct"/>
            <w:vAlign w:val="center"/>
          </w:tcPr>
          <w:p w14:paraId="7A81D1ED" w14:textId="77777777" w:rsidR="004602C2" w:rsidRPr="00F7033D" w:rsidRDefault="004602C2" w:rsidP="00723ED5">
            <w:pPr>
              <w:jc w:val="center"/>
              <w:rPr>
                <w:rFonts w:eastAsia="Times New Roman" w:cstheme="minorHAnsi"/>
                <w:bCs/>
              </w:rPr>
            </w:pPr>
            <w:r w:rsidRPr="00F7033D">
              <w:rPr>
                <w:rFonts w:eastAsia="Times New Roman" w:cstheme="minorHAnsi"/>
                <w:bCs/>
              </w:rPr>
              <w:t>PA EQR</w:t>
            </w:r>
          </w:p>
        </w:tc>
        <w:tc>
          <w:tcPr>
            <w:tcW w:w="4262" w:type="pct"/>
            <w:vAlign w:val="center"/>
          </w:tcPr>
          <w:p w14:paraId="615F6E14" w14:textId="77777777" w:rsidR="004602C2" w:rsidRPr="00F7033D" w:rsidRDefault="004602C2" w:rsidP="00723ED5">
            <w:pPr>
              <w:jc w:val="left"/>
              <w:rPr>
                <w:rFonts w:eastAsia="Times New Roman" w:cstheme="minorHAnsi"/>
                <w:bCs/>
              </w:rPr>
            </w:pPr>
            <w:r w:rsidRPr="00F7033D">
              <w:rPr>
                <w:rFonts w:eastAsia="Times New Roman" w:cstheme="minorHAnsi"/>
                <w:bCs/>
              </w:rPr>
              <w:t>Developmental Screening in the First Three Years of Life—Total</w:t>
            </w:r>
          </w:p>
        </w:tc>
      </w:tr>
      <w:tr w:rsidR="004602C2" w:rsidRPr="00F7033D" w14:paraId="70F19CB1" w14:textId="77777777" w:rsidTr="00231C6F">
        <w:trPr>
          <w:cantSplit/>
          <w:trHeight w:val="20"/>
        </w:trPr>
        <w:tc>
          <w:tcPr>
            <w:tcW w:w="738" w:type="pct"/>
            <w:vAlign w:val="center"/>
          </w:tcPr>
          <w:p w14:paraId="44099208" w14:textId="77777777" w:rsidR="004602C2" w:rsidRPr="00F7033D" w:rsidRDefault="004602C2" w:rsidP="00723ED5">
            <w:pPr>
              <w:jc w:val="center"/>
              <w:rPr>
                <w:rFonts w:eastAsia="Times New Roman" w:cstheme="minorHAnsi"/>
                <w:bCs/>
              </w:rPr>
            </w:pPr>
            <w:r w:rsidRPr="00F7033D">
              <w:rPr>
                <w:rFonts w:eastAsia="Times New Roman" w:cstheme="minorHAnsi"/>
                <w:bCs/>
              </w:rPr>
              <w:t>PA EQR</w:t>
            </w:r>
          </w:p>
        </w:tc>
        <w:tc>
          <w:tcPr>
            <w:tcW w:w="4262" w:type="pct"/>
            <w:vAlign w:val="center"/>
          </w:tcPr>
          <w:p w14:paraId="3E342163" w14:textId="77777777" w:rsidR="004602C2" w:rsidRPr="00F7033D" w:rsidRDefault="004602C2" w:rsidP="00723ED5">
            <w:pPr>
              <w:jc w:val="left"/>
              <w:rPr>
                <w:rFonts w:eastAsia="Times New Roman" w:cstheme="minorHAnsi"/>
                <w:bCs/>
              </w:rPr>
            </w:pPr>
            <w:r w:rsidRPr="00F7033D">
              <w:rPr>
                <w:rFonts w:eastAsia="Times New Roman" w:cstheme="minorHAnsi"/>
                <w:bCs/>
              </w:rPr>
              <w:t>Developmental Screening in the First Three Years of Life—1 year</w:t>
            </w:r>
          </w:p>
        </w:tc>
      </w:tr>
      <w:tr w:rsidR="004602C2" w:rsidRPr="00F7033D" w14:paraId="2A9C0FE7" w14:textId="77777777" w:rsidTr="00231C6F">
        <w:trPr>
          <w:cantSplit/>
          <w:trHeight w:val="20"/>
        </w:trPr>
        <w:tc>
          <w:tcPr>
            <w:tcW w:w="738" w:type="pct"/>
            <w:vAlign w:val="center"/>
          </w:tcPr>
          <w:p w14:paraId="00152851" w14:textId="77777777" w:rsidR="004602C2" w:rsidRPr="00F7033D" w:rsidRDefault="004602C2" w:rsidP="00723ED5">
            <w:pPr>
              <w:jc w:val="center"/>
              <w:rPr>
                <w:rFonts w:eastAsia="Times New Roman" w:cstheme="minorHAnsi"/>
                <w:bCs/>
              </w:rPr>
            </w:pPr>
            <w:r w:rsidRPr="00F7033D">
              <w:rPr>
                <w:rFonts w:eastAsia="Times New Roman" w:cstheme="minorHAnsi"/>
                <w:bCs/>
              </w:rPr>
              <w:t>PA EQR</w:t>
            </w:r>
          </w:p>
        </w:tc>
        <w:tc>
          <w:tcPr>
            <w:tcW w:w="4262" w:type="pct"/>
            <w:vAlign w:val="center"/>
          </w:tcPr>
          <w:p w14:paraId="46B86233" w14:textId="77777777" w:rsidR="004602C2" w:rsidRPr="00F7033D" w:rsidRDefault="004602C2" w:rsidP="00723ED5">
            <w:pPr>
              <w:jc w:val="left"/>
              <w:rPr>
                <w:rFonts w:eastAsia="Times New Roman" w:cstheme="minorHAnsi"/>
                <w:bCs/>
              </w:rPr>
            </w:pPr>
            <w:r w:rsidRPr="00F7033D">
              <w:rPr>
                <w:rFonts w:eastAsia="Times New Roman" w:cstheme="minorHAnsi"/>
                <w:bCs/>
              </w:rPr>
              <w:t>Developmental Screening in the First Three Years of Life—2 years</w:t>
            </w:r>
          </w:p>
        </w:tc>
      </w:tr>
      <w:tr w:rsidR="004602C2" w:rsidRPr="00F7033D" w14:paraId="0D1D06A1" w14:textId="77777777" w:rsidTr="00231C6F">
        <w:trPr>
          <w:cantSplit/>
          <w:trHeight w:val="20"/>
        </w:trPr>
        <w:tc>
          <w:tcPr>
            <w:tcW w:w="738" w:type="pct"/>
            <w:vAlign w:val="center"/>
          </w:tcPr>
          <w:p w14:paraId="401ADC12" w14:textId="77777777" w:rsidR="004602C2" w:rsidRPr="00F7033D" w:rsidRDefault="004602C2" w:rsidP="00723ED5">
            <w:pPr>
              <w:jc w:val="center"/>
              <w:rPr>
                <w:rFonts w:eastAsia="Times New Roman" w:cstheme="minorHAnsi"/>
                <w:bCs/>
              </w:rPr>
            </w:pPr>
            <w:r w:rsidRPr="00F7033D">
              <w:rPr>
                <w:rFonts w:eastAsia="Times New Roman" w:cstheme="minorHAnsi"/>
                <w:bCs/>
              </w:rPr>
              <w:t>PA EQR</w:t>
            </w:r>
          </w:p>
        </w:tc>
        <w:tc>
          <w:tcPr>
            <w:tcW w:w="4262" w:type="pct"/>
            <w:vAlign w:val="center"/>
          </w:tcPr>
          <w:p w14:paraId="61797F7F" w14:textId="77777777" w:rsidR="004602C2" w:rsidRPr="00F7033D" w:rsidRDefault="004602C2" w:rsidP="00723ED5">
            <w:pPr>
              <w:jc w:val="left"/>
              <w:rPr>
                <w:rFonts w:eastAsia="Times New Roman" w:cstheme="minorHAnsi"/>
                <w:bCs/>
              </w:rPr>
            </w:pPr>
            <w:r w:rsidRPr="00F7033D">
              <w:rPr>
                <w:rFonts w:eastAsia="Times New Roman" w:cstheme="minorHAnsi"/>
                <w:bCs/>
              </w:rPr>
              <w:t>Developmental Screening in the First Three Years of Life—3 years</w:t>
            </w:r>
          </w:p>
        </w:tc>
      </w:tr>
      <w:tr w:rsidR="004602C2" w:rsidRPr="00F7033D" w14:paraId="5E3E88F1" w14:textId="77777777" w:rsidTr="00231C6F">
        <w:trPr>
          <w:cantSplit/>
          <w:trHeight w:val="20"/>
        </w:trPr>
        <w:tc>
          <w:tcPr>
            <w:tcW w:w="738" w:type="pct"/>
            <w:vAlign w:val="center"/>
          </w:tcPr>
          <w:p w14:paraId="2D93F9A6"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20DD20C2" w14:textId="77777777" w:rsidR="004602C2" w:rsidRPr="00F7033D" w:rsidRDefault="004602C2" w:rsidP="00723ED5">
            <w:pPr>
              <w:jc w:val="left"/>
              <w:rPr>
                <w:rFonts w:eastAsia="Times New Roman" w:cstheme="minorHAnsi"/>
                <w:bCs/>
              </w:rPr>
            </w:pPr>
            <w:r w:rsidRPr="00F7033D">
              <w:rPr>
                <w:rFonts w:eastAsia="Times New Roman" w:cstheme="minorHAnsi"/>
                <w:bCs/>
              </w:rPr>
              <w:t>Follow-up Care for Children Prescribed Attention Deficit Hyperactivity Disorder (ADHD)—Initiation Phase</w:t>
            </w:r>
          </w:p>
        </w:tc>
      </w:tr>
      <w:tr w:rsidR="004602C2" w:rsidRPr="00F7033D" w14:paraId="695E280E" w14:textId="77777777" w:rsidTr="00231C6F">
        <w:trPr>
          <w:cantSplit/>
          <w:trHeight w:val="20"/>
        </w:trPr>
        <w:tc>
          <w:tcPr>
            <w:tcW w:w="738" w:type="pct"/>
            <w:vAlign w:val="center"/>
          </w:tcPr>
          <w:p w14:paraId="201876EB"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6596E864" w14:textId="77777777" w:rsidR="004602C2" w:rsidRPr="00F7033D" w:rsidRDefault="004602C2" w:rsidP="00723ED5">
            <w:pPr>
              <w:jc w:val="left"/>
              <w:rPr>
                <w:rFonts w:eastAsia="Times New Roman" w:cstheme="minorHAnsi"/>
                <w:bCs/>
              </w:rPr>
            </w:pPr>
            <w:r w:rsidRPr="00F7033D">
              <w:rPr>
                <w:rFonts w:eastAsia="Times New Roman" w:cstheme="minorHAnsi"/>
                <w:bCs/>
              </w:rPr>
              <w:t>Follow-up Care for Children Prescribed Attention Deficit Hyperactivity Disorder (ADHD) Medication—Continuation and Maintenance Phase</w:t>
            </w:r>
          </w:p>
        </w:tc>
      </w:tr>
      <w:tr w:rsidR="004602C2" w:rsidRPr="00F7033D" w14:paraId="015FC536" w14:textId="77777777" w:rsidTr="00231C6F">
        <w:trPr>
          <w:cantSplit/>
          <w:trHeight w:val="20"/>
        </w:trPr>
        <w:tc>
          <w:tcPr>
            <w:tcW w:w="738" w:type="pct"/>
            <w:vAlign w:val="center"/>
          </w:tcPr>
          <w:p w14:paraId="5C339838"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42639534" w14:textId="77777777" w:rsidR="004602C2" w:rsidRPr="00F7033D" w:rsidRDefault="004602C2" w:rsidP="00723ED5">
            <w:pPr>
              <w:jc w:val="left"/>
              <w:rPr>
                <w:rFonts w:eastAsia="Times New Roman" w:cstheme="minorHAnsi"/>
              </w:rPr>
            </w:pPr>
            <w:r w:rsidRPr="00F7033D">
              <w:rPr>
                <w:rFonts w:eastAsia="Times New Roman" w:cstheme="minorHAnsi"/>
              </w:rPr>
              <w:t>Follow-up Care After Hospitalization for Mental Illness—7 Days</w:t>
            </w:r>
          </w:p>
        </w:tc>
      </w:tr>
      <w:tr w:rsidR="004602C2" w:rsidRPr="00F7033D" w14:paraId="55910A4C" w14:textId="77777777" w:rsidTr="00231C6F">
        <w:trPr>
          <w:cantSplit/>
          <w:trHeight w:val="20"/>
        </w:trPr>
        <w:tc>
          <w:tcPr>
            <w:tcW w:w="738" w:type="pct"/>
            <w:vAlign w:val="center"/>
          </w:tcPr>
          <w:p w14:paraId="521D4983"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4899F677" w14:textId="77777777" w:rsidR="004602C2" w:rsidRPr="00F7033D" w:rsidRDefault="004602C2" w:rsidP="00723ED5">
            <w:pPr>
              <w:jc w:val="left"/>
              <w:rPr>
                <w:rFonts w:eastAsia="Times New Roman" w:cstheme="minorHAnsi"/>
              </w:rPr>
            </w:pPr>
            <w:r w:rsidRPr="00F7033D">
              <w:rPr>
                <w:rFonts w:eastAsia="Times New Roman" w:cstheme="minorHAnsi"/>
              </w:rPr>
              <w:t>Follow-up Care After Hospitalization for Mental Illness—30 Days</w:t>
            </w:r>
          </w:p>
        </w:tc>
      </w:tr>
      <w:tr w:rsidR="004602C2" w:rsidRPr="00F7033D" w14:paraId="07666A1C" w14:textId="77777777" w:rsidTr="00723ED5">
        <w:trPr>
          <w:cantSplit/>
          <w:trHeight w:val="20"/>
        </w:trPr>
        <w:tc>
          <w:tcPr>
            <w:tcW w:w="5000" w:type="pct"/>
            <w:gridSpan w:val="2"/>
            <w:shd w:val="clear" w:color="auto" w:fill="CCC0D9" w:themeFill="accent4" w:themeFillTint="66"/>
          </w:tcPr>
          <w:p w14:paraId="3AA92E6A" w14:textId="77777777" w:rsidR="004602C2" w:rsidRPr="00F7033D" w:rsidRDefault="004602C2" w:rsidP="00723ED5">
            <w:pPr>
              <w:rPr>
                <w:rFonts w:cstheme="minorHAnsi"/>
                <w:color w:val="000000" w:themeColor="text1"/>
              </w:rPr>
            </w:pPr>
            <w:r w:rsidRPr="00F7033D">
              <w:rPr>
                <w:rFonts w:cstheme="minorHAnsi"/>
                <w:color w:val="000000" w:themeColor="text1"/>
              </w:rPr>
              <w:t>Dental Care for Children</w:t>
            </w:r>
          </w:p>
        </w:tc>
      </w:tr>
      <w:tr w:rsidR="004602C2" w:rsidRPr="00F7033D" w14:paraId="0513891D" w14:textId="77777777" w:rsidTr="00231C6F">
        <w:trPr>
          <w:cantSplit/>
          <w:trHeight w:val="20"/>
        </w:trPr>
        <w:tc>
          <w:tcPr>
            <w:tcW w:w="738" w:type="pct"/>
            <w:vAlign w:val="center"/>
          </w:tcPr>
          <w:p w14:paraId="7F01603A" w14:textId="77777777" w:rsidR="004602C2" w:rsidRPr="00F7033D" w:rsidRDefault="004602C2" w:rsidP="00723ED5">
            <w:pPr>
              <w:jc w:val="center"/>
              <w:rPr>
                <w:rFonts w:eastAsia="Times New Roman" w:cstheme="minorHAnsi"/>
              </w:rPr>
            </w:pPr>
            <w:r w:rsidRPr="00F7033D">
              <w:rPr>
                <w:rFonts w:cstheme="minorHAnsi"/>
              </w:rPr>
              <w:t>HEDIS</w:t>
            </w:r>
          </w:p>
        </w:tc>
        <w:tc>
          <w:tcPr>
            <w:tcW w:w="4262" w:type="pct"/>
            <w:vAlign w:val="center"/>
          </w:tcPr>
          <w:p w14:paraId="72D589C7" w14:textId="446ED808" w:rsidR="004602C2" w:rsidRPr="00F7033D" w:rsidRDefault="004602C2" w:rsidP="00723ED5">
            <w:pPr>
              <w:jc w:val="left"/>
              <w:rPr>
                <w:rFonts w:eastAsia="Times New Roman" w:cstheme="minorHAnsi"/>
              </w:rPr>
            </w:pPr>
            <w:r w:rsidRPr="00F7033D">
              <w:rPr>
                <w:rFonts w:eastAsia="Times New Roman" w:cstheme="minorHAnsi"/>
              </w:rPr>
              <w:t>Annual Dental Visit (</w:t>
            </w:r>
            <w:r w:rsidR="00991654">
              <w:rPr>
                <w:rFonts w:eastAsia="Times New Roman" w:cstheme="minorHAnsi"/>
              </w:rPr>
              <w:t xml:space="preserve">Ages </w:t>
            </w:r>
            <w:r w:rsidRPr="00F7033D">
              <w:rPr>
                <w:rFonts w:eastAsia="Times New Roman" w:cstheme="minorHAnsi"/>
              </w:rPr>
              <w:t>2–3 Years)</w:t>
            </w:r>
          </w:p>
        </w:tc>
      </w:tr>
      <w:tr w:rsidR="004602C2" w:rsidRPr="00F7033D" w14:paraId="04A1AC0B" w14:textId="77777777" w:rsidTr="00231C6F">
        <w:trPr>
          <w:cantSplit/>
          <w:trHeight w:val="20"/>
        </w:trPr>
        <w:tc>
          <w:tcPr>
            <w:tcW w:w="738" w:type="pct"/>
            <w:vAlign w:val="center"/>
          </w:tcPr>
          <w:p w14:paraId="597FCDB6" w14:textId="77777777" w:rsidR="004602C2" w:rsidRPr="00F7033D" w:rsidRDefault="004602C2" w:rsidP="00723ED5">
            <w:pPr>
              <w:jc w:val="center"/>
              <w:rPr>
                <w:rFonts w:eastAsia="Times New Roman" w:cstheme="minorHAnsi"/>
              </w:rPr>
            </w:pPr>
            <w:r w:rsidRPr="00F7033D">
              <w:rPr>
                <w:rFonts w:cstheme="minorHAnsi"/>
              </w:rPr>
              <w:t>HEDIS</w:t>
            </w:r>
          </w:p>
        </w:tc>
        <w:tc>
          <w:tcPr>
            <w:tcW w:w="4262" w:type="pct"/>
            <w:vAlign w:val="center"/>
          </w:tcPr>
          <w:p w14:paraId="1703B774" w14:textId="41E148B2" w:rsidR="004602C2" w:rsidRPr="00F7033D" w:rsidRDefault="004602C2" w:rsidP="00723ED5">
            <w:pPr>
              <w:jc w:val="left"/>
              <w:rPr>
                <w:rFonts w:eastAsia="Times New Roman" w:cstheme="minorHAnsi"/>
              </w:rPr>
            </w:pPr>
            <w:r w:rsidRPr="00F7033D">
              <w:rPr>
                <w:rFonts w:eastAsia="Times New Roman" w:cstheme="minorHAnsi"/>
              </w:rPr>
              <w:t>Annual Dental Visit (</w:t>
            </w:r>
            <w:r w:rsidR="00991654">
              <w:rPr>
                <w:rFonts w:eastAsia="Times New Roman" w:cstheme="minorHAnsi"/>
              </w:rPr>
              <w:t xml:space="preserve">Ages </w:t>
            </w:r>
            <w:r w:rsidRPr="00F7033D">
              <w:rPr>
                <w:rFonts w:eastAsia="Times New Roman" w:cstheme="minorHAnsi"/>
              </w:rPr>
              <w:t>4–6 Years)</w:t>
            </w:r>
          </w:p>
        </w:tc>
      </w:tr>
      <w:tr w:rsidR="004602C2" w:rsidRPr="00F7033D" w14:paraId="77A528E5" w14:textId="77777777" w:rsidTr="00231C6F">
        <w:trPr>
          <w:cantSplit/>
          <w:trHeight w:val="20"/>
        </w:trPr>
        <w:tc>
          <w:tcPr>
            <w:tcW w:w="738" w:type="pct"/>
            <w:vAlign w:val="center"/>
          </w:tcPr>
          <w:p w14:paraId="4951DFBD" w14:textId="77777777" w:rsidR="004602C2" w:rsidRPr="00F7033D" w:rsidRDefault="004602C2" w:rsidP="00723ED5">
            <w:pPr>
              <w:jc w:val="center"/>
              <w:rPr>
                <w:rFonts w:eastAsia="Times New Roman" w:cstheme="minorHAnsi"/>
              </w:rPr>
            </w:pPr>
            <w:r w:rsidRPr="00F7033D">
              <w:rPr>
                <w:rFonts w:cstheme="minorHAnsi"/>
              </w:rPr>
              <w:t>HEDIS</w:t>
            </w:r>
          </w:p>
        </w:tc>
        <w:tc>
          <w:tcPr>
            <w:tcW w:w="4262" w:type="pct"/>
            <w:vAlign w:val="center"/>
          </w:tcPr>
          <w:p w14:paraId="650122E9" w14:textId="75165FF0" w:rsidR="004602C2" w:rsidRPr="00F7033D" w:rsidRDefault="004602C2" w:rsidP="00723ED5">
            <w:pPr>
              <w:jc w:val="left"/>
              <w:rPr>
                <w:rFonts w:eastAsia="Times New Roman" w:cstheme="minorHAnsi"/>
              </w:rPr>
            </w:pPr>
            <w:r w:rsidRPr="00F7033D">
              <w:rPr>
                <w:rFonts w:eastAsia="Times New Roman" w:cstheme="minorHAnsi"/>
              </w:rPr>
              <w:t>Annual Dental Visit (</w:t>
            </w:r>
            <w:r w:rsidR="00991654">
              <w:rPr>
                <w:rFonts w:eastAsia="Times New Roman" w:cstheme="minorHAnsi"/>
              </w:rPr>
              <w:t xml:space="preserve">Ages </w:t>
            </w:r>
            <w:r w:rsidRPr="00F7033D">
              <w:rPr>
                <w:rFonts w:eastAsia="Times New Roman" w:cstheme="minorHAnsi"/>
              </w:rPr>
              <w:t>7–10 Years)</w:t>
            </w:r>
          </w:p>
        </w:tc>
      </w:tr>
      <w:tr w:rsidR="004602C2" w:rsidRPr="00F7033D" w14:paraId="66DE2013" w14:textId="77777777" w:rsidTr="00231C6F">
        <w:trPr>
          <w:cantSplit/>
          <w:trHeight w:val="20"/>
        </w:trPr>
        <w:tc>
          <w:tcPr>
            <w:tcW w:w="738" w:type="pct"/>
            <w:vAlign w:val="center"/>
          </w:tcPr>
          <w:p w14:paraId="161EDABF" w14:textId="77777777" w:rsidR="004602C2" w:rsidRPr="00F7033D" w:rsidRDefault="004602C2" w:rsidP="00723ED5">
            <w:pPr>
              <w:jc w:val="center"/>
              <w:rPr>
                <w:rFonts w:eastAsia="Times New Roman" w:cstheme="minorHAnsi"/>
              </w:rPr>
            </w:pPr>
            <w:r w:rsidRPr="00F7033D">
              <w:rPr>
                <w:rFonts w:cstheme="minorHAnsi"/>
              </w:rPr>
              <w:t>HEDIS</w:t>
            </w:r>
          </w:p>
        </w:tc>
        <w:tc>
          <w:tcPr>
            <w:tcW w:w="4262" w:type="pct"/>
            <w:vAlign w:val="center"/>
          </w:tcPr>
          <w:p w14:paraId="38BA871C" w14:textId="5778A7A4" w:rsidR="004602C2" w:rsidRPr="00F7033D" w:rsidRDefault="004602C2" w:rsidP="00723ED5">
            <w:pPr>
              <w:jc w:val="left"/>
              <w:rPr>
                <w:rFonts w:eastAsia="Times New Roman" w:cstheme="minorHAnsi"/>
              </w:rPr>
            </w:pPr>
            <w:r w:rsidRPr="00F7033D">
              <w:rPr>
                <w:rFonts w:eastAsia="Times New Roman" w:cstheme="minorHAnsi"/>
              </w:rPr>
              <w:t>Annual Dental Visit (</w:t>
            </w:r>
            <w:r w:rsidR="00991654">
              <w:rPr>
                <w:rFonts w:eastAsia="Times New Roman" w:cstheme="minorHAnsi"/>
              </w:rPr>
              <w:t xml:space="preserve">Ages </w:t>
            </w:r>
            <w:r w:rsidRPr="00F7033D">
              <w:rPr>
                <w:rFonts w:eastAsia="Times New Roman" w:cstheme="minorHAnsi"/>
              </w:rPr>
              <w:t>11–14 Years)</w:t>
            </w:r>
          </w:p>
        </w:tc>
      </w:tr>
      <w:tr w:rsidR="004602C2" w:rsidRPr="00F7033D" w14:paraId="0508EF59" w14:textId="77777777" w:rsidTr="00231C6F">
        <w:trPr>
          <w:cantSplit/>
          <w:trHeight w:val="20"/>
        </w:trPr>
        <w:tc>
          <w:tcPr>
            <w:tcW w:w="738" w:type="pct"/>
            <w:vAlign w:val="center"/>
          </w:tcPr>
          <w:p w14:paraId="7281701C" w14:textId="77777777" w:rsidR="004602C2" w:rsidRPr="00F7033D" w:rsidRDefault="004602C2" w:rsidP="00723ED5">
            <w:pPr>
              <w:jc w:val="center"/>
              <w:rPr>
                <w:rFonts w:eastAsia="Times New Roman" w:cstheme="minorHAnsi"/>
              </w:rPr>
            </w:pPr>
            <w:r w:rsidRPr="00F7033D">
              <w:rPr>
                <w:rFonts w:cstheme="minorHAnsi"/>
              </w:rPr>
              <w:t>HEDIS</w:t>
            </w:r>
          </w:p>
        </w:tc>
        <w:tc>
          <w:tcPr>
            <w:tcW w:w="4262" w:type="pct"/>
            <w:vAlign w:val="center"/>
          </w:tcPr>
          <w:p w14:paraId="6AB6E1FF" w14:textId="36BCA509" w:rsidR="004602C2" w:rsidRPr="00F7033D" w:rsidRDefault="004602C2" w:rsidP="00723ED5">
            <w:pPr>
              <w:jc w:val="left"/>
              <w:rPr>
                <w:rFonts w:eastAsia="Times New Roman" w:cstheme="minorHAnsi"/>
              </w:rPr>
            </w:pPr>
            <w:r w:rsidRPr="00F7033D">
              <w:rPr>
                <w:rFonts w:eastAsia="Times New Roman" w:cstheme="minorHAnsi"/>
              </w:rPr>
              <w:t>Annual Dental Visit (</w:t>
            </w:r>
            <w:r w:rsidR="00991654">
              <w:rPr>
                <w:rFonts w:eastAsia="Times New Roman" w:cstheme="minorHAnsi"/>
              </w:rPr>
              <w:t xml:space="preserve">Ages </w:t>
            </w:r>
            <w:r w:rsidRPr="00F7033D">
              <w:rPr>
                <w:rFonts w:eastAsia="Times New Roman" w:cstheme="minorHAnsi"/>
              </w:rPr>
              <w:t>15</w:t>
            </w:r>
            <w:bookmarkStart w:id="78" w:name="_Hlk100311905"/>
            <w:r w:rsidRPr="00F7033D">
              <w:rPr>
                <w:rFonts w:eastAsia="Times New Roman" w:cstheme="minorHAnsi"/>
              </w:rPr>
              <w:t>–</w:t>
            </w:r>
            <w:bookmarkEnd w:id="78"/>
            <w:r w:rsidRPr="00F7033D">
              <w:rPr>
                <w:rFonts w:eastAsia="Times New Roman" w:cstheme="minorHAnsi"/>
              </w:rPr>
              <w:t>18 Years)</w:t>
            </w:r>
          </w:p>
        </w:tc>
      </w:tr>
      <w:tr w:rsidR="004602C2" w:rsidRPr="00F7033D" w14:paraId="362C2AA2" w14:textId="77777777" w:rsidTr="00231C6F">
        <w:trPr>
          <w:cantSplit/>
          <w:trHeight w:val="20"/>
        </w:trPr>
        <w:tc>
          <w:tcPr>
            <w:tcW w:w="738" w:type="pct"/>
            <w:vAlign w:val="center"/>
          </w:tcPr>
          <w:p w14:paraId="42D2D889" w14:textId="77777777" w:rsidR="004602C2" w:rsidRPr="00F7033D" w:rsidRDefault="004602C2" w:rsidP="00723ED5">
            <w:pPr>
              <w:jc w:val="center"/>
              <w:rPr>
                <w:rFonts w:eastAsia="Times New Roman" w:cstheme="minorHAnsi"/>
              </w:rPr>
            </w:pPr>
            <w:r w:rsidRPr="00F7033D">
              <w:rPr>
                <w:rFonts w:cstheme="minorHAnsi"/>
              </w:rPr>
              <w:t>HEDIS</w:t>
            </w:r>
          </w:p>
        </w:tc>
        <w:tc>
          <w:tcPr>
            <w:tcW w:w="4262" w:type="pct"/>
            <w:vAlign w:val="center"/>
          </w:tcPr>
          <w:p w14:paraId="2DC9EA3E" w14:textId="0842E757" w:rsidR="004602C2" w:rsidRPr="00F7033D" w:rsidRDefault="004602C2" w:rsidP="00723ED5">
            <w:pPr>
              <w:jc w:val="left"/>
              <w:rPr>
                <w:rFonts w:eastAsia="Times New Roman" w:cstheme="minorHAnsi"/>
              </w:rPr>
            </w:pPr>
            <w:r w:rsidRPr="00F7033D">
              <w:rPr>
                <w:rFonts w:eastAsia="Times New Roman" w:cstheme="minorHAnsi"/>
              </w:rPr>
              <w:t>Annual Dental Visit (</w:t>
            </w:r>
            <w:r w:rsidR="00991654">
              <w:rPr>
                <w:rFonts w:eastAsia="Times New Roman" w:cstheme="minorHAnsi"/>
              </w:rPr>
              <w:t xml:space="preserve">Age </w:t>
            </w:r>
            <w:r w:rsidRPr="00F7033D">
              <w:rPr>
                <w:rFonts w:eastAsia="Times New Roman" w:cstheme="minorHAnsi"/>
              </w:rPr>
              <w:t>19</w:t>
            </w:r>
            <w:r>
              <w:rPr>
                <w:rFonts w:eastAsia="Times New Roman" w:cstheme="minorHAnsi"/>
              </w:rPr>
              <w:t xml:space="preserve"> Years)</w:t>
            </w:r>
          </w:p>
        </w:tc>
      </w:tr>
      <w:tr w:rsidR="004602C2" w:rsidRPr="00F7033D" w14:paraId="19A77EFA" w14:textId="77777777" w:rsidTr="00231C6F">
        <w:trPr>
          <w:cantSplit/>
          <w:trHeight w:val="20"/>
        </w:trPr>
        <w:tc>
          <w:tcPr>
            <w:tcW w:w="738" w:type="pct"/>
            <w:vAlign w:val="center"/>
          </w:tcPr>
          <w:p w14:paraId="576C6816" w14:textId="77777777" w:rsidR="004602C2" w:rsidRPr="00F7033D" w:rsidRDefault="004602C2" w:rsidP="00723ED5">
            <w:pPr>
              <w:jc w:val="center"/>
              <w:rPr>
                <w:rFonts w:eastAsia="Times New Roman" w:cstheme="minorHAnsi"/>
              </w:rPr>
            </w:pPr>
            <w:r w:rsidRPr="00F7033D">
              <w:rPr>
                <w:rFonts w:cstheme="minorHAnsi"/>
              </w:rPr>
              <w:t>HEDIS</w:t>
            </w:r>
          </w:p>
        </w:tc>
        <w:tc>
          <w:tcPr>
            <w:tcW w:w="4262" w:type="pct"/>
            <w:vAlign w:val="center"/>
          </w:tcPr>
          <w:p w14:paraId="74E1E8A9" w14:textId="77777777" w:rsidR="004602C2" w:rsidRPr="00F7033D" w:rsidRDefault="004602C2" w:rsidP="00723ED5">
            <w:pPr>
              <w:jc w:val="left"/>
              <w:rPr>
                <w:rFonts w:eastAsia="Times New Roman" w:cstheme="minorHAnsi"/>
              </w:rPr>
            </w:pPr>
            <w:r w:rsidRPr="00F7033D">
              <w:rPr>
                <w:rFonts w:eastAsia="Times New Roman" w:cstheme="minorHAnsi"/>
              </w:rPr>
              <w:t>Annual Dental Visit (Total)</w:t>
            </w:r>
          </w:p>
        </w:tc>
      </w:tr>
      <w:tr w:rsidR="004602C2" w:rsidRPr="00F7033D" w14:paraId="35848A06" w14:textId="77777777" w:rsidTr="00231C6F">
        <w:trPr>
          <w:cantSplit/>
          <w:trHeight w:val="20"/>
        </w:trPr>
        <w:tc>
          <w:tcPr>
            <w:tcW w:w="738" w:type="pct"/>
            <w:vAlign w:val="center"/>
          </w:tcPr>
          <w:p w14:paraId="49BEFFBB" w14:textId="77777777" w:rsidR="004602C2" w:rsidRPr="00F7033D" w:rsidRDefault="004602C2" w:rsidP="00723ED5">
            <w:pPr>
              <w:jc w:val="center"/>
              <w:rPr>
                <w:rFonts w:eastAsia="Times New Roman" w:cstheme="minorHAnsi"/>
              </w:rPr>
            </w:pPr>
            <w:r w:rsidRPr="00F7033D">
              <w:rPr>
                <w:rFonts w:eastAsia="Times New Roman" w:cstheme="minorHAnsi"/>
              </w:rPr>
              <w:t>PA EQR</w:t>
            </w:r>
          </w:p>
        </w:tc>
        <w:tc>
          <w:tcPr>
            <w:tcW w:w="4262" w:type="pct"/>
            <w:vAlign w:val="center"/>
          </w:tcPr>
          <w:p w14:paraId="3F658AA4" w14:textId="39E2716F" w:rsidR="004602C2" w:rsidRPr="00F7033D" w:rsidRDefault="004602C2" w:rsidP="00723ED5">
            <w:pPr>
              <w:jc w:val="left"/>
              <w:rPr>
                <w:rFonts w:eastAsia="Times New Roman" w:cstheme="minorHAnsi"/>
              </w:rPr>
            </w:pPr>
            <w:r w:rsidRPr="00F7033D">
              <w:rPr>
                <w:rFonts w:eastAsia="Times New Roman" w:cstheme="minorHAnsi"/>
              </w:rPr>
              <w:t>Sealant Receipt on Permanent First Molars (</w:t>
            </w:r>
            <w:r w:rsidR="0091589D">
              <w:rPr>
                <w:rFonts w:eastAsia="Times New Roman" w:cstheme="minorHAnsi"/>
              </w:rPr>
              <w:t>≥</w:t>
            </w:r>
            <w:r w:rsidRPr="00F7033D">
              <w:rPr>
                <w:rFonts w:eastAsia="Times New Roman" w:cstheme="minorHAnsi"/>
              </w:rPr>
              <w:t xml:space="preserve"> 1 molar)</w:t>
            </w:r>
          </w:p>
        </w:tc>
      </w:tr>
      <w:tr w:rsidR="004602C2" w:rsidRPr="00F7033D" w14:paraId="3D8A1217" w14:textId="77777777" w:rsidTr="00231C6F">
        <w:trPr>
          <w:cantSplit/>
          <w:trHeight w:val="20"/>
        </w:trPr>
        <w:tc>
          <w:tcPr>
            <w:tcW w:w="738" w:type="pct"/>
            <w:vAlign w:val="center"/>
          </w:tcPr>
          <w:p w14:paraId="38AFD6DB" w14:textId="77777777" w:rsidR="004602C2" w:rsidRPr="00F7033D" w:rsidRDefault="004602C2" w:rsidP="00723ED5">
            <w:pPr>
              <w:jc w:val="center"/>
              <w:rPr>
                <w:rFonts w:eastAsia="Times New Roman" w:cstheme="minorHAnsi"/>
              </w:rPr>
            </w:pPr>
            <w:r w:rsidRPr="00F7033D">
              <w:rPr>
                <w:rFonts w:eastAsia="Times New Roman" w:cstheme="minorHAnsi"/>
              </w:rPr>
              <w:t>PA EQR</w:t>
            </w:r>
          </w:p>
        </w:tc>
        <w:tc>
          <w:tcPr>
            <w:tcW w:w="4262" w:type="pct"/>
            <w:vAlign w:val="center"/>
          </w:tcPr>
          <w:p w14:paraId="4CD25EC2" w14:textId="77777777" w:rsidR="004602C2" w:rsidRPr="00F7033D" w:rsidRDefault="004602C2" w:rsidP="00723ED5">
            <w:pPr>
              <w:jc w:val="left"/>
              <w:rPr>
                <w:rFonts w:eastAsia="Times New Roman" w:cstheme="minorHAnsi"/>
              </w:rPr>
            </w:pPr>
            <w:r w:rsidRPr="00F7033D">
              <w:rPr>
                <w:rFonts w:eastAsia="Times New Roman" w:cstheme="minorHAnsi"/>
              </w:rPr>
              <w:t>Sealant Receipt on Permanent First Molars (All 4 molars)</w:t>
            </w:r>
          </w:p>
        </w:tc>
      </w:tr>
      <w:tr w:rsidR="004602C2" w:rsidRPr="00F7033D" w14:paraId="0B5E7DCE" w14:textId="77777777" w:rsidTr="00723ED5">
        <w:trPr>
          <w:cantSplit/>
          <w:trHeight w:val="20"/>
        </w:trPr>
        <w:tc>
          <w:tcPr>
            <w:tcW w:w="5000" w:type="pct"/>
            <w:gridSpan w:val="2"/>
            <w:shd w:val="clear" w:color="auto" w:fill="CCC0D9" w:themeFill="accent4" w:themeFillTint="66"/>
          </w:tcPr>
          <w:p w14:paraId="74E4DF7C" w14:textId="77777777" w:rsidR="004602C2" w:rsidRPr="00F7033D" w:rsidRDefault="004602C2" w:rsidP="00E20C5E">
            <w:pPr>
              <w:keepNext/>
              <w:rPr>
                <w:rFonts w:cstheme="minorHAnsi"/>
                <w:color w:val="000000" w:themeColor="text1"/>
              </w:rPr>
            </w:pPr>
            <w:r w:rsidRPr="00F7033D">
              <w:rPr>
                <w:rFonts w:cstheme="minorHAnsi"/>
                <w:color w:val="000000" w:themeColor="text1"/>
              </w:rPr>
              <w:lastRenderedPageBreak/>
              <w:t>Respiratory Conditions</w:t>
            </w:r>
          </w:p>
        </w:tc>
      </w:tr>
      <w:tr w:rsidR="004602C2" w:rsidRPr="00F7033D" w14:paraId="430A710E" w14:textId="77777777" w:rsidTr="00231C6F">
        <w:trPr>
          <w:cantSplit/>
          <w:trHeight w:val="20"/>
        </w:trPr>
        <w:tc>
          <w:tcPr>
            <w:tcW w:w="738" w:type="pct"/>
            <w:vAlign w:val="center"/>
          </w:tcPr>
          <w:p w14:paraId="430CEEB9"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622F1376" w14:textId="77777777" w:rsidR="004602C2" w:rsidRPr="00F7033D" w:rsidRDefault="004602C2" w:rsidP="00723ED5">
            <w:pPr>
              <w:jc w:val="left"/>
              <w:rPr>
                <w:rFonts w:eastAsia="Times New Roman" w:cstheme="minorHAnsi"/>
              </w:rPr>
            </w:pPr>
            <w:r w:rsidRPr="00F7033D">
              <w:rPr>
                <w:rFonts w:eastAsia="Times New Roman" w:cstheme="minorHAnsi"/>
              </w:rPr>
              <w:t>Appropriate Testing for Pharyngitis (Ages 3–17 years)</w:t>
            </w:r>
          </w:p>
        </w:tc>
      </w:tr>
      <w:tr w:rsidR="004602C2" w:rsidRPr="00F7033D" w14:paraId="163375CA" w14:textId="77777777" w:rsidTr="00231C6F">
        <w:trPr>
          <w:cantSplit/>
          <w:trHeight w:val="20"/>
        </w:trPr>
        <w:tc>
          <w:tcPr>
            <w:tcW w:w="738" w:type="pct"/>
            <w:vAlign w:val="center"/>
          </w:tcPr>
          <w:p w14:paraId="02A0021A"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4F7D5505" w14:textId="3F267F0C" w:rsidR="004602C2" w:rsidRPr="00F7033D" w:rsidRDefault="004602C2" w:rsidP="00723ED5">
            <w:pPr>
              <w:jc w:val="left"/>
              <w:rPr>
                <w:rFonts w:eastAsia="Times New Roman" w:cstheme="minorHAnsi"/>
              </w:rPr>
            </w:pPr>
            <w:r w:rsidRPr="00F7033D">
              <w:rPr>
                <w:rFonts w:eastAsia="Times New Roman" w:cstheme="minorHAnsi"/>
              </w:rPr>
              <w:t>Appropriate Testing for Pharyngitis (Age 18 years)</w:t>
            </w:r>
          </w:p>
        </w:tc>
      </w:tr>
      <w:tr w:rsidR="004602C2" w:rsidRPr="00F7033D" w14:paraId="5D8A8022" w14:textId="77777777" w:rsidTr="00231C6F">
        <w:trPr>
          <w:cantSplit/>
          <w:trHeight w:val="20"/>
        </w:trPr>
        <w:tc>
          <w:tcPr>
            <w:tcW w:w="738" w:type="pct"/>
            <w:vAlign w:val="center"/>
          </w:tcPr>
          <w:p w14:paraId="4F3A901D"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14B77830" w14:textId="77777777" w:rsidR="004602C2" w:rsidRPr="00F7033D" w:rsidRDefault="004602C2" w:rsidP="00723ED5">
            <w:pPr>
              <w:jc w:val="left"/>
              <w:rPr>
                <w:rFonts w:eastAsia="Times New Roman" w:cstheme="minorHAnsi"/>
              </w:rPr>
            </w:pPr>
            <w:r w:rsidRPr="00F7033D">
              <w:rPr>
                <w:rFonts w:eastAsia="Times New Roman" w:cstheme="minorHAnsi"/>
              </w:rPr>
              <w:t>Appropriate Testing for Pharyngitis (Total)</w:t>
            </w:r>
          </w:p>
        </w:tc>
      </w:tr>
      <w:tr w:rsidR="004602C2" w:rsidRPr="00F7033D" w14:paraId="5627F4E3" w14:textId="77777777" w:rsidTr="00231C6F">
        <w:trPr>
          <w:cantSplit/>
          <w:trHeight w:val="20"/>
        </w:trPr>
        <w:tc>
          <w:tcPr>
            <w:tcW w:w="738" w:type="pct"/>
            <w:vAlign w:val="center"/>
          </w:tcPr>
          <w:p w14:paraId="2562891F"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50332BE6" w14:textId="57628084" w:rsidR="004602C2" w:rsidRPr="00F7033D" w:rsidRDefault="004602C2" w:rsidP="00723ED5">
            <w:pPr>
              <w:jc w:val="left"/>
              <w:rPr>
                <w:rFonts w:eastAsia="Times New Roman" w:cstheme="minorHAnsi"/>
              </w:rPr>
            </w:pPr>
            <w:r w:rsidRPr="00F7033D">
              <w:rPr>
                <w:rFonts w:eastAsia="Times New Roman" w:cstheme="minorHAnsi"/>
              </w:rPr>
              <w:t>Appropriate Treatment for Upper Respiratory Infection (</w:t>
            </w:r>
            <w:r w:rsidR="0091589D">
              <w:rPr>
                <w:rFonts w:eastAsia="Times New Roman" w:cstheme="minorHAnsi"/>
              </w:rPr>
              <w:t xml:space="preserve">Ages </w:t>
            </w:r>
            <w:r w:rsidRPr="00F7033D">
              <w:rPr>
                <w:rFonts w:eastAsia="Times New Roman" w:cstheme="minorHAnsi"/>
              </w:rPr>
              <w:t>3–17 years)</w:t>
            </w:r>
          </w:p>
        </w:tc>
      </w:tr>
      <w:tr w:rsidR="004602C2" w:rsidRPr="00F7033D" w14:paraId="5DE5A1BD" w14:textId="77777777" w:rsidTr="00231C6F">
        <w:trPr>
          <w:cantSplit/>
          <w:trHeight w:val="20"/>
        </w:trPr>
        <w:tc>
          <w:tcPr>
            <w:tcW w:w="738" w:type="pct"/>
            <w:vAlign w:val="center"/>
          </w:tcPr>
          <w:p w14:paraId="55EA9C9A"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2486AE9E" w14:textId="1AC849E0" w:rsidR="004602C2" w:rsidRPr="00F7033D" w:rsidRDefault="004602C2" w:rsidP="00723ED5">
            <w:pPr>
              <w:jc w:val="left"/>
              <w:rPr>
                <w:rFonts w:eastAsia="Times New Roman" w:cstheme="minorHAnsi"/>
              </w:rPr>
            </w:pPr>
            <w:r w:rsidRPr="00F7033D">
              <w:rPr>
                <w:rFonts w:eastAsia="Times New Roman" w:cstheme="minorHAnsi"/>
              </w:rPr>
              <w:t>Appropriate Treatment for Upper Respiratory Infection (</w:t>
            </w:r>
            <w:r w:rsidR="0091589D">
              <w:rPr>
                <w:rFonts w:eastAsia="Times New Roman" w:cstheme="minorHAnsi"/>
              </w:rPr>
              <w:t xml:space="preserve">Age </w:t>
            </w:r>
            <w:r w:rsidRPr="00F7033D">
              <w:rPr>
                <w:rFonts w:eastAsia="Times New Roman" w:cstheme="minorHAnsi"/>
              </w:rPr>
              <w:t>18 years)</w:t>
            </w:r>
          </w:p>
        </w:tc>
      </w:tr>
      <w:tr w:rsidR="004602C2" w:rsidRPr="00F7033D" w14:paraId="42619B60" w14:textId="77777777" w:rsidTr="00231C6F">
        <w:trPr>
          <w:cantSplit/>
          <w:trHeight w:val="20"/>
        </w:trPr>
        <w:tc>
          <w:tcPr>
            <w:tcW w:w="738" w:type="pct"/>
            <w:vAlign w:val="center"/>
          </w:tcPr>
          <w:p w14:paraId="4D7AAE4B"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767D5CE4" w14:textId="77777777" w:rsidR="004602C2" w:rsidRPr="00F7033D" w:rsidRDefault="004602C2" w:rsidP="00723ED5">
            <w:pPr>
              <w:jc w:val="left"/>
              <w:rPr>
                <w:rFonts w:eastAsia="Times New Roman" w:cstheme="minorHAnsi"/>
              </w:rPr>
            </w:pPr>
            <w:r w:rsidRPr="00F7033D">
              <w:rPr>
                <w:rFonts w:eastAsia="Times New Roman" w:cstheme="minorHAnsi"/>
              </w:rPr>
              <w:t>Appropriate Treatment for Upper Respiratory Infection (Total)</w:t>
            </w:r>
          </w:p>
        </w:tc>
      </w:tr>
      <w:tr w:rsidR="004602C2" w:rsidRPr="00F7033D" w14:paraId="693C0468" w14:textId="77777777" w:rsidTr="00231C6F">
        <w:trPr>
          <w:cantSplit/>
          <w:trHeight w:val="20"/>
        </w:trPr>
        <w:tc>
          <w:tcPr>
            <w:tcW w:w="738" w:type="pct"/>
            <w:vAlign w:val="center"/>
          </w:tcPr>
          <w:p w14:paraId="35929827" w14:textId="77777777" w:rsidR="004602C2" w:rsidRPr="00F7033D" w:rsidRDefault="004602C2" w:rsidP="00723ED5">
            <w:pPr>
              <w:jc w:val="center"/>
              <w:rPr>
                <w:rFonts w:eastAsia="Times New Roman" w:cstheme="minorHAnsi"/>
              </w:rPr>
            </w:pPr>
            <w:r w:rsidRPr="00F7033D">
              <w:rPr>
                <w:rFonts w:eastAsia="Times New Roman" w:cstheme="minorHAnsi"/>
              </w:rPr>
              <w:t>PA EQR</w:t>
            </w:r>
          </w:p>
        </w:tc>
        <w:tc>
          <w:tcPr>
            <w:tcW w:w="4262" w:type="pct"/>
            <w:vAlign w:val="center"/>
          </w:tcPr>
          <w:p w14:paraId="53E3E7AF" w14:textId="10C6E521" w:rsidR="004602C2" w:rsidRPr="00F7033D" w:rsidRDefault="004602C2" w:rsidP="00723ED5">
            <w:pPr>
              <w:jc w:val="left"/>
              <w:rPr>
                <w:rFonts w:eastAsia="Times New Roman" w:cstheme="minorHAnsi"/>
              </w:rPr>
            </w:pPr>
            <w:r w:rsidRPr="00F7033D">
              <w:rPr>
                <w:rFonts w:eastAsia="Times New Roman" w:cstheme="minorHAnsi"/>
              </w:rPr>
              <w:t xml:space="preserve">Annual </w:t>
            </w:r>
            <w:r w:rsidR="00A405D6">
              <w:rPr>
                <w:rFonts w:eastAsia="Times New Roman" w:cstheme="minorHAnsi"/>
              </w:rPr>
              <w:t>Percentage</w:t>
            </w:r>
            <w:r w:rsidR="00A405D6" w:rsidRPr="00F7033D">
              <w:rPr>
                <w:rFonts w:eastAsia="Times New Roman" w:cstheme="minorHAnsi"/>
              </w:rPr>
              <w:t xml:space="preserve"> </w:t>
            </w:r>
            <w:r w:rsidRPr="00F7033D">
              <w:rPr>
                <w:rFonts w:eastAsia="Times New Roman" w:cstheme="minorHAnsi"/>
              </w:rPr>
              <w:t>of Asthma Patients with One or More Asthma-Related Emergency Room Visits (Age</w:t>
            </w:r>
            <w:r w:rsidR="0091589D">
              <w:rPr>
                <w:rFonts w:eastAsia="Times New Roman" w:cstheme="minorHAnsi"/>
              </w:rPr>
              <w:t>s</w:t>
            </w:r>
            <w:r w:rsidRPr="00F7033D">
              <w:rPr>
                <w:rFonts w:eastAsia="Times New Roman" w:cstheme="minorHAnsi"/>
              </w:rPr>
              <w:t xml:space="preserve"> 2–19 years)</w:t>
            </w:r>
          </w:p>
        </w:tc>
      </w:tr>
      <w:tr w:rsidR="004602C2" w:rsidRPr="00F7033D" w14:paraId="745313E4" w14:textId="77777777" w:rsidTr="00231C6F">
        <w:trPr>
          <w:cantSplit/>
          <w:trHeight w:val="20"/>
        </w:trPr>
        <w:tc>
          <w:tcPr>
            <w:tcW w:w="738" w:type="pct"/>
            <w:vAlign w:val="center"/>
          </w:tcPr>
          <w:p w14:paraId="3E81EFD6"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19DAA75B" w14:textId="5F340DC5" w:rsidR="004602C2" w:rsidRPr="00F7033D" w:rsidRDefault="004602C2" w:rsidP="00723ED5">
            <w:pPr>
              <w:jc w:val="left"/>
              <w:rPr>
                <w:rFonts w:eastAsia="Times New Roman" w:cstheme="minorHAnsi"/>
              </w:rPr>
            </w:pPr>
            <w:r w:rsidRPr="00F7033D">
              <w:rPr>
                <w:rFonts w:eastAsia="Times New Roman" w:cstheme="minorHAnsi"/>
              </w:rPr>
              <w:t>Asthma Medication Ratio (</w:t>
            </w:r>
            <w:r w:rsidR="0091589D">
              <w:rPr>
                <w:rFonts w:eastAsia="Times New Roman" w:cstheme="minorHAnsi"/>
              </w:rPr>
              <w:t xml:space="preserve">Ages </w:t>
            </w:r>
            <w:r w:rsidRPr="00F7033D">
              <w:rPr>
                <w:rFonts w:eastAsia="Times New Roman" w:cstheme="minorHAnsi"/>
              </w:rPr>
              <w:t>5–11 years)</w:t>
            </w:r>
          </w:p>
        </w:tc>
      </w:tr>
      <w:tr w:rsidR="004602C2" w:rsidRPr="00F7033D" w14:paraId="4CF5ECD3" w14:textId="77777777" w:rsidTr="00231C6F">
        <w:trPr>
          <w:cantSplit/>
          <w:trHeight w:val="20"/>
        </w:trPr>
        <w:tc>
          <w:tcPr>
            <w:tcW w:w="738" w:type="pct"/>
            <w:vAlign w:val="center"/>
          </w:tcPr>
          <w:p w14:paraId="322EF6C2"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4EBD3DBA" w14:textId="5C3891A2" w:rsidR="004602C2" w:rsidRPr="00F7033D" w:rsidRDefault="004602C2" w:rsidP="00723ED5">
            <w:pPr>
              <w:jc w:val="left"/>
              <w:rPr>
                <w:rFonts w:eastAsia="Times New Roman" w:cstheme="minorHAnsi"/>
              </w:rPr>
            </w:pPr>
            <w:r w:rsidRPr="00F7033D">
              <w:rPr>
                <w:rFonts w:eastAsia="Times New Roman" w:cstheme="minorHAnsi"/>
              </w:rPr>
              <w:t>Asthma Medication Ratio (</w:t>
            </w:r>
            <w:r w:rsidR="0091589D">
              <w:rPr>
                <w:rFonts w:eastAsia="Times New Roman" w:cstheme="minorHAnsi"/>
              </w:rPr>
              <w:t xml:space="preserve">Ages </w:t>
            </w:r>
            <w:r w:rsidRPr="00F7033D">
              <w:rPr>
                <w:rFonts w:eastAsia="Times New Roman" w:cstheme="minorHAnsi"/>
              </w:rPr>
              <w:t>12–18 years)</w:t>
            </w:r>
          </w:p>
        </w:tc>
      </w:tr>
      <w:tr w:rsidR="004602C2" w:rsidRPr="00F7033D" w14:paraId="42D73BD6" w14:textId="77777777" w:rsidTr="00231C6F">
        <w:trPr>
          <w:cantSplit/>
          <w:trHeight w:val="20"/>
        </w:trPr>
        <w:tc>
          <w:tcPr>
            <w:tcW w:w="738" w:type="pct"/>
            <w:vAlign w:val="center"/>
          </w:tcPr>
          <w:p w14:paraId="118B35D8"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249D551F" w14:textId="330D28AF" w:rsidR="004602C2" w:rsidRPr="00F7033D" w:rsidRDefault="004602C2" w:rsidP="00723ED5">
            <w:pPr>
              <w:jc w:val="left"/>
              <w:rPr>
                <w:rFonts w:eastAsia="Times New Roman" w:cstheme="minorHAnsi"/>
              </w:rPr>
            </w:pPr>
            <w:r w:rsidRPr="00F7033D">
              <w:rPr>
                <w:rFonts w:eastAsia="Times New Roman" w:cstheme="minorHAnsi"/>
              </w:rPr>
              <w:t>Asthma Medication Ratio (</w:t>
            </w:r>
            <w:r w:rsidR="0091589D">
              <w:rPr>
                <w:rFonts w:eastAsia="Times New Roman" w:cstheme="minorHAnsi"/>
              </w:rPr>
              <w:t xml:space="preserve">Age </w:t>
            </w:r>
            <w:r w:rsidRPr="00F7033D">
              <w:rPr>
                <w:rFonts w:eastAsia="Times New Roman" w:cstheme="minorHAnsi"/>
              </w:rPr>
              <w:t>19 years)</w:t>
            </w:r>
          </w:p>
        </w:tc>
      </w:tr>
      <w:tr w:rsidR="004602C2" w:rsidRPr="00F7033D" w14:paraId="189CC9F9" w14:textId="77777777" w:rsidTr="00231C6F">
        <w:trPr>
          <w:cantSplit/>
          <w:trHeight w:val="20"/>
        </w:trPr>
        <w:tc>
          <w:tcPr>
            <w:tcW w:w="738" w:type="pct"/>
            <w:vAlign w:val="center"/>
          </w:tcPr>
          <w:p w14:paraId="561F55B6"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0B280036" w14:textId="77777777" w:rsidR="004602C2" w:rsidRPr="00F7033D" w:rsidRDefault="004602C2" w:rsidP="00723ED5">
            <w:pPr>
              <w:jc w:val="left"/>
              <w:rPr>
                <w:rFonts w:eastAsia="Times New Roman" w:cstheme="minorHAnsi"/>
              </w:rPr>
            </w:pPr>
            <w:r w:rsidRPr="00F7033D">
              <w:rPr>
                <w:rFonts w:eastAsia="Times New Roman" w:cstheme="minorHAnsi"/>
              </w:rPr>
              <w:t>Asthma Medication Ratio (Total)</w:t>
            </w:r>
          </w:p>
        </w:tc>
      </w:tr>
      <w:tr w:rsidR="004602C2" w:rsidRPr="00F7033D" w14:paraId="73A8865B" w14:textId="77777777" w:rsidTr="00723ED5">
        <w:trPr>
          <w:cantSplit/>
          <w:trHeight w:val="20"/>
        </w:trPr>
        <w:tc>
          <w:tcPr>
            <w:tcW w:w="5000" w:type="pct"/>
            <w:gridSpan w:val="2"/>
            <w:shd w:val="clear" w:color="auto" w:fill="CCC0D9" w:themeFill="accent4" w:themeFillTint="66"/>
            <w:vAlign w:val="center"/>
          </w:tcPr>
          <w:p w14:paraId="51FD0B54" w14:textId="77777777" w:rsidR="004602C2" w:rsidRPr="00F7033D" w:rsidRDefault="004602C2" w:rsidP="00723ED5">
            <w:pPr>
              <w:rPr>
                <w:rFonts w:eastAsia="Times New Roman" w:cstheme="minorHAnsi"/>
                <w:color w:val="000000" w:themeColor="text1"/>
              </w:rPr>
            </w:pPr>
            <w:r w:rsidRPr="00F7033D">
              <w:rPr>
                <w:rFonts w:cstheme="minorHAnsi"/>
                <w:color w:val="000000" w:themeColor="text1"/>
              </w:rPr>
              <w:t>Behavioral</w:t>
            </w:r>
            <w:r w:rsidRPr="00F7033D">
              <w:rPr>
                <w:rFonts w:eastAsia="Times New Roman" w:cstheme="minorHAnsi"/>
                <w:color w:val="000000" w:themeColor="text1"/>
              </w:rPr>
              <w:t xml:space="preserve"> </w:t>
            </w:r>
            <w:r w:rsidRPr="00F7033D">
              <w:rPr>
                <w:rFonts w:cstheme="minorHAnsi"/>
                <w:color w:val="000000" w:themeColor="text1"/>
              </w:rPr>
              <w:t>Health</w:t>
            </w:r>
          </w:p>
        </w:tc>
      </w:tr>
      <w:tr w:rsidR="004602C2" w:rsidRPr="00F7033D" w14:paraId="2FFE8E80" w14:textId="77777777" w:rsidTr="00231C6F">
        <w:trPr>
          <w:cantSplit/>
          <w:trHeight w:val="20"/>
        </w:trPr>
        <w:tc>
          <w:tcPr>
            <w:tcW w:w="738" w:type="pct"/>
            <w:vAlign w:val="center"/>
          </w:tcPr>
          <w:p w14:paraId="23374008"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19A026D6" w14:textId="76C07896" w:rsidR="004602C2" w:rsidRPr="00F7033D" w:rsidRDefault="004602C2" w:rsidP="00723ED5">
            <w:pPr>
              <w:jc w:val="left"/>
              <w:rPr>
                <w:rFonts w:eastAsia="Times New Roman" w:cstheme="minorHAnsi"/>
              </w:rPr>
            </w:pPr>
            <w:r w:rsidRPr="00F7033D">
              <w:rPr>
                <w:rFonts w:eastAsia="Times New Roman" w:cstheme="minorHAnsi"/>
              </w:rPr>
              <w:t>Metabolic Monitoring for Children and Adolescents on Antipsychotics—Blood Glucose (</w:t>
            </w:r>
            <w:r w:rsidR="0091589D">
              <w:rPr>
                <w:rFonts w:eastAsia="Times New Roman" w:cstheme="minorHAnsi"/>
              </w:rPr>
              <w:t xml:space="preserve">Ages </w:t>
            </w:r>
            <w:r w:rsidRPr="00F7033D">
              <w:rPr>
                <w:rFonts w:eastAsia="Times New Roman" w:cstheme="minorHAnsi"/>
              </w:rPr>
              <w:t xml:space="preserve">1–11 years) </w:t>
            </w:r>
          </w:p>
        </w:tc>
      </w:tr>
      <w:tr w:rsidR="004602C2" w:rsidRPr="00F7033D" w14:paraId="508A1EEB" w14:textId="77777777" w:rsidTr="00231C6F">
        <w:trPr>
          <w:cantSplit/>
          <w:trHeight w:val="20"/>
        </w:trPr>
        <w:tc>
          <w:tcPr>
            <w:tcW w:w="738" w:type="pct"/>
            <w:vAlign w:val="center"/>
          </w:tcPr>
          <w:p w14:paraId="53AD852A"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42DA6CBB" w14:textId="3FF20E0F" w:rsidR="004602C2" w:rsidRPr="00F7033D" w:rsidRDefault="004602C2" w:rsidP="00723ED5">
            <w:pPr>
              <w:jc w:val="left"/>
              <w:rPr>
                <w:rFonts w:eastAsia="Times New Roman" w:cstheme="minorHAnsi"/>
              </w:rPr>
            </w:pPr>
            <w:r w:rsidRPr="00F7033D">
              <w:rPr>
                <w:rFonts w:eastAsia="Times New Roman" w:cstheme="minorHAnsi"/>
              </w:rPr>
              <w:t>Metabolic Monitoring for Children and Adolescents on Antipsychotics—Blood Glucose (</w:t>
            </w:r>
            <w:r w:rsidR="0091589D">
              <w:rPr>
                <w:rFonts w:eastAsia="Times New Roman" w:cstheme="minorHAnsi"/>
              </w:rPr>
              <w:t xml:space="preserve">Ages </w:t>
            </w:r>
            <w:r w:rsidRPr="00F7033D">
              <w:rPr>
                <w:rFonts w:eastAsia="Times New Roman" w:cstheme="minorHAnsi"/>
              </w:rPr>
              <w:t xml:space="preserve">12–17 years) </w:t>
            </w:r>
          </w:p>
        </w:tc>
      </w:tr>
      <w:tr w:rsidR="004602C2" w:rsidRPr="00F7033D" w14:paraId="05499EFD" w14:textId="77777777" w:rsidTr="00231C6F">
        <w:trPr>
          <w:cantSplit/>
          <w:trHeight w:val="20"/>
        </w:trPr>
        <w:tc>
          <w:tcPr>
            <w:tcW w:w="738" w:type="pct"/>
            <w:vAlign w:val="center"/>
          </w:tcPr>
          <w:p w14:paraId="5DD1072B"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70CE8BE" w14:textId="77777777" w:rsidR="004602C2" w:rsidRPr="00F7033D" w:rsidRDefault="004602C2" w:rsidP="00723ED5">
            <w:pPr>
              <w:jc w:val="left"/>
              <w:rPr>
                <w:rFonts w:eastAsia="Times New Roman" w:cstheme="minorHAnsi"/>
              </w:rPr>
            </w:pPr>
            <w:r w:rsidRPr="00F7033D">
              <w:rPr>
                <w:rFonts w:eastAsia="Times New Roman" w:cstheme="minorHAnsi"/>
              </w:rPr>
              <w:t xml:space="preserve">Metabolic Monitoring for Children and Adolescents on Antipsychotics—Blood Glucose (Total) </w:t>
            </w:r>
          </w:p>
        </w:tc>
      </w:tr>
      <w:tr w:rsidR="004602C2" w:rsidRPr="00F7033D" w14:paraId="27262512" w14:textId="77777777" w:rsidTr="00231C6F">
        <w:trPr>
          <w:cantSplit/>
          <w:trHeight w:val="20"/>
        </w:trPr>
        <w:tc>
          <w:tcPr>
            <w:tcW w:w="738" w:type="pct"/>
            <w:vAlign w:val="center"/>
          </w:tcPr>
          <w:p w14:paraId="7464FAD7"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60F80D61" w14:textId="7182C4F2" w:rsidR="004602C2" w:rsidRPr="00F7033D" w:rsidRDefault="004602C2" w:rsidP="00723ED5">
            <w:pPr>
              <w:jc w:val="left"/>
              <w:rPr>
                <w:rFonts w:eastAsia="Times New Roman" w:cstheme="minorHAnsi"/>
              </w:rPr>
            </w:pPr>
            <w:r w:rsidRPr="00F7033D">
              <w:rPr>
                <w:rFonts w:eastAsia="Times New Roman" w:cstheme="minorHAnsi"/>
              </w:rPr>
              <w:t>Metabolic Monitoring for Children and Adolescents on Antipsychotics—Cholesterol (</w:t>
            </w:r>
            <w:r w:rsidR="0091589D">
              <w:rPr>
                <w:rFonts w:eastAsia="Times New Roman" w:cstheme="minorHAnsi"/>
              </w:rPr>
              <w:t xml:space="preserve">Ages </w:t>
            </w:r>
            <w:r w:rsidRPr="00F7033D">
              <w:rPr>
                <w:rFonts w:eastAsia="Times New Roman" w:cstheme="minorHAnsi"/>
              </w:rPr>
              <w:t xml:space="preserve">1–11 years) </w:t>
            </w:r>
          </w:p>
        </w:tc>
      </w:tr>
      <w:tr w:rsidR="004602C2" w:rsidRPr="00F7033D" w14:paraId="001D0067" w14:textId="77777777" w:rsidTr="00231C6F">
        <w:trPr>
          <w:cantSplit/>
          <w:trHeight w:val="20"/>
        </w:trPr>
        <w:tc>
          <w:tcPr>
            <w:tcW w:w="738" w:type="pct"/>
            <w:vAlign w:val="center"/>
          </w:tcPr>
          <w:p w14:paraId="7D68ED6A"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D68FF75" w14:textId="72DB96B6" w:rsidR="004602C2" w:rsidRPr="00F7033D" w:rsidRDefault="004602C2" w:rsidP="00723ED5">
            <w:pPr>
              <w:jc w:val="left"/>
              <w:rPr>
                <w:rFonts w:eastAsia="Times New Roman" w:cstheme="minorHAnsi"/>
              </w:rPr>
            </w:pPr>
            <w:r w:rsidRPr="00F7033D">
              <w:rPr>
                <w:rFonts w:eastAsia="Times New Roman" w:cstheme="minorHAnsi"/>
              </w:rPr>
              <w:t>Metabolic Monitoring for Children and Adolescents on Antipsychotics—Cholesterol (</w:t>
            </w:r>
            <w:r w:rsidR="0091589D">
              <w:rPr>
                <w:rFonts w:eastAsia="Times New Roman" w:cstheme="minorHAnsi"/>
              </w:rPr>
              <w:t xml:space="preserve">Ages </w:t>
            </w:r>
            <w:r w:rsidRPr="00F7033D">
              <w:rPr>
                <w:rFonts w:eastAsia="Times New Roman" w:cstheme="minorHAnsi"/>
              </w:rPr>
              <w:t xml:space="preserve">12–17 years) </w:t>
            </w:r>
          </w:p>
        </w:tc>
      </w:tr>
      <w:tr w:rsidR="004602C2" w:rsidRPr="00F7033D" w14:paraId="30C67766" w14:textId="77777777" w:rsidTr="00231C6F">
        <w:trPr>
          <w:cantSplit/>
          <w:trHeight w:val="20"/>
        </w:trPr>
        <w:tc>
          <w:tcPr>
            <w:tcW w:w="738" w:type="pct"/>
            <w:vAlign w:val="center"/>
          </w:tcPr>
          <w:p w14:paraId="73A51B2C"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20106A30" w14:textId="77777777" w:rsidR="004602C2" w:rsidRPr="00F7033D" w:rsidRDefault="004602C2" w:rsidP="00723ED5">
            <w:pPr>
              <w:jc w:val="left"/>
              <w:rPr>
                <w:rFonts w:eastAsia="Times New Roman" w:cstheme="minorHAnsi"/>
              </w:rPr>
            </w:pPr>
            <w:r w:rsidRPr="00F7033D">
              <w:rPr>
                <w:rFonts w:eastAsia="Times New Roman" w:cstheme="minorHAnsi"/>
              </w:rPr>
              <w:t xml:space="preserve">Metabolic Monitoring for Children and Adolescents on Antipsychotics—Cholesterol (Total) </w:t>
            </w:r>
          </w:p>
        </w:tc>
      </w:tr>
      <w:tr w:rsidR="004602C2" w:rsidRPr="00F7033D" w14:paraId="6AE6FAC7" w14:textId="77777777" w:rsidTr="00231C6F">
        <w:trPr>
          <w:cantSplit/>
          <w:trHeight w:val="20"/>
        </w:trPr>
        <w:tc>
          <w:tcPr>
            <w:tcW w:w="738" w:type="pct"/>
            <w:vAlign w:val="center"/>
          </w:tcPr>
          <w:p w14:paraId="48DF543A"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AAF1C8C" w14:textId="37996EC9" w:rsidR="004602C2" w:rsidRPr="00F7033D" w:rsidRDefault="004602C2" w:rsidP="00723ED5">
            <w:pPr>
              <w:jc w:val="left"/>
              <w:rPr>
                <w:rFonts w:eastAsia="Times New Roman" w:cstheme="minorHAnsi"/>
              </w:rPr>
            </w:pPr>
            <w:r w:rsidRPr="00F7033D">
              <w:rPr>
                <w:rFonts w:eastAsia="Times New Roman" w:cstheme="minorHAnsi"/>
              </w:rPr>
              <w:t>Metabolic Monitoring for Children and Adolescents on Antipsychotics—Blood Glucose &amp; Cholesterol (</w:t>
            </w:r>
            <w:r w:rsidR="0091589D">
              <w:rPr>
                <w:rFonts w:eastAsia="Times New Roman" w:cstheme="minorHAnsi"/>
              </w:rPr>
              <w:t xml:space="preserve">Ages </w:t>
            </w:r>
            <w:r w:rsidRPr="00F7033D">
              <w:rPr>
                <w:rFonts w:eastAsia="Times New Roman" w:cstheme="minorHAnsi"/>
              </w:rPr>
              <w:t xml:space="preserve">1–11 years) </w:t>
            </w:r>
          </w:p>
        </w:tc>
      </w:tr>
      <w:tr w:rsidR="004602C2" w:rsidRPr="00F7033D" w14:paraId="583B36F2" w14:textId="77777777" w:rsidTr="00231C6F">
        <w:trPr>
          <w:cantSplit/>
          <w:trHeight w:val="20"/>
        </w:trPr>
        <w:tc>
          <w:tcPr>
            <w:tcW w:w="738" w:type="pct"/>
            <w:vAlign w:val="center"/>
          </w:tcPr>
          <w:p w14:paraId="3A2F8EEB"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4D8A9321" w14:textId="7116D8C9" w:rsidR="004602C2" w:rsidRPr="00F7033D" w:rsidRDefault="004602C2" w:rsidP="00723ED5">
            <w:pPr>
              <w:jc w:val="left"/>
              <w:rPr>
                <w:rFonts w:eastAsia="Times New Roman" w:cstheme="minorHAnsi"/>
              </w:rPr>
            </w:pPr>
            <w:r w:rsidRPr="00F7033D">
              <w:rPr>
                <w:rFonts w:eastAsia="Times New Roman" w:cstheme="minorHAnsi"/>
              </w:rPr>
              <w:t>Metabolic Monitoring for Children and Adolescents on Antipsychotics—Blood Glucose &amp; Cholesterol (</w:t>
            </w:r>
            <w:r w:rsidR="0091589D">
              <w:rPr>
                <w:rFonts w:eastAsia="Times New Roman" w:cstheme="minorHAnsi"/>
              </w:rPr>
              <w:t xml:space="preserve">Ages </w:t>
            </w:r>
            <w:r w:rsidRPr="00F7033D">
              <w:rPr>
                <w:rFonts w:eastAsia="Times New Roman" w:cstheme="minorHAnsi"/>
              </w:rPr>
              <w:t xml:space="preserve">12–17 years) </w:t>
            </w:r>
          </w:p>
        </w:tc>
      </w:tr>
      <w:tr w:rsidR="004602C2" w:rsidRPr="00F7033D" w14:paraId="592C14E4" w14:textId="77777777" w:rsidTr="00231C6F">
        <w:trPr>
          <w:cantSplit/>
          <w:trHeight w:val="20"/>
        </w:trPr>
        <w:tc>
          <w:tcPr>
            <w:tcW w:w="738" w:type="pct"/>
            <w:vAlign w:val="center"/>
          </w:tcPr>
          <w:p w14:paraId="72B7D992"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1222B951" w14:textId="77777777" w:rsidR="004602C2" w:rsidRPr="00F7033D" w:rsidRDefault="004602C2" w:rsidP="00723ED5">
            <w:pPr>
              <w:jc w:val="left"/>
              <w:rPr>
                <w:rFonts w:eastAsia="Times New Roman" w:cstheme="minorHAnsi"/>
              </w:rPr>
            </w:pPr>
            <w:r w:rsidRPr="00F7033D">
              <w:rPr>
                <w:rFonts w:eastAsia="Times New Roman" w:cstheme="minorHAnsi"/>
              </w:rPr>
              <w:t xml:space="preserve">Metabolic Monitoring for Children and Adolescents on Antipsychotics—Blood Glucose &amp; Cholesterol (Total) </w:t>
            </w:r>
          </w:p>
        </w:tc>
      </w:tr>
      <w:tr w:rsidR="004602C2" w:rsidRPr="00F7033D" w14:paraId="2C808772" w14:textId="77777777" w:rsidTr="00231C6F">
        <w:trPr>
          <w:cantSplit/>
          <w:trHeight w:val="20"/>
        </w:trPr>
        <w:tc>
          <w:tcPr>
            <w:tcW w:w="738" w:type="pct"/>
            <w:vAlign w:val="center"/>
          </w:tcPr>
          <w:p w14:paraId="0B2A5F13"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738E131F" w14:textId="09D35D2C" w:rsidR="004602C2" w:rsidRPr="00F7033D" w:rsidRDefault="004602C2" w:rsidP="00723ED5">
            <w:pPr>
              <w:jc w:val="left"/>
              <w:rPr>
                <w:rFonts w:eastAsia="Times New Roman" w:cstheme="minorHAnsi"/>
              </w:rPr>
            </w:pPr>
            <w:r w:rsidRPr="00F7033D">
              <w:rPr>
                <w:rFonts w:eastAsia="Times New Roman" w:cstheme="minorHAnsi"/>
              </w:rPr>
              <w:t>Use of First-Line Psychosocial Care for Children and Adolescents on Antipsychotics (</w:t>
            </w:r>
            <w:r w:rsidR="0091589D">
              <w:rPr>
                <w:rFonts w:eastAsia="Times New Roman" w:cstheme="minorHAnsi"/>
              </w:rPr>
              <w:t xml:space="preserve">Ages </w:t>
            </w:r>
            <w:r w:rsidRPr="00F7033D">
              <w:rPr>
                <w:rFonts w:eastAsia="Times New Roman" w:cstheme="minorHAnsi"/>
              </w:rPr>
              <w:t>1–11 years)</w:t>
            </w:r>
          </w:p>
        </w:tc>
      </w:tr>
      <w:tr w:rsidR="004602C2" w:rsidRPr="00F7033D" w14:paraId="1F88F457" w14:textId="77777777" w:rsidTr="00231C6F">
        <w:trPr>
          <w:cantSplit/>
          <w:trHeight w:val="20"/>
        </w:trPr>
        <w:tc>
          <w:tcPr>
            <w:tcW w:w="738" w:type="pct"/>
            <w:vAlign w:val="center"/>
          </w:tcPr>
          <w:p w14:paraId="59D8EB91"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71D1FAA1" w14:textId="75867A0F" w:rsidR="004602C2" w:rsidRPr="00F7033D" w:rsidRDefault="004602C2" w:rsidP="00723ED5">
            <w:pPr>
              <w:jc w:val="left"/>
              <w:rPr>
                <w:rFonts w:eastAsia="Times New Roman" w:cstheme="minorHAnsi"/>
              </w:rPr>
            </w:pPr>
            <w:r w:rsidRPr="00F7033D">
              <w:rPr>
                <w:rFonts w:eastAsia="Times New Roman" w:cstheme="minorHAnsi"/>
              </w:rPr>
              <w:t>Use of First-Line Psychosocial Care for Children and Adolescents on Antipsychotics (</w:t>
            </w:r>
            <w:r w:rsidR="0091589D">
              <w:rPr>
                <w:rFonts w:eastAsia="Times New Roman" w:cstheme="minorHAnsi"/>
              </w:rPr>
              <w:t xml:space="preserve">Ages </w:t>
            </w:r>
            <w:r w:rsidRPr="00F7033D">
              <w:rPr>
                <w:rFonts w:eastAsia="Times New Roman" w:cstheme="minorHAnsi"/>
              </w:rPr>
              <w:t>12–17 years)</w:t>
            </w:r>
          </w:p>
        </w:tc>
      </w:tr>
      <w:tr w:rsidR="004602C2" w:rsidRPr="00F7033D" w14:paraId="7C2C8F68" w14:textId="77777777" w:rsidTr="00231C6F">
        <w:trPr>
          <w:cantSplit/>
          <w:trHeight w:val="20"/>
        </w:trPr>
        <w:tc>
          <w:tcPr>
            <w:tcW w:w="738" w:type="pct"/>
            <w:vAlign w:val="center"/>
          </w:tcPr>
          <w:p w14:paraId="64127F33" w14:textId="77777777" w:rsidR="004602C2" w:rsidRPr="00F7033D" w:rsidRDefault="004602C2" w:rsidP="00723ED5">
            <w:pPr>
              <w:jc w:val="center"/>
              <w:rPr>
                <w:rFonts w:cstheme="minorHAnsi"/>
              </w:rPr>
            </w:pPr>
            <w:r w:rsidRPr="00F7033D">
              <w:rPr>
                <w:rFonts w:cstheme="minorHAnsi"/>
              </w:rPr>
              <w:t>HEDIS</w:t>
            </w:r>
          </w:p>
        </w:tc>
        <w:tc>
          <w:tcPr>
            <w:tcW w:w="4262" w:type="pct"/>
            <w:vAlign w:val="center"/>
          </w:tcPr>
          <w:p w14:paraId="34A6C050" w14:textId="77777777" w:rsidR="004602C2" w:rsidRPr="00F7033D" w:rsidRDefault="004602C2" w:rsidP="00723ED5">
            <w:pPr>
              <w:jc w:val="left"/>
              <w:rPr>
                <w:rFonts w:eastAsia="Times New Roman" w:cstheme="minorHAnsi"/>
              </w:rPr>
            </w:pPr>
            <w:r w:rsidRPr="00F7033D">
              <w:rPr>
                <w:rFonts w:eastAsia="Times New Roman" w:cstheme="minorHAnsi"/>
              </w:rPr>
              <w:t>Use of First-Line Psychosocial Care for Children and Adolescents on Antipsychotics (Total)</w:t>
            </w:r>
          </w:p>
        </w:tc>
      </w:tr>
      <w:tr w:rsidR="004602C2" w:rsidRPr="00F7033D" w14:paraId="46173654" w14:textId="77777777" w:rsidTr="00723ED5">
        <w:trPr>
          <w:cantSplit/>
          <w:trHeight w:val="20"/>
        </w:trPr>
        <w:tc>
          <w:tcPr>
            <w:tcW w:w="5000" w:type="pct"/>
            <w:gridSpan w:val="2"/>
            <w:shd w:val="clear" w:color="auto" w:fill="CCC0D9" w:themeFill="accent4" w:themeFillTint="66"/>
            <w:vAlign w:val="center"/>
          </w:tcPr>
          <w:p w14:paraId="54867A85" w14:textId="77777777" w:rsidR="004602C2" w:rsidRPr="00F7033D" w:rsidRDefault="004602C2" w:rsidP="00723ED5">
            <w:pPr>
              <w:rPr>
                <w:rFonts w:cstheme="minorHAnsi"/>
                <w:color w:val="000000" w:themeColor="text1"/>
              </w:rPr>
            </w:pPr>
            <w:r w:rsidRPr="00F7033D">
              <w:rPr>
                <w:rFonts w:cstheme="minorHAnsi"/>
                <w:color w:val="000000" w:themeColor="text1"/>
              </w:rPr>
              <w:t>Utilization</w:t>
            </w:r>
          </w:p>
        </w:tc>
      </w:tr>
      <w:tr w:rsidR="004602C2" w:rsidRPr="00F7033D" w14:paraId="081DCAA0"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38C1195"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F8B252C" w14:textId="2FAFE30C" w:rsidR="004602C2" w:rsidRPr="00F7033D" w:rsidRDefault="004602C2" w:rsidP="00723ED5">
            <w:pPr>
              <w:jc w:val="left"/>
              <w:rPr>
                <w:rFonts w:eastAsia="Times New Roman" w:cstheme="minorHAnsi"/>
              </w:rPr>
            </w:pPr>
            <w:r w:rsidRPr="00F7033D">
              <w:rPr>
                <w:rFonts w:eastAsia="Times New Roman" w:cstheme="minorHAnsi"/>
              </w:rPr>
              <w:t>Ambulatory Care: Outpatient Visits/1</w:t>
            </w:r>
            <w:r w:rsidR="00311051">
              <w:rPr>
                <w:rFonts w:eastAsia="Times New Roman" w:cstheme="minorHAnsi"/>
              </w:rPr>
              <w:t>,</w:t>
            </w:r>
            <w:r w:rsidRPr="00F7033D">
              <w:rPr>
                <w:rFonts w:eastAsia="Times New Roman" w:cstheme="minorHAnsi"/>
              </w:rPr>
              <w:t>000 Member Months (Ages &lt; 1 year)</w:t>
            </w:r>
          </w:p>
        </w:tc>
      </w:tr>
      <w:tr w:rsidR="004602C2" w:rsidRPr="00F7033D" w14:paraId="06975062"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9F31418"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7D56D0DB" w14:textId="09A60560" w:rsidR="004602C2" w:rsidRPr="00F7033D" w:rsidRDefault="004602C2" w:rsidP="00723ED5">
            <w:pPr>
              <w:jc w:val="left"/>
              <w:rPr>
                <w:rFonts w:eastAsia="Times New Roman" w:cstheme="minorHAnsi"/>
              </w:rPr>
            </w:pPr>
            <w:r w:rsidRPr="00F7033D">
              <w:rPr>
                <w:rFonts w:eastAsia="Times New Roman" w:cstheme="minorHAnsi"/>
              </w:rPr>
              <w:t>Ambulatory Care: Outpatient Visits/1</w:t>
            </w:r>
            <w:r w:rsidR="00311051">
              <w:rPr>
                <w:rFonts w:eastAsia="Times New Roman" w:cstheme="minorHAnsi"/>
              </w:rPr>
              <w:t>,</w:t>
            </w:r>
            <w:r w:rsidRPr="00F7033D">
              <w:rPr>
                <w:rFonts w:eastAsia="Times New Roman" w:cstheme="minorHAnsi"/>
              </w:rPr>
              <w:t xml:space="preserve">000 Member Months (Ages 1–9 years) </w:t>
            </w:r>
          </w:p>
        </w:tc>
      </w:tr>
      <w:tr w:rsidR="004602C2" w:rsidRPr="00F7033D" w14:paraId="64593768"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5F3659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58D2F38" w14:textId="4128E853" w:rsidR="004602C2" w:rsidRPr="00F7033D" w:rsidRDefault="004602C2" w:rsidP="00723ED5">
            <w:pPr>
              <w:jc w:val="left"/>
              <w:rPr>
                <w:rFonts w:eastAsia="Times New Roman" w:cstheme="minorHAnsi"/>
              </w:rPr>
            </w:pPr>
            <w:r w:rsidRPr="00F7033D">
              <w:rPr>
                <w:rFonts w:eastAsia="Times New Roman" w:cstheme="minorHAnsi"/>
              </w:rPr>
              <w:t>Ambulatory Care: Outpatient Visits/1</w:t>
            </w:r>
            <w:r w:rsidR="00311051">
              <w:rPr>
                <w:rFonts w:eastAsia="Times New Roman" w:cstheme="minorHAnsi"/>
              </w:rPr>
              <w:t>,</w:t>
            </w:r>
            <w:r w:rsidRPr="00F7033D">
              <w:rPr>
                <w:rFonts w:eastAsia="Times New Roman" w:cstheme="minorHAnsi"/>
              </w:rPr>
              <w:t xml:space="preserve">000 Member Months (Ages 10–19 years) </w:t>
            </w:r>
          </w:p>
        </w:tc>
      </w:tr>
      <w:tr w:rsidR="004602C2" w:rsidRPr="00F7033D" w14:paraId="4289C3C4"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DAF763C"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F57B363" w14:textId="596597AF" w:rsidR="004602C2" w:rsidRPr="00F7033D" w:rsidRDefault="004602C2" w:rsidP="00723ED5">
            <w:pPr>
              <w:jc w:val="left"/>
              <w:rPr>
                <w:rFonts w:eastAsia="Times New Roman" w:cstheme="minorHAnsi"/>
              </w:rPr>
            </w:pPr>
            <w:r w:rsidRPr="00F7033D">
              <w:rPr>
                <w:rFonts w:eastAsia="Times New Roman" w:cstheme="minorHAnsi"/>
              </w:rPr>
              <w:t>Ambulatory Care: Outpatient Visits/1</w:t>
            </w:r>
            <w:r w:rsidR="00311051">
              <w:rPr>
                <w:rFonts w:eastAsia="Times New Roman" w:cstheme="minorHAnsi"/>
              </w:rPr>
              <w:t>,</w:t>
            </w:r>
            <w:r w:rsidRPr="00F7033D">
              <w:rPr>
                <w:rFonts w:eastAsia="Times New Roman" w:cstheme="minorHAnsi"/>
              </w:rPr>
              <w:t xml:space="preserve">000 Member Months (Ages &lt; 1-19 years) Total Rate </w:t>
            </w:r>
          </w:p>
        </w:tc>
      </w:tr>
      <w:tr w:rsidR="004602C2" w:rsidRPr="00F7033D" w14:paraId="480AF0B4"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3A281823"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F32B9B4" w14:textId="2979051E" w:rsidR="004602C2" w:rsidRPr="00F7033D" w:rsidRDefault="004602C2" w:rsidP="00723ED5">
            <w:pPr>
              <w:jc w:val="left"/>
              <w:rPr>
                <w:rFonts w:eastAsia="Times New Roman" w:cstheme="minorHAnsi"/>
              </w:rPr>
            </w:pPr>
            <w:r w:rsidRPr="00F7033D">
              <w:rPr>
                <w:rFonts w:eastAsia="Times New Roman" w:cstheme="minorHAnsi"/>
              </w:rPr>
              <w:t>Ambulatory Care:</w:t>
            </w:r>
            <w:r w:rsidRPr="00F7033D">
              <w:rPr>
                <w:rFonts w:cstheme="minorHAnsi"/>
              </w:rPr>
              <w:t xml:space="preserve"> </w:t>
            </w:r>
            <w:r w:rsidRPr="00F7033D">
              <w:rPr>
                <w:rFonts w:eastAsia="Times New Roman" w:cstheme="minorHAnsi"/>
              </w:rPr>
              <w:t>Emergency Department Visits/1</w:t>
            </w:r>
            <w:r w:rsidR="00311051">
              <w:rPr>
                <w:rFonts w:eastAsia="Times New Roman" w:cstheme="minorHAnsi"/>
              </w:rPr>
              <w:t>,</w:t>
            </w:r>
            <w:r w:rsidRPr="00F7033D">
              <w:rPr>
                <w:rFonts w:eastAsia="Times New Roman" w:cstheme="minorHAnsi"/>
              </w:rPr>
              <w:t xml:space="preserve">000 Member Months (Ages &lt; 1 years) </w:t>
            </w:r>
          </w:p>
        </w:tc>
      </w:tr>
      <w:tr w:rsidR="004602C2" w:rsidRPr="00F7033D" w14:paraId="5DD91D15"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6C0F9B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438B088" w14:textId="22C622FF" w:rsidR="004602C2" w:rsidRPr="00F7033D" w:rsidRDefault="004602C2" w:rsidP="00723ED5">
            <w:pPr>
              <w:jc w:val="left"/>
              <w:rPr>
                <w:rFonts w:eastAsia="Times New Roman" w:cstheme="minorHAnsi"/>
              </w:rPr>
            </w:pPr>
            <w:r w:rsidRPr="00F7033D">
              <w:rPr>
                <w:rFonts w:eastAsia="Times New Roman" w:cstheme="minorHAnsi"/>
              </w:rPr>
              <w:t>Ambulatory Care:</w:t>
            </w:r>
            <w:r w:rsidRPr="00F7033D">
              <w:rPr>
                <w:rFonts w:cstheme="minorHAnsi"/>
              </w:rPr>
              <w:t xml:space="preserve"> </w:t>
            </w:r>
            <w:r w:rsidRPr="00F7033D">
              <w:rPr>
                <w:rFonts w:eastAsia="Times New Roman" w:cstheme="minorHAnsi"/>
              </w:rPr>
              <w:t>Emergency Department Visits/1</w:t>
            </w:r>
            <w:r w:rsidR="00311051">
              <w:rPr>
                <w:rFonts w:eastAsia="Times New Roman" w:cstheme="minorHAnsi"/>
              </w:rPr>
              <w:t>,</w:t>
            </w:r>
            <w:r w:rsidRPr="00F7033D">
              <w:rPr>
                <w:rFonts w:eastAsia="Times New Roman" w:cstheme="minorHAnsi"/>
              </w:rPr>
              <w:t xml:space="preserve">000 Member Months (Ages 1–9 years) </w:t>
            </w:r>
          </w:p>
        </w:tc>
      </w:tr>
      <w:tr w:rsidR="004602C2" w:rsidRPr="00F7033D" w14:paraId="7ECA1581"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D3D9A00"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F49D700" w14:textId="263954F9" w:rsidR="004602C2" w:rsidRPr="00F7033D" w:rsidRDefault="004602C2" w:rsidP="00723ED5">
            <w:pPr>
              <w:jc w:val="left"/>
              <w:rPr>
                <w:rFonts w:eastAsia="Times New Roman" w:cstheme="minorHAnsi"/>
              </w:rPr>
            </w:pPr>
            <w:r w:rsidRPr="00F7033D">
              <w:rPr>
                <w:rFonts w:eastAsia="Times New Roman" w:cstheme="minorHAnsi"/>
              </w:rPr>
              <w:t>Ambulatory Care:</w:t>
            </w:r>
            <w:r w:rsidRPr="00F7033D">
              <w:rPr>
                <w:rFonts w:cstheme="minorHAnsi"/>
              </w:rPr>
              <w:t xml:space="preserve"> </w:t>
            </w:r>
            <w:r w:rsidRPr="00F7033D">
              <w:rPr>
                <w:rFonts w:eastAsia="Times New Roman" w:cstheme="minorHAnsi"/>
              </w:rPr>
              <w:t>Emergency Department Visits/1</w:t>
            </w:r>
            <w:r w:rsidR="00311051">
              <w:rPr>
                <w:rFonts w:eastAsia="Times New Roman" w:cstheme="minorHAnsi"/>
              </w:rPr>
              <w:t>,</w:t>
            </w:r>
            <w:r w:rsidRPr="00F7033D">
              <w:rPr>
                <w:rFonts w:eastAsia="Times New Roman" w:cstheme="minorHAnsi"/>
              </w:rPr>
              <w:t xml:space="preserve">000 Member Months (Ages 10–19 years) </w:t>
            </w:r>
          </w:p>
        </w:tc>
      </w:tr>
      <w:tr w:rsidR="004602C2" w:rsidRPr="00F7033D" w14:paraId="04DDDDF9"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9A7F578"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B80BCF5" w14:textId="007DA11D" w:rsidR="004602C2" w:rsidRPr="00F7033D" w:rsidRDefault="004602C2" w:rsidP="00723ED5">
            <w:pPr>
              <w:jc w:val="left"/>
              <w:rPr>
                <w:rFonts w:eastAsia="Times New Roman" w:cstheme="minorHAnsi"/>
              </w:rPr>
            </w:pPr>
            <w:r w:rsidRPr="00F7033D">
              <w:rPr>
                <w:rFonts w:eastAsia="Times New Roman" w:cstheme="minorHAnsi"/>
              </w:rPr>
              <w:t>Ambulatory Care:</w:t>
            </w:r>
            <w:r w:rsidRPr="00F7033D">
              <w:rPr>
                <w:rFonts w:cstheme="minorHAnsi"/>
              </w:rPr>
              <w:t xml:space="preserve"> </w:t>
            </w:r>
            <w:r w:rsidRPr="00F7033D">
              <w:rPr>
                <w:rFonts w:eastAsia="Times New Roman" w:cstheme="minorHAnsi"/>
              </w:rPr>
              <w:t>Emergency Department Visits/1</w:t>
            </w:r>
            <w:r w:rsidR="00311051">
              <w:rPr>
                <w:rFonts w:eastAsia="Times New Roman" w:cstheme="minorHAnsi"/>
              </w:rPr>
              <w:t>,</w:t>
            </w:r>
            <w:r w:rsidRPr="00F7033D">
              <w:rPr>
                <w:rFonts w:eastAsia="Times New Roman" w:cstheme="minorHAnsi"/>
              </w:rPr>
              <w:t>000 Member Months (Ages &lt; 1–19 years) Total Rate</w:t>
            </w:r>
          </w:p>
        </w:tc>
      </w:tr>
      <w:tr w:rsidR="004602C2" w:rsidRPr="00F7033D" w14:paraId="1A8BFEDD"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E993A33"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75A9ED3" w14:textId="6E9A820A"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Total Discharges/1</w:t>
            </w:r>
            <w:r w:rsidR="00311051">
              <w:rPr>
                <w:rFonts w:eastAsia="Times New Roman" w:cstheme="minorHAnsi"/>
              </w:rPr>
              <w:t>,</w:t>
            </w:r>
            <w:r w:rsidRPr="00F7033D">
              <w:rPr>
                <w:rFonts w:eastAsia="Times New Roman" w:cstheme="minorHAnsi"/>
              </w:rPr>
              <w:t>000 Member Months (Ages &lt; 1 year)</w:t>
            </w:r>
          </w:p>
        </w:tc>
      </w:tr>
      <w:tr w:rsidR="004602C2" w:rsidRPr="00F7033D" w14:paraId="7B5C5BA7"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7BD2195"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7DBDF491" w14:textId="387BB5CA"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Total Discharges/1</w:t>
            </w:r>
            <w:r w:rsidR="00311051">
              <w:rPr>
                <w:rFonts w:eastAsia="Times New Roman" w:cstheme="minorHAnsi"/>
              </w:rPr>
              <w:t>,</w:t>
            </w:r>
            <w:r w:rsidRPr="00F7033D">
              <w:rPr>
                <w:rFonts w:eastAsia="Times New Roman" w:cstheme="minorHAnsi"/>
              </w:rPr>
              <w:t>000 Member Months (Ages 1–9 years)</w:t>
            </w:r>
          </w:p>
        </w:tc>
      </w:tr>
      <w:tr w:rsidR="004602C2" w:rsidRPr="00F7033D" w14:paraId="1ABF4526"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13514F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C725F50" w14:textId="7CF9EB02"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Total Discharges/1</w:t>
            </w:r>
            <w:r w:rsidR="00311051">
              <w:rPr>
                <w:rFonts w:eastAsia="Times New Roman" w:cstheme="minorHAnsi"/>
              </w:rPr>
              <w:t>,</w:t>
            </w:r>
            <w:r w:rsidRPr="00F7033D">
              <w:rPr>
                <w:rFonts w:eastAsia="Times New Roman" w:cstheme="minorHAnsi"/>
              </w:rPr>
              <w:t>000 Member Months (Ages 10–19 years)</w:t>
            </w:r>
          </w:p>
        </w:tc>
      </w:tr>
      <w:tr w:rsidR="004602C2" w:rsidRPr="00F7033D" w14:paraId="35F8ACF2"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36CC886A" w14:textId="77777777" w:rsidR="004602C2" w:rsidRPr="00F7033D" w:rsidRDefault="004602C2" w:rsidP="00723ED5">
            <w:pPr>
              <w:jc w:val="center"/>
              <w:rPr>
                <w:rFonts w:cstheme="minorHAnsi"/>
              </w:rPr>
            </w:pPr>
            <w:r w:rsidRPr="00F7033D">
              <w:rPr>
                <w:rFonts w:cstheme="minorHAnsi"/>
              </w:rPr>
              <w:lastRenderedPageBreak/>
              <w:t>HEDIS</w:t>
            </w:r>
          </w:p>
        </w:tc>
        <w:tc>
          <w:tcPr>
            <w:tcW w:w="4262" w:type="pct"/>
            <w:tcBorders>
              <w:top w:val="single" w:sz="4" w:space="0" w:color="auto"/>
              <w:left w:val="single" w:sz="4" w:space="0" w:color="auto"/>
              <w:bottom w:val="single" w:sz="4" w:space="0" w:color="auto"/>
              <w:right w:val="single" w:sz="4" w:space="0" w:color="auto"/>
            </w:tcBorders>
            <w:vAlign w:val="center"/>
          </w:tcPr>
          <w:p w14:paraId="5F9A1A88" w14:textId="1AB9A9C2"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Total Discharges/1</w:t>
            </w:r>
            <w:r w:rsidR="00311051">
              <w:rPr>
                <w:rFonts w:eastAsia="Times New Roman" w:cstheme="minorHAnsi"/>
              </w:rPr>
              <w:t>,</w:t>
            </w:r>
            <w:r w:rsidRPr="00F7033D">
              <w:rPr>
                <w:rFonts w:eastAsia="Times New Roman" w:cstheme="minorHAnsi"/>
              </w:rPr>
              <w:t>000 Member Months (Ages &lt; 1–19 years) Total Rate</w:t>
            </w:r>
          </w:p>
        </w:tc>
      </w:tr>
      <w:tr w:rsidR="004602C2" w:rsidRPr="00F7033D" w14:paraId="5D1D9505"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00F9C14"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1E36EC7" w14:textId="5FB23F08"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Average Length of Stay/1</w:t>
            </w:r>
            <w:r w:rsidR="00311051">
              <w:rPr>
                <w:rFonts w:eastAsia="Times New Roman" w:cstheme="minorHAnsi"/>
              </w:rPr>
              <w:t>,</w:t>
            </w:r>
            <w:r w:rsidRPr="00F7033D">
              <w:rPr>
                <w:rFonts w:eastAsia="Times New Roman" w:cstheme="minorHAnsi"/>
              </w:rPr>
              <w:t>000 Member Months (Ages &lt; 1 year)</w:t>
            </w:r>
          </w:p>
        </w:tc>
      </w:tr>
      <w:tr w:rsidR="004602C2" w:rsidRPr="00F7033D" w14:paraId="474722C8"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2EABAA8"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20790B5" w14:textId="542901A7"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Average Length of Stay/1</w:t>
            </w:r>
            <w:r w:rsidR="00311051">
              <w:rPr>
                <w:rFonts w:eastAsia="Times New Roman" w:cstheme="minorHAnsi"/>
              </w:rPr>
              <w:t>,</w:t>
            </w:r>
            <w:r w:rsidRPr="00F7033D">
              <w:rPr>
                <w:rFonts w:eastAsia="Times New Roman" w:cstheme="minorHAnsi"/>
              </w:rPr>
              <w:t>000 Member Months (Ages 1–9 years)</w:t>
            </w:r>
          </w:p>
        </w:tc>
      </w:tr>
      <w:tr w:rsidR="004602C2" w:rsidRPr="00F7033D" w14:paraId="07EE228A"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F0E20E2"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C1049DB" w14:textId="44314526"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Average Length of Stay/1</w:t>
            </w:r>
            <w:r w:rsidR="00311051">
              <w:rPr>
                <w:rFonts w:eastAsia="Times New Roman" w:cstheme="minorHAnsi"/>
              </w:rPr>
              <w:t>,</w:t>
            </w:r>
            <w:r w:rsidRPr="00F7033D">
              <w:rPr>
                <w:rFonts w:eastAsia="Times New Roman" w:cstheme="minorHAnsi"/>
              </w:rPr>
              <w:t>000 Member Months (Ages 10–19 years)</w:t>
            </w:r>
          </w:p>
        </w:tc>
      </w:tr>
      <w:tr w:rsidR="004602C2" w:rsidRPr="00F7033D" w14:paraId="5D8FE814"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5AFC2A7"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2CB5530" w14:textId="3136A8B5"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Average Length of Stay/1</w:t>
            </w:r>
            <w:r w:rsidR="00311051">
              <w:rPr>
                <w:rFonts w:eastAsia="Times New Roman" w:cstheme="minorHAnsi"/>
              </w:rPr>
              <w:t>,</w:t>
            </w:r>
            <w:r w:rsidRPr="00F7033D">
              <w:rPr>
                <w:rFonts w:eastAsia="Times New Roman" w:cstheme="minorHAnsi"/>
              </w:rPr>
              <w:t>000 Member Months (Ages &lt; 1–19 years) Total Rate</w:t>
            </w:r>
          </w:p>
        </w:tc>
      </w:tr>
      <w:tr w:rsidR="004602C2" w:rsidRPr="00F7033D" w14:paraId="7467C5B4"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4C738B4"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9D751BF" w14:textId="18F302CB"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Surgery Discharges/1</w:t>
            </w:r>
            <w:r w:rsidR="00311051">
              <w:rPr>
                <w:rFonts w:eastAsia="Times New Roman" w:cstheme="minorHAnsi"/>
              </w:rPr>
              <w:t>,</w:t>
            </w:r>
            <w:r w:rsidRPr="00F7033D">
              <w:rPr>
                <w:rFonts w:eastAsia="Times New Roman" w:cstheme="minorHAnsi"/>
              </w:rPr>
              <w:t>000 Member Months (Ages &lt; 1 year)</w:t>
            </w:r>
          </w:p>
        </w:tc>
      </w:tr>
      <w:tr w:rsidR="004602C2" w:rsidRPr="00F7033D" w14:paraId="2A8012BC"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C1888DF"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4479DDD" w14:textId="3DBEF3D2"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Surgery Discharges/1</w:t>
            </w:r>
            <w:r w:rsidR="00311051">
              <w:rPr>
                <w:rFonts w:eastAsia="Times New Roman" w:cstheme="minorHAnsi"/>
              </w:rPr>
              <w:t>,</w:t>
            </w:r>
            <w:r w:rsidRPr="00F7033D">
              <w:rPr>
                <w:rFonts w:eastAsia="Times New Roman" w:cstheme="minorHAnsi"/>
              </w:rPr>
              <w:t>000 Member Months (Ages 1–9 years)</w:t>
            </w:r>
          </w:p>
        </w:tc>
      </w:tr>
      <w:tr w:rsidR="004602C2" w:rsidRPr="00F7033D" w14:paraId="1FFBE0E1"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E5B7BE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6AD434D" w14:textId="619CA377"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Surgery Discharges/1</w:t>
            </w:r>
            <w:r w:rsidR="00311051">
              <w:rPr>
                <w:rFonts w:eastAsia="Times New Roman" w:cstheme="minorHAnsi"/>
              </w:rPr>
              <w:t>,</w:t>
            </w:r>
            <w:r w:rsidRPr="00F7033D">
              <w:rPr>
                <w:rFonts w:eastAsia="Times New Roman" w:cstheme="minorHAnsi"/>
              </w:rPr>
              <w:t>000 Member Months (Ages 10–19 years)</w:t>
            </w:r>
          </w:p>
        </w:tc>
      </w:tr>
      <w:tr w:rsidR="004602C2" w:rsidRPr="00F7033D" w14:paraId="64E988AB"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CEECD8A"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04FEAA5" w14:textId="513806D0"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Surgery Discharges/1</w:t>
            </w:r>
            <w:r w:rsidR="00311051">
              <w:rPr>
                <w:rFonts w:eastAsia="Times New Roman" w:cstheme="minorHAnsi"/>
              </w:rPr>
              <w:t>,</w:t>
            </w:r>
            <w:r w:rsidRPr="00F7033D">
              <w:rPr>
                <w:rFonts w:eastAsia="Times New Roman" w:cstheme="minorHAnsi"/>
              </w:rPr>
              <w:t>000 Member Months (Ages &lt; 1–19 years) Total Rate</w:t>
            </w:r>
          </w:p>
        </w:tc>
      </w:tr>
      <w:tr w:rsidR="004602C2" w:rsidRPr="00F7033D" w14:paraId="5E6E952C"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E2CE1F5"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4AE56C0A" w14:textId="6D6A39B1"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Surgery Average Length of Stay/1</w:t>
            </w:r>
            <w:r w:rsidR="00311051">
              <w:rPr>
                <w:rFonts w:eastAsia="Times New Roman" w:cstheme="minorHAnsi"/>
              </w:rPr>
              <w:t>,</w:t>
            </w:r>
            <w:r w:rsidRPr="00F7033D">
              <w:rPr>
                <w:rFonts w:eastAsia="Times New Roman" w:cstheme="minorHAnsi"/>
              </w:rPr>
              <w:t>000 Member Months (Ages &lt; 1 year)</w:t>
            </w:r>
          </w:p>
        </w:tc>
      </w:tr>
      <w:tr w:rsidR="004602C2" w:rsidRPr="00F7033D" w14:paraId="64A66E27"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35D9525"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482F9651" w14:textId="1F343D3B"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Surgery Average Length of Stay/1</w:t>
            </w:r>
            <w:r w:rsidR="00311051">
              <w:rPr>
                <w:rFonts w:eastAsia="Times New Roman" w:cstheme="minorHAnsi"/>
              </w:rPr>
              <w:t>,</w:t>
            </w:r>
            <w:r w:rsidRPr="00F7033D">
              <w:rPr>
                <w:rFonts w:eastAsia="Times New Roman" w:cstheme="minorHAnsi"/>
              </w:rPr>
              <w:t>000 Member Months (Ages 1–9 years)</w:t>
            </w:r>
          </w:p>
        </w:tc>
      </w:tr>
      <w:tr w:rsidR="004602C2" w:rsidRPr="00F7033D" w14:paraId="659BF071"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FDCA801"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F262666" w14:textId="321DB2B6"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Surgery Average Length of Stay/1</w:t>
            </w:r>
            <w:r w:rsidR="00311051">
              <w:rPr>
                <w:rFonts w:eastAsia="Times New Roman" w:cstheme="minorHAnsi"/>
              </w:rPr>
              <w:t>,</w:t>
            </w:r>
            <w:r w:rsidRPr="00F7033D">
              <w:rPr>
                <w:rFonts w:eastAsia="Times New Roman" w:cstheme="minorHAnsi"/>
              </w:rPr>
              <w:t>000 Member Months (Ages 10–19 years)</w:t>
            </w:r>
          </w:p>
        </w:tc>
      </w:tr>
      <w:tr w:rsidR="004602C2" w:rsidRPr="00F7033D" w14:paraId="5B60F6DB"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A6413A4"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C524654" w14:textId="385DC563"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Surgery Average Length of Stay/1</w:t>
            </w:r>
            <w:r w:rsidR="00311051">
              <w:rPr>
                <w:rFonts w:eastAsia="Times New Roman" w:cstheme="minorHAnsi"/>
              </w:rPr>
              <w:t>,</w:t>
            </w:r>
            <w:r w:rsidRPr="00F7033D">
              <w:rPr>
                <w:rFonts w:eastAsia="Times New Roman" w:cstheme="minorHAnsi"/>
              </w:rPr>
              <w:t>000 Member Months (Ages &lt; 1–19 years) Total Rate</w:t>
            </w:r>
          </w:p>
        </w:tc>
      </w:tr>
      <w:tr w:rsidR="004602C2" w:rsidRPr="00F7033D" w14:paraId="0C441DB0"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31EB1071"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1E29392" w14:textId="006A3592"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Medicine Discharges/1</w:t>
            </w:r>
            <w:r w:rsidR="00311051">
              <w:rPr>
                <w:rFonts w:eastAsia="Times New Roman" w:cstheme="minorHAnsi"/>
              </w:rPr>
              <w:t>,</w:t>
            </w:r>
            <w:r w:rsidRPr="00F7033D">
              <w:rPr>
                <w:rFonts w:eastAsia="Times New Roman" w:cstheme="minorHAnsi"/>
              </w:rPr>
              <w:t>000 Member Months (Ages &lt; 1 year)</w:t>
            </w:r>
          </w:p>
        </w:tc>
      </w:tr>
      <w:tr w:rsidR="004602C2" w:rsidRPr="00F7033D" w14:paraId="0DBB21A5"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C338DA7"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0CE19A8" w14:textId="0595C3E9"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Medicine Discharges/1</w:t>
            </w:r>
            <w:r w:rsidR="00311051">
              <w:rPr>
                <w:rFonts w:eastAsia="Times New Roman" w:cstheme="minorHAnsi"/>
              </w:rPr>
              <w:t>,</w:t>
            </w:r>
            <w:r w:rsidRPr="00F7033D">
              <w:rPr>
                <w:rFonts w:eastAsia="Times New Roman" w:cstheme="minorHAnsi"/>
              </w:rPr>
              <w:t>000 Member Months (Ages 1–9 years)</w:t>
            </w:r>
          </w:p>
        </w:tc>
      </w:tr>
      <w:tr w:rsidR="004602C2" w:rsidRPr="00F7033D" w14:paraId="335C1E92"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F0661B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2DFEB8C" w14:textId="5D897904"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Medicine Discharges/1</w:t>
            </w:r>
            <w:r w:rsidR="00311051">
              <w:rPr>
                <w:rFonts w:eastAsia="Times New Roman" w:cstheme="minorHAnsi"/>
              </w:rPr>
              <w:t>,</w:t>
            </w:r>
            <w:r w:rsidRPr="00F7033D">
              <w:rPr>
                <w:rFonts w:eastAsia="Times New Roman" w:cstheme="minorHAnsi"/>
              </w:rPr>
              <w:t>000 Member Months (Ages 10–19 years)</w:t>
            </w:r>
          </w:p>
        </w:tc>
      </w:tr>
      <w:tr w:rsidR="004602C2" w:rsidRPr="00F7033D" w14:paraId="3DD6BCFE"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00D902B"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360A640" w14:textId="7DF47CB4"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Medicine Discharges/1</w:t>
            </w:r>
            <w:r w:rsidR="00311051">
              <w:rPr>
                <w:rFonts w:eastAsia="Times New Roman" w:cstheme="minorHAnsi"/>
              </w:rPr>
              <w:t>,</w:t>
            </w:r>
            <w:r w:rsidRPr="00F7033D">
              <w:rPr>
                <w:rFonts w:eastAsia="Times New Roman" w:cstheme="minorHAnsi"/>
              </w:rPr>
              <w:t>000 Member Months (Ages &lt; 1–19 years) Total Rate</w:t>
            </w:r>
          </w:p>
        </w:tc>
      </w:tr>
      <w:tr w:rsidR="004602C2" w:rsidRPr="00F7033D" w14:paraId="08452973"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21D2AA5"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3F9FBFE" w14:textId="2760F5B6"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Medicine Average Length of Stay/1</w:t>
            </w:r>
            <w:r w:rsidR="00311051">
              <w:rPr>
                <w:rFonts w:eastAsia="Times New Roman" w:cstheme="minorHAnsi"/>
              </w:rPr>
              <w:t>,</w:t>
            </w:r>
            <w:r w:rsidRPr="00F7033D">
              <w:rPr>
                <w:rFonts w:eastAsia="Times New Roman" w:cstheme="minorHAnsi"/>
              </w:rPr>
              <w:t>000 Member Months (Ages &lt; 1 year)</w:t>
            </w:r>
          </w:p>
        </w:tc>
      </w:tr>
      <w:tr w:rsidR="004602C2" w:rsidRPr="00F7033D" w14:paraId="5908AD5E"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053E303"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D38D9D0" w14:textId="4DBF0562"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Medicine Average Length of Stay/1</w:t>
            </w:r>
            <w:r w:rsidR="00311051">
              <w:rPr>
                <w:rFonts w:eastAsia="Times New Roman" w:cstheme="minorHAnsi"/>
              </w:rPr>
              <w:t>,</w:t>
            </w:r>
            <w:r w:rsidRPr="00F7033D">
              <w:rPr>
                <w:rFonts w:eastAsia="Times New Roman" w:cstheme="minorHAnsi"/>
              </w:rPr>
              <w:t>000 Member Months (Ages 1–9 years)</w:t>
            </w:r>
          </w:p>
        </w:tc>
      </w:tr>
      <w:tr w:rsidR="004602C2" w:rsidRPr="00F7033D" w14:paraId="16B6ADC1"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3CEFE0D1"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9907A75" w14:textId="343E5845"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Medicine Average Length of Stay/1</w:t>
            </w:r>
            <w:r w:rsidR="00311051">
              <w:rPr>
                <w:rFonts w:eastAsia="Times New Roman" w:cstheme="minorHAnsi"/>
              </w:rPr>
              <w:t>,</w:t>
            </w:r>
            <w:r w:rsidRPr="00F7033D">
              <w:rPr>
                <w:rFonts w:eastAsia="Times New Roman" w:cstheme="minorHAnsi"/>
              </w:rPr>
              <w:t>000 Member Months (Ages 10–19 years)</w:t>
            </w:r>
          </w:p>
        </w:tc>
      </w:tr>
      <w:tr w:rsidR="004602C2" w:rsidRPr="00F7033D" w14:paraId="26EFEF8D"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9347105"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BE0B796" w14:textId="56CD1679"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Medicine Average Length of Stay/1</w:t>
            </w:r>
            <w:r w:rsidR="00311051">
              <w:rPr>
                <w:rFonts w:eastAsia="Times New Roman" w:cstheme="minorHAnsi"/>
              </w:rPr>
              <w:t>,</w:t>
            </w:r>
            <w:r w:rsidRPr="00F7033D">
              <w:rPr>
                <w:rFonts w:eastAsia="Times New Roman" w:cstheme="minorHAnsi"/>
              </w:rPr>
              <w:t>000 Member Months (Ages &lt; 1–19 years) Total Rate</w:t>
            </w:r>
          </w:p>
        </w:tc>
      </w:tr>
      <w:tr w:rsidR="004602C2" w:rsidRPr="00F7033D" w14:paraId="4A5AD157"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DC5CA04"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7E3D479" w14:textId="14E3FDC5"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Maternity</w:t>
            </w:r>
            <w:r w:rsidR="00A405D6">
              <w:rPr>
                <w:rFonts w:eastAsia="Times New Roman" w:cstheme="minorHAnsi"/>
              </w:rPr>
              <w:t xml:space="preserve"> Discharges</w:t>
            </w:r>
            <w:r w:rsidRPr="00F7033D">
              <w:rPr>
                <w:rFonts w:eastAsia="Times New Roman" w:cstheme="minorHAnsi"/>
              </w:rPr>
              <w:t>/1</w:t>
            </w:r>
            <w:r w:rsidR="00311051">
              <w:rPr>
                <w:rFonts w:eastAsia="Times New Roman" w:cstheme="minorHAnsi"/>
              </w:rPr>
              <w:t>,</w:t>
            </w:r>
            <w:r w:rsidRPr="00F7033D">
              <w:rPr>
                <w:rFonts w:eastAsia="Times New Roman" w:cstheme="minorHAnsi"/>
              </w:rPr>
              <w:t>000 Member Months (Ages 10–19 years)</w:t>
            </w:r>
          </w:p>
        </w:tc>
      </w:tr>
      <w:tr w:rsidR="004602C2" w:rsidRPr="00F7033D" w14:paraId="4A1D5CDE"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91DD6F7"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8CC8BD6" w14:textId="42741CE7" w:rsidR="004602C2" w:rsidRPr="00F7033D" w:rsidRDefault="004602C2" w:rsidP="00723ED5">
            <w:pPr>
              <w:jc w:val="left"/>
              <w:rPr>
                <w:rFonts w:eastAsia="Times New Roman" w:cstheme="minorHAnsi"/>
              </w:rPr>
            </w:pPr>
            <w:r w:rsidRPr="00F7033D">
              <w:rPr>
                <w:rFonts w:eastAsia="Times New Roman" w:cstheme="minorHAnsi"/>
              </w:rPr>
              <w:t>Inpatient Utilization—General Hospital/Acute Care: Maternity Average Length of Stay/1</w:t>
            </w:r>
            <w:r w:rsidR="00115446">
              <w:rPr>
                <w:rFonts w:eastAsia="Times New Roman" w:cstheme="minorHAnsi"/>
              </w:rPr>
              <w:t>,</w:t>
            </w:r>
            <w:r w:rsidRPr="00F7033D">
              <w:rPr>
                <w:rFonts w:eastAsia="Times New Roman" w:cstheme="minorHAnsi"/>
              </w:rPr>
              <w:t>000 Member Months (Ages 10–19 years) Total Rate</w:t>
            </w:r>
          </w:p>
        </w:tc>
      </w:tr>
      <w:tr w:rsidR="004602C2" w:rsidRPr="00F7033D" w14:paraId="3D466368"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3809F77"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8728ADF"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Any Services (Ages 0–12 years)</w:t>
            </w:r>
            <w:r w:rsidRPr="00F7033D">
              <w:rPr>
                <w:rFonts w:cstheme="minorHAnsi"/>
              </w:rPr>
              <w:t>—</w:t>
            </w:r>
            <w:r w:rsidRPr="00F7033D">
              <w:rPr>
                <w:rFonts w:eastAsia="Times New Roman" w:cstheme="minorHAnsi"/>
              </w:rPr>
              <w:t>Male</w:t>
            </w:r>
          </w:p>
        </w:tc>
      </w:tr>
      <w:tr w:rsidR="004602C2" w:rsidRPr="00F7033D" w14:paraId="6EDF2487"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06050D1"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A093912"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Any Services (Ages 0–12 years)—Female</w:t>
            </w:r>
          </w:p>
        </w:tc>
      </w:tr>
      <w:tr w:rsidR="004602C2" w:rsidRPr="00F7033D" w14:paraId="64CE8C4D"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18949B4"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ADD3F35"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Any Services (Ages 0–12 years)—Total Rate</w:t>
            </w:r>
          </w:p>
        </w:tc>
      </w:tr>
      <w:tr w:rsidR="004602C2" w:rsidRPr="00F7033D" w14:paraId="33CA04C6"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2E94637"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A37A537"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Any Services (Ages 13–17 years)—Male</w:t>
            </w:r>
          </w:p>
        </w:tc>
      </w:tr>
      <w:tr w:rsidR="004602C2" w:rsidRPr="00F7033D" w14:paraId="1B008CC1"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825F8F1"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3CC2DAA"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Any Services (Ages 13–17 years)—Female</w:t>
            </w:r>
          </w:p>
        </w:tc>
      </w:tr>
      <w:tr w:rsidR="004602C2" w:rsidRPr="00F7033D" w14:paraId="5871FC69"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F249237" w14:textId="77777777" w:rsidR="004602C2" w:rsidRPr="00F7033D" w:rsidRDefault="004602C2" w:rsidP="00723ED5">
            <w:pPr>
              <w:jc w:val="center"/>
              <w:rPr>
                <w:rFonts w:cstheme="minorHAnsi"/>
              </w:rPr>
            </w:pPr>
            <w:r w:rsidRPr="00F7033D">
              <w:rPr>
                <w:rFonts w:cstheme="minorHAnsi"/>
              </w:rPr>
              <w:lastRenderedPageBreak/>
              <w:t>HEDIS</w:t>
            </w:r>
          </w:p>
        </w:tc>
        <w:tc>
          <w:tcPr>
            <w:tcW w:w="4262" w:type="pct"/>
            <w:tcBorders>
              <w:top w:val="single" w:sz="4" w:space="0" w:color="auto"/>
              <w:left w:val="single" w:sz="4" w:space="0" w:color="auto"/>
              <w:bottom w:val="single" w:sz="4" w:space="0" w:color="auto"/>
              <w:right w:val="single" w:sz="4" w:space="0" w:color="auto"/>
            </w:tcBorders>
            <w:vAlign w:val="center"/>
          </w:tcPr>
          <w:p w14:paraId="390A3A79"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Any Services (Ages 13–17 years)—Total Rate</w:t>
            </w:r>
          </w:p>
        </w:tc>
      </w:tr>
      <w:tr w:rsidR="004602C2" w:rsidRPr="00F7033D" w14:paraId="1D2A318C"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7ED3AC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2F50769"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Inpatient (Ages 0–12 years)—Male</w:t>
            </w:r>
          </w:p>
        </w:tc>
      </w:tr>
      <w:tr w:rsidR="004602C2" w:rsidRPr="00F7033D" w14:paraId="2A59FD7C"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6BB78A2"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10FE893"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Inpatient (Ages 0–12 years)—Female</w:t>
            </w:r>
          </w:p>
        </w:tc>
      </w:tr>
      <w:tr w:rsidR="004602C2" w:rsidRPr="00F7033D" w14:paraId="7A2B8364"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95E4CB8"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1B22469"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Inpatient (Ages 0–12 years)—Total Rate</w:t>
            </w:r>
          </w:p>
        </w:tc>
      </w:tr>
      <w:tr w:rsidR="004602C2" w:rsidRPr="00F7033D" w14:paraId="1E05F50C"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25C9CD2"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5F90A1D"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Inpatient (Ages 13–17 years)—Male</w:t>
            </w:r>
          </w:p>
        </w:tc>
      </w:tr>
      <w:tr w:rsidR="004602C2" w:rsidRPr="00F7033D" w14:paraId="234DF9E2"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596802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9BF8494"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Inpatient (Ages 13–17 years)—Female</w:t>
            </w:r>
          </w:p>
        </w:tc>
      </w:tr>
      <w:tr w:rsidR="004602C2" w:rsidRPr="00F7033D" w14:paraId="4C2A08F7"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1781DF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78220516"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Inpatient (Ages 13–17 years)—Total Rate</w:t>
            </w:r>
          </w:p>
        </w:tc>
      </w:tr>
      <w:tr w:rsidR="004602C2" w:rsidRPr="00F7033D" w14:paraId="6C2A63E1"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3A6C75F"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303B409C"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Intensive Outpatient/Partial Hospitalization (Ages 0–12 years)—Male</w:t>
            </w:r>
          </w:p>
        </w:tc>
      </w:tr>
      <w:tr w:rsidR="004602C2" w:rsidRPr="00F7033D" w14:paraId="5CAA5AEC"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3146AC52"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7F4D89BF"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Intensive Outpatient/Partial Hospitalization (Ages 0–12 years)—Female</w:t>
            </w:r>
          </w:p>
        </w:tc>
      </w:tr>
      <w:tr w:rsidR="004602C2" w:rsidRPr="00F7033D" w14:paraId="73A4942C"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E6EF75D"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2146647"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Intensive Outpatient/Partial Hospitalization (Ages 0–12 years)—Total Rate</w:t>
            </w:r>
          </w:p>
        </w:tc>
      </w:tr>
      <w:tr w:rsidR="004602C2" w:rsidRPr="00F7033D" w14:paraId="4BFC3CE1"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BD548C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055F09C"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Intensive Outpatient/Partial Hospitalization (Ages 13–17 years)—Male</w:t>
            </w:r>
          </w:p>
        </w:tc>
      </w:tr>
      <w:tr w:rsidR="004602C2" w:rsidRPr="00F7033D" w14:paraId="1ABFDCAD"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6B8640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AE1FD52"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Intensive Outpatient/Partial Hospitalization (Ages 13–17 years)—Female</w:t>
            </w:r>
          </w:p>
        </w:tc>
      </w:tr>
      <w:tr w:rsidR="004602C2" w:rsidRPr="00F7033D" w14:paraId="1BB5C0FA"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D81A0EE"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1079A44"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Intensive Outpatient/Partial Hospitalization (Ages 13–17 years)—Total Rate</w:t>
            </w:r>
          </w:p>
        </w:tc>
      </w:tr>
      <w:tr w:rsidR="004602C2" w:rsidRPr="00F7033D" w14:paraId="7C54ED43"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6B8F8FC"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134A970"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Outpatient (Ages 0–12 years)—Male</w:t>
            </w:r>
          </w:p>
        </w:tc>
      </w:tr>
      <w:tr w:rsidR="004602C2" w:rsidRPr="00F7033D" w14:paraId="76027A19"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11F150B"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077263C"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Outpatient (Ages 0–12 years)—Female</w:t>
            </w:r>
          </w:p>
        </w:tc>
      </w:tr>
      <w:tr w:rsidR="004602C2" w:rsidRPr="00F7033D" w14:paraId="648655EE"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8131B0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7000A9FE"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Outpatient (Ages 0–12 years)—Total Rate</w:t>
            </w:r>
          </w:p>
        </w:tc>
      </w:tr>
      <w:tr w:rsidR="004602C2" w:rsidRPr="00F7033D" w14:paraId="542FC566"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09B7197"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36617770"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Outpatient (Ages 13–17 years)—Male</w:t>
            </w:r>
          </w:p>
        </w:tc>
      </w:tr>
      <w:tr w:rsidR="004602C2" w:rsidRPr="00F7033D" w14:paraId="247625F3"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7B4BF5C"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7C1DF613"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Outpatient (Ages 13–17 years)—Female</w:t>
            </w:r>
          </w:p>
        </w:tc>
      </w:tr>
      <w:tr w:rsidR="004602C2" w:rsidRPr="00F7033D" w14:paraId="00137C7B"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39A963E"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3C82C6DA"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Outpatient (Ages 13–17 years)—Total Rate</w:t>
            </w:r>
          </w:p>
        </w:tc>
      </w:tr>
      <w:tr w:rsidR="004602C2" w:rsidRPr="00F7033D" w14:paraId="646809FA"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69B21A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866A22B"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Emergency Department (Ages 0–12 years)—Male</w:t>
            </w:r>
          </w:p>
        </w:tc>
      </w:tr>
      <w:tr w:rsidR="004602C2" w:rsidRPr="00F7033D" w14:paraId="78278892"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653B8F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4EBE11A"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Emergency Department (Ages 0–12 years)—Female</w:t>
            </w:r>
          </w:p>
        </w:tc>
      </w:tr>
      <w:tr w:rsidR="004602C2" w:rsidRPr="00F7033D" w14:paraId="011FD206"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FAF38FC"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029DD69"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Emergency Department (Ages 0–12 years)—Total Rate</w:t>
            </w:r>
          </w:p>
        </w:tc>
      </w:tr>
      <w:tr w:rsidR="004602C2" w:rsidRPr="00F7033D" w14:paraId="21234EE9"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3CC8F198"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3E91DA7"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Emergency Department (Ages 13–17 years)—Male</w:t>
            </w:r>
          </w:p>
        </w:tc>
      </w:tr>
      <w:tr w:rsidR="004602C2" w:rsidRPr="00F7033D" w14:paraId="219EA329"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296FFCF"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5E086C2"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Emergency Department (Ages 13–17 years)—Female</w:t>
            </w:r>
          </w:p>
        </w:tc>
      </w:tr>
      <w:tr w:rsidR="004602C2" w:rsidRPr="00F7033D" w14:paraId="68C57F1B"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DE617D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F2D5291"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Emergency Department (Ages 13–17 years)—Total Rate</w:t>
            </w:r>
          </w:p>
        </w:tc>
      </w:tr>
      <w:tr w:rsidR="004602C2" w:rsidRPr="00F7033D" w14:paraId="45577C62"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BAA275D"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49B524F4"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Telehealth (Ages 0–12 years)—Male</w:t>
            </w:r>
          </w:p>
        </w:tc>
      </w:tr>
      <w:tr w:rsidR="004602C2" w:rsidRPr="00F7033D" w14:paraId="32BB0653"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84B89FA"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4F91583"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Telehealth (Ages 0–12 years)—Female</w:t>
            </w:r>
          </w:p>
        </w:tc>
      </w:tr>
      <w:tr w:rsidR="004602C2" w:rsidRPr="00F7033D" w14:paraId="4BC44DEF"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BEE7FC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7A90F80"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Telehealth (Ages 0–12 years)—Total Rate</w:t>
            </w:r>
          </w:p>
        </w:tc>
      </w:tr>
      <w:tr w:rsidR="004602C2" w:rsidRPr="00F7033D" w14:paraId="3F6EC16C"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4EE98A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062F572"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Telehealth (Ages 13–17 years)—Male</w:t>
            </w:r>
          </w:p>
        </w:tc>
      </w:tr>
      <w:tr w:rsidR="004602C2" w:rsidRPr="00F7033D" w14:paraId="434DE624"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6FF301E"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6E5A73E"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Telehealth (Ages 13–17 years)—Female</w:t>
            </w:r>
          </w:p>
        </w:tc>
      </w:tr>
      <w:tr w:rsidR="004602C2" w:rsidRPr="00F7033D" w14:paraId="20F92E0F"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E82CD25"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B04C4A8" w14:textId="77777777" w:rsidR="004602C2" w:rsidRPr="00F7033D" w:rsidRDefault="004602C2" w:rsidP="00723ED5">
            <w:pPr>
              <w:jc w:val="left"/>
              <w:rPr>
                <w:rFonts w:eastAsia="Times New Roman" w:cstheme="minorHAnsi"/>
              </w:rPr>
            </w:pPr>
            <w:r w:rsidRPr="00F7033D">
              <w:rPr>
                <w:rFonts w:eastAsia="Times New Roman" w:cstheme="minorHAnsi"/>
              </w:rPr>
              <w:t>Mental Health Utilization: Telehealth (Ages 13–17 years)—Total Rate</w:t>
            </w:r>
          </w:p>
        </w:tc>
      </w:tr>
      <w:tr w:rsidR="004602C2" w:rsidRPr="00F7033D" w14:paraId="76DD0748"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268C4CD"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852ADA9"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Any Services (Ages 0–12 years)—Male</w:t>
            </w:r>
          </w:p>
        </w:tc>
      </w:tr>
      <w:tr w:rsidR="004602C2" w:rsidRPr="00F7033D" w14:paraId="76FD9D9C"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86D3BA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31968874"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Any Services (Ages 0–12 years)—Female</w:t>
            </w:r>
          </w:p>
        </w:tc>
      </w:tr>
      <w:tr w:rsidR="004602C2" w:rsidRPr="00F7033D" w14:paraId="24CAC637"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A9450D8"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6EE7352"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Any Services (Ages 0–12 years)—Total Rate</w:t>
            </w:r>
          </w:p>
        </w:tc>
      </w:tr>
      <w:tr w:rsidR="004602C2" w:rsidRPr="00F7033D" w14:paraId="41445633"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222F304"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1D19B6C"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Any Services (Ages 13–17 years)—Male</w:t>
            </w:r>
          </w:p>
        </w:tc>
      </w:tr>
      <w:tr w:rsidR="004602C2" w:rsidRPr="00F7033D" w14:paraId="2A86F6E7"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5ABC5CE"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9D06386"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Any Services (Ages 13–17 years)—Female</w:t>
            </w:r>
          </w:p>
        </w:tc>
      </w:tr>
      <w:tr w:rsidR="004602C2" w:rsidRPr="00F7033D" w14:paraId="73E74E3D"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6BAD2FD"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83CE9F0"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Any Services (Ages 13–17 years)—Total Rate</w:t>
            </w:r>
          </w:p>
        </w:tc>
      </w:tr>
      <w:tr w:rsidR="004602C2" w:rsidRPr="00F7033D" w14:paraId="326585F1"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BB160E4"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EDEBF81"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Inpatient (Ages 0–12 years)—Male</w:t>
            </w:r>
          </w:p>
        </w:tc>
      </w:tr>
      <w:tr w:rsidR="004602C2" w:rsidRPr="00F7033D" w14:paraId="2D8C8448"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BD02C5D"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7C42E65D"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Inpatient (Ages 0–12 years)—Female</w:t>
            </w:r>
          </w:p>
        </w:tc>
      </w:tr>
      <w:tr w:rsidR="004602C2" w:rsidRPr="00F7033D" w14:paraId="33311478"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2BB99CC"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7207E034"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Inpatient (Ages 0–12 years)—Total Rate</w:t>
            </w:r>
          </w:p>
        </w:tc>
      </w:tr>
      <w:tr w:rsidR="004602C2" w:rsidRPr="00F7033D" w14:paraId="3F00326B"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CEB0772"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F89A808"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Inpatient (Ages 13–17 years)—Male</w:t>
            </w:r>
          </w:p>
        </w:tc>
      </w:tr>
      <w:tr w:rsidR="004602C2" w:rsidRPr="00F7033D" w14:paraId="48DBEBA0"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59B01D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6A2A68B"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Inpatient (Ages 13–17 years)—Female</w:t>
            </w:r>
          </w:p>
        </w:tc>
      </w:tr>
      <w:tr w:rsidR="004602C2" w:rsidRPr="00F7033D" w14:paraId="43047C10"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37EB3DC1"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6ACECC7"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Inpatient (Ages 13–17 years)—Total Rate</w:t>
            </w:r>
          </w:p>
        </w:tc>
      </w:tr>
      <w:tr w:rsidR="004602C2" w:rsidRPr="00F7033D" w14:paraId="6FEF2A33"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1E184FA0"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5B3707D"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Intensive Outpatient/Partial Hospitalization (Ages 0–12 years)—Male</w:t>
            </w:r>
          </w:p>
        </w:tc>
      </w:tr>
      <w:tr w:rsidR="004602C2" w:rsidRPr="00F7033D" w14:paraId="61195C85"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532C89C"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4846D9AB"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Intensive Outpatient/Partial Hospitalization (Ages 0–12 years)—Female</w:t>
            </w:r>
          </w:p>
        </w:tc>
      </w:tr>
      <w:tr w:rsidR="004602C2" w:rsidRPr="00F7033D" w14:paraId="7312AB1A"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4FF4DA2" w14:textId="77777777" w:rsidR="004602C2" w:rsidRPr="00F7033D" w:rsidRDefault="004602C2" w:rsidP="00723ED5">
            <w:pPr>
              <w:jc w:val="center"/>
              <w:rPr>
                <w:rFonts w:cstheme="minorHAnsi"/>
              </w:rPr>
            </w:pPr>
            <w:r w:rsidRPr="00F7033D">
              <w:rPr>
                <w:rFonts w:cstheme="minorHAnsi"/>
              </w:rPr>
              <w:lastRenderedPageBreak/>
              <w:t>HEDIS</w:t>
            </w:r>
          </w:p>
        </w:tc>
        <w:tc>
          <w:tcPr>
            <w:tcW w:w="4262" w:type="pct"/>
            <w:tcBorders>
              <w:top w:val="single" w:sz="4" w:space="0" w:color="auto"/>
              <w:left w:val="single" w:sz="4" w:space="0" w:color="auto"/>
              <w:bottom w:val="single" w:sz="4" w:space="0" w:color="auto"/>
              <w:right w:val="single" w:sz="4" w:space="0" w:color="auto"/>
            </w:tcBorders>
            <w:vAlign w:val="center"/>
          </w:tcPr>
          <w:p w14:paraId="7152083B"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Intensive Outpatient/Partial Hospitalization (Ages 0–12 years)—Total Rate</w:t>
            </w:r>
          </w:p>
        </w:tc>
      </w:tr>
      <w:tr w:rsidR="004602C2" w:rsidRPr="00F7033D" w14:paraId="3936C3FD"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E3B056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94AE4C3"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Intensive Outpatient/Partial Hospitalization (Ages 13–17 years)—Male</w:t>
            </w:r>
          </w:p>
        </w:tc>
      </w:tr>
      <w:tr w:rsidR="004602C2" w:rsidRPr="00F7033D" w14:paraId="2ADC9F1F"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5098EC4"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AB69E1D"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Intensive Outpatient/Partial Hospitalization (Ages 13–17 years)—Female</w:t>
            </w:r>
          </w:p>
        </w:tc>
      </w:tr>
      <w:tr w:rsidR="004602C2" w:rsidRPr="00F7033D" w14:paraId="437B67CD"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CD120E8"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DE84A69"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Intensive Outpatient/Partial Hospitalization (Ages 13–17 years)—Total Rate</w:t>
            </w:r>
          </w:p>
        </w:tc>
      </w:tr>
      <w:tr w:rsidR="004602C2" w:rsidRPr="00F7033D" w14:paraId="09A3C7CE"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7049EC27"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EF57559"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Outpatient (Ages 0–12 years)—Male</w:t>
            </w:r>
          </w:p>
        </w:tc>
      </w:tr>
      <w:tr w:rsidR="004602C2" w:rsidRPr="00F7033D" w14:paraId="6414AEC5"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B34CF9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40D0F66"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Outpatient (Ages 0–12 years)—Female</w:t>
            </w:r>
          </w:p>
        </w:tc>
      </w:tr>
      <w:tr w:rsidR="004602C2" w:rsidRPr="00F7033D" w14:paraId="6E661464"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88198EE"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6ED4A25F"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Outpatient (Ages 0–12 years)—Total Rate</w:t>
            </w:r>
          </w:p>
        </w:tc>
      </w:tr>
      <w:tr w:rsidR="004602C2" w:rsidRPr="00F7033D" w14:paraId="2684CEC3"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D292029"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DC3AB06"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Outpatient (Ages 13–17 years)—Male</w:t>
            </w:r>
          </w:p>
        </w:tc>
      </w:tr>
      <w:tr w:rsidR="004602C2" w:rsidRPr="00F7033D" w14:paraId="267082B3"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FFCD08D"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30D99687"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Outpatient (Ages 13–17 years)—Female</w:t>
            </w:r>
          </w:p>
        </w:tc>
      </w:tr>
      <w:tr w:rsidR="004602C2" w:rsidRPr="00F7033D" w14:paraId="6902FE37"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552D5B5"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5DD61F0"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Outpatient (Ages 13–17 years)—Total Rate</w:t>
            </w:r>
          </w:p>
        </w:tc>
      </w:tr>
      <w:tr w:rsidR="004602C2" w:rsidRPr="00F7033D" w14:paraId="7210DEF3"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32DF6F81"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40C57471"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Emergency Department (Ages 0–12 years)—Male</w:t>
            </w:r>
          </w:p>
        </w:tc>
      </w:tr>
      <w:tr w:rsidR="004602C2" w:rsidRPr="00F7033D" w14:paraId="540DB656"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0C46108F"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76F5F039"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Emergency Department (Ages 0–12 years)—Female</w:t>
            </w:r>
          </w:p>
        </w:tc>
      </w:tr>
      <w:tr w:rsidR="004602C2" w:rsidRPr="00F7033D" w14:paraId="41E0A190"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D18F65B"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31AFD73A"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Emergency Department (Ages 0–12 years)—Total Rate</w:t>
            </w:r>
          </w:p>
        </w:tc>
      </w:tr>
      <w:tr w:rsidR="004602C2" w:rsidRPr="00F7033D" w14:paraId="0CEF5565"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1A2F4D1"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4396D828"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Emergency Department (Ages 13–17 years)—Male</w:t>
            </w:r>
          </w:p>
        </w:tc>
      </w:tr>
      <w:tr w:rsidR="004602C2" w:rsidRPr="00F7033D" w14:paraId="1CEA030B"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4ABB585"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5A5F8123"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Emergency Department (Ages 13–17 years)—Female</w:t>
            </w:r>
          </w:p>
        </w:tc>
      </w:tr>
      <w:tr w:rsidR="004602C2" w:rsidRPr="00F7033D" w14:paraId="0C485BE0"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588382FA"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4844A3AF"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Emergency Department (Ages 13–17 years)—Total Rate</w:t>
            </w:r>
          </w:p>
        </w:tc>
      </w:tr>
      <w:tr w:rsidR="004602C2" w:rsidRPr="00F7033D" w14:paraId="5B8C7EEA"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4EF9580C"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4EB39CA0"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Telehealth (Ages 0–12 years)—Male</w:t>
            </w:r>
          </w:p>
        </w:tc>
      </w:tr>
      <w:tr w:rsidR="004602C2" w:rsidRPr="00F7033D" w14:paraId="424D5096"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37EDBA37"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360D9657"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Telehealth (Ages 0–12 years)—Female</w:t>
            </w:r>
          </w:p>
        </w:tc>
      </w:tr>
      <w:tr w:rsidR="004602C2" w:rsidRPr="00F7033D" w14:paraId="58B4B534"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B196130"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7B227FC"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Telehealth (Ages 0–12 years)—Total Rate</w:t>
            </w:r>
          </w:p>
        </w:tc>
      </w:tr>
      <w:tr w:rsidR="004602C2" w:rsidRPr="00F7033D" w14:paraId="4F8B49A0"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79870BF"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1E2A1599"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Telehealth (Ages 13–17 years)—Male</w:t>
            </w:r>
          </w:p>
        </w:tc>
      </w:tr>
      <w:tr w:rsidR="004602C2" w:rsidRPr="00F7033D" w14:paraId="22F9E260"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2D945E10"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2FE9449C"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Telehealth (Ages 13–17 years)—Female</w:t>
            </w:r>
          </w:p>
        </w:tc>
      </w:tr>
      <w:tr w:rsidR="004602C2" w:rsidRPr="00F7033D" w14:paraId="6B137B4F" w14:textId="77777777" w:rsidTr="00231C6F">
        <w:trPr>
          <w:cantSplit/>
          <w:trHeight w:val="20"/>
        </w:trPr>
        <w:tc>
          <w:tcPr>
            <w:tcW w:w="738" w:type="pct"/>
            <w:tcBorders>
              <w:top w:val="single" w:sz="4" w:space="0" w:color="auto"/>
              <w:left w:val="single" w:sz="4" w:space="0" w:color="auto"/>
              <w:bottom w:val="single" w:sz="4" w:space="0" w:color="auto"/>
              <w:right w:val="single" w:sz="4" w:space="0" w:color="auto"/>
            </w:tcBorders>
            <w:vAlign w:val="center"/>
          </w:tcPr>
          <w:p w14:paraId="676E3E36" w14:textId="77777777" w:rsidR="004602C2" w:rsidRPr="00F7033D" w:rsidRDefault="004602C2" w:rsidP="00723ED5">
            <w:pPr>
              <w:jc w:val="center"/>
              <w:rPr>
                <w:rFonts w:cstheme="minorHAnsi"/>
              </w:rPr>
            </w:pPr>
            <w:r w:rsidRPr="00F7033D">
              <w:rPr>
                <w:rFonts w:cstheme="minorHAnsi"/>
              </w:rPr>
              <w:t>HEDIS</w:t>
            </w:r>
          </w:p>
        </w:tc>
        <w:tc>
          <w:tcPr>
            <w:tcW w:w="4262" w:type="pct"/>
            <w:tcBorders>
              <w:top w:val="single" w:sz="4" w:space="0" w:color="auto"/>
              <w:left w:val="single" w:sz="4" w:space="0" w:color="auto"/>
              <w:bottom w:val="single" w:sz="4" w:space="0" w:color="auto"/>
              <w:right w:val="single" w:sz="4" w:space="0" w:color="auto"/>
            </w:tcBorders>
            <w:vAlign w:val="center"/>
          </w:tcPr>
          <w:p w14:paraId="0B558672" w14:textId="77777777" w:rsidR="004602C2" w:rsidRPr="00F7033D" w:rsidRDefault="004602C2" w:rsidP="00723ED5">
            <w:pPr>
              <w:jc w:val="left"/>
              <w:rPr>
                <w:rFonts w:eastAsia="Times New Roman" w:cstheme="minorHAnsi"/>
              </w:rPr>
            </w:pPr>
            <w:r w:rsidRPr="00F7033D">
              <w:rPr>
                <w:rFonts w:eastAsia="Times New Roman" w:cstheme="minorHAnsi"/>
              </w:rPr>
              <w:t>Identification of Alcohol and Other Drug Services: Telehealth (Ages 13–17 years)—Total Rate</w:t>
            </w:r>
          </w:p>
        </w:tc>
      </w:tr>
    </w:tbl>
    <w:p w14:paraId="656E72DE" w14:textId="77777777" w:rsidR="004602C2" w:rsidRPr="00F7033D" w:rsidRDefault="004602C2" w:rsidP="004602C2">
      <w:pPr>
        <w:spacing w:after="480"/>
        <w:rPr>
          <w:sz w:val="20"/>
          <w:szCs w:val="20"/>
        </w:rPr>
      </w:pPr>
      <w:bookmarkStart w:id="79" w:name="_Toc447022727"/>
      <w:bookmarkStart w:id="80" w:name="_Toc449099972"/>
      <w:bookmarkStart w:id="81" w:name="_Toc512521026"/>
      <w:bookmarkStart w:id="82" w:name="_Toc68527423"/>
      <w:bookmarkStart w:id="83" w:name="_Toc66956522"/>
      <w:bookmarkStart w:id="84" w:name="_Toc68527426"/>
      <w:r w:rsidRPr="00F7033D">
        <w:rPr>
          <w:sz w:val="20"/>
          <w:szCs w:val="20"/>
        </w:rPr>
        <w:t>PA: Pennsylvania; EQR: external quality review; HEDIS: Healthcare Effectiveness Data and Information Set.</w:t>
      </w:r>
    </w:p>
    <w:p w14:paraId="5939A183" w14:textId="77777777" w:rsidR="004602C2" w:rsidRPr="00F7033D" w:rsidRDefault="004602C2" w:rsidP="004602C2">
      <w:pPr>
        <w:pStyle w:val="Heading2"/>
      </w:pPr>
      <w:bookmarkStart w:id="85" w:name="_Toc132641616"/>
      <w:r w:rsidRPr="00F7033D">
        <w:t>PA-Specific and CMS Core Set Performance Measure Selection and Descriptions</w:t>
      </w:r>
      <w:bookmarkEnd w:id="79"/>
      <w:bookmarkEnd w:id="80"/>
      <w:bookmarkEnd w:id="81"/>
      <w:bookmarkEnd w:id="82"/>
      <w:bookmarkEnd w:id="85"/>
    </w:p>
    <w:p w14:paraId="03E62781" w14:textId="69603792" w:rsidR="004602C2" w:rsidRPr="00F7033D" w:rsidRDefault="004602C2" w:rsidP="004602C2">
      <w:bookmarkStart w:id="86" w:name="_Hlk98406794"/>
      <w:r w:rsidRPr="00F7033D">
        <w:t xml:space="preserve">Several PA-specific performance measures were calculated by each MCO and validated by IPRO. In accordance with DHS direction, IPRO created the indicator specifications to resemble </w:t>
      </w:r>
      <w:r w:rsidRPr="00F7033D">
        <w:rPr>
          <w:rFonts w:cs="Arial"/>
        </w:rPr>
        <w:t>HEDIS</w:t>
      </w:r>
      <w:r w:rsidRPr="00F7033D">
        <w:rPr>
          <w:rFonts w:cs="Arial"/>
          <w:sz w:val="20"/>
        </w:rPr>
        <w:t xml:space="preserve"> </w:t>
      </w:r>
      <w:r w:rsidRPr="00F7033D">
        <w:t xml:space="preserve">specifications. Measures previously developed and added, as mandated by CMS for children in accordance with the Children’s Health Insurance Program Reauthorization Act (CHIPRA), were continued as applicable to revised CMS specifications. </w:t>
      </w:r>
      <w:r>
        <w:t xml:space="preserve">In 2022, Childhood Immunization Status retired six of the nine combination rates that were previously reported. The remaining combinations </w:t>
      </w:r>
      <w:r w:rsidR="0059181B">
        <w:t>three</w:t>
      </w:r>
      <w:r>
        <w:t xml:space="preserve">, seven, and ten continued to be reported. </w:t>
      </w:r>
      <w:r w:rsidRPr="00F7033D">
        <w:t xml:space="preserve">For each indicator, the criteria that were specified to identify the eligible population were product line, age, enrollment, anchor date, and event/diagnosis. To identify the administrative numerator positives, date of service and diagnosis/procedure code criteria were outlined, as well as other specifications, as needed. PA-specific performance measure rates were calculated administratively, which uses only the MCOs data systems to identify numerator positives.  The hybrid methodology, which uses a combination of administrative data and medical record review (MRR) to identify numerator “hits” for rate calculation, was not used for the PA-specific performance measures. </w:t>
      </w:r>
    </w:p>
    <w:p w14:paraId="5C145535" w14:textId="77777777" w:rsidR="00717EC9" w:rsidRDefault="00717EC9">
      <w:pPr>
        <w:rPr>
          <w:rFonts w:asciiTheme="majorHAnsi" w:eastAsiaTheme="majorEastAsia" w:hAnsiTheme="majorHAnsi" w:cstheme="majorBidi"/>
          <w:b/>
          <w:bCs/>
          <w:color w:val="4F81BD" w:themeColor="accent1"/>
          <w:sz w:val="26"/>
          <w:szCs w:val="26"/>
        </w:rPr>
      </w:pPr>
      <w:bookmarkStart w:id="87" w:name="_Toc66956520"/>
      <w:bookmarkStart w:id="88" w:name="_Toc68527424"/>
      <w:bookmarkEnd w:id="86"/>
      <w:r>
        <w:br w:type="page"/>
      </w:r>
    </w:p>
    <w:p w14:paraId="2F8631C4" w14:textId="4197152E" w:rsidR="004602C2" w:rsidRPr="00F7033D" w:rsidRDefault="004602C2" w:rsidP="004602C2">
      <w:pPr>
        <w:pStyle w:val="Heading2"/>
      </w:pPr>
      <w:bookmarkStart w:id="89" w:name="_Toc132641617"/>
      <w:r w:rsidRPr="00F7033D">
        <w:lastRenderedPageBreak/>
        <w:t>PA-Specific and CMS Core Set Administrative Measures</w:t>
      </w:r>
      <w:bookmarkEnd w:id="87"/>
      <w:bookmarkEnd w:id="88"/>
      <w:bookmarkEnd w:id="89"/>
    </w:p>
    <w:p w14:paraId="4A3004FE" w14:textId="77777777" w:rsidR="004602C2" w:rsidRPr="00F7033D" w:rsidRDefault="004602C2" w:rsidP="004602C2">
      <w:pPr>
        <w:spacing w:before="200"/>
        <w:rPr>
          <w:rFonts w:cstheme="minorHAnsi"/>
          <w:b/>
        </w:rPr>
      </w:pPr>
      <w:r w:rsidRPr="00F7033D">
        <w:rPr>
          <w:rFonts w:cstheme="minorHAnsi"/>
          <w:b/>
        </w:rPr>
        <w:t>Developmental Screening in the First Three Years of Life—CHIPRA Core Set</w:t>
      </w:r>
    </w:p>
    <w:p w14:paraId="2F3C677B" w14:textId="77777777" w:rsidR="004602C2" w:rsidRPr="00F7033D" w:rsidRDefault="004602C2" w:rsidP="004602C2">
      <w:r w:rsidRPr="00F7033D">
        <w:t>This performance measure assesses the percentage of children screened for risk of developmental, behavioral, and social delays using a standardized screening tool in the 12 months preceding their first, second, or third birthday. Four rates—one for each group and a combined rate—are to be calculated and reported for each numerator.</w:t>
      </w:r>
    </w:p>
    <w:p w14:paraId="3B5AA00B" w14:textId="77777777" w:rsidR="004602C2" w:rsidRPr="00F7033D" w:rsidRDefault="004602C2" w:rsidP="004602C2">
      <w:pPr>
        <w:autoSpaceDE w:val="0"/>
        <w:autoSpaceDN w:val="0"/>
        <w:adjustRightInd w:val="0"/>
        <w:rPr>
          <w:rFonts w:cs="Arial"/>
          <w:lang w:eastAsia="zh-TW" w:bidi="ar-SA"/>
        </w:rPr>
      </w:pPr>
    </w:p>
    <w:p w14:paraId="1EBA8EFB" w14:textId="7D9FA76F" w:rsidR="004602C2" w:rsidRPr="00F7033D" w:rsidRDefault="004602C2" w:rsidP="004602C2">
      <w:pPr>
        <w:rPr>
          <w:b/>
        </w:rPr>
      </w:pPr>
      <w:r w:rsidRPr="00F7033D">
        <w:rPr>
          <w:b/>
        </w:rPr>
        <w:t>Sealant Receipt on Permanent First Year Molars—CHIPRA Core Set</w:t>
      </w:r>
    </w:p>
    <w:p w14:paraId="760BE382" w14:textId="77777777" w:rsidR="004602C2" w:rsidRPr="00F7033D" w:rsidRDefault="004602C2" w:rsidP="004602C2">
      <w:pPr>
        <w:autoSpaceDE w:val="0"/>
        <w:autoSpaceDN w:val="0"/>
        <w:adjustRightInd w:val="0"/>
        <w:jc w:val="left"/>
        <w:rPr>
          <w:rFonts w:eastAsiaTheme="minorHAnsi" w:cstheme="minorHAnsi"/>
          <w:lang w:bidi="ar-SA"/>
        </w:rPr>
      </w:pPr>
      <w:r w:rsidRPr="00F7033D">
        <w:rPr>
          <w:rFonts w:eastAsiaTheme="minorHAnsi" w:cstheme="minorHAnsi"/>
          <w:lang w:bidi="ar-SA"/>
        </w:rPr>
        <w:t xml:space="preserve">This performance measure assesses the percentage of enrolled children who have ever received sealants on permanent first molar teeth and turned 10 years old during the measurement year.  Two rates are reported: </w:t>
      </w:r>
    </w:p>
    <w:p w14:paraId="4123F880" w14:textId="77777777" w:rsidR="004602C2" w:rsidRPr="007937AF" w:rsidRDefault="004602C2" w:rsidP="00F41CA9">
      <w:pPr>
        <w:pStyle w:val="ListParagraph"/>
        <w:numPr>
          <w:ilvl w:val="0"/>
          <w:numId w:val="28"/>
        </w:numPr>
        <w:autoSpaceDE w:val="0"/>
        <w:autoSpaceDN w:val="0"/>
        <w:adjustRightInd w:val="0"/>
        <w:jc w:val="left"/>
        <w:rPr>
          <w:rFonts w:cstheme="minorHAnsi"/>
        </w:rPr>
      </w:pPr>
      <w:r w:rsidRPr="00F7033D">
        <w:rPr>
          <w:rFonts w:cstheme="minorHAnsi"/>
        </w:rPr>
        <w:t xml:space="preserve">The percentage of enrolled children who received a sealant on at least one permanent first molar in the 48 months prior to </w:t>
      </w:r>
      <w:r w:rsidRPr="007937AF">
        <w:rPr>
          <w:rFonts w:cstheme="minorHAnsi"/>
        </w:rPr>
        <w:t>their 10th birthday; and</w:t>
      </w:r>
    </w:p>
    <w:p w14:paraId="1C010D29" w14:textId="77777777" w:rsidR="004602C2" w:rsidRPr="007937AF" w:rsidRDefault="004602C2" w:rsidP="00F41CA9">
      <w:pPr>
        <w:pStyle w:val="ListParagraph"/>
        <w:numPr>
          <w:ilvl w:val="0"/>
          <w:numId w:val="28"/>
        </w:numPr>
        <w:autoSpaceDE w:val="0"/>
        <w:autoSpaceDN w:val="0"/>
        <w:adjustRightInd w:val="0"/>
        <w:jc w:val="left"/>
        <w:rPr>
          <w:rFonts w:cstheme="minorHAnsi"/>
        </w:rPr>
      </w:pPr>
      <w:r w:rsidRPr="007937AF">
        <w:rPr>
          <w:rFonts w:cstheme="minorHAnsi"/>
        </w:rPr>
        <w:t xml:space="preserve">The percentage of unduplicated enrolled children who received sealants on all four permanent first molars in the 48 months prior to their 10th birthday. </w:t>
      </w:r>
    </w:p>
    <w:p w14:paraId="6F629C62" w14:textId="77777777" w:rsidR="004602C2" w:rsidRPr="007937AF" w:rsidRDefault="004602C2" w:rsidP="004602C2">
      <w:pPr>
        <w:rPr>
          <w:lang w:eastAsia="zh-TW"/>
        </w:rPr>
      </w:pPr>
    </w:p>
    <w:p w14:paraId="3516482C" w14:textId="2B913E7E" w:rsidR="004602C2" w:rsidRPr="00F7033D" w:rsidRDefault="004602C2" w:rsidP="004602C2">
      <w:pPr>
        <w:rPr>
          <w:lang w:eastAsia="zh-TW"/>
        </w:rPr>
      </w:pPr>
      <w:r w:rsidRPr="00F7033D">
        <w:rPr>
          <w:b/>
          <w:lang w:eastAsia="zh-TW"/>
        </w:rPr>
        <w:t xml:space="preserve">Annual </w:t>
      </w:r>
      <w:r w:rsidR="0059181B">
        <w:rPr>
          <w:b/>
          <w:lang w:eastAsia="zh-TW"/>
        </w:rPr>
        <w:t>Percentage</w:t>
      </w:r>
      <w:r w:rsidR="0059181B" w:rsidRPr="00F7033D">
        <w:rPr>
          <w:b/>
          <w:lang w:eastAsia="zh-TW"/>
        </w:rPr>
        <w:t xml:space="preserve"> </w:t>
      </w:r>
      <w:r w:rsidRPr="00F7033D">
        <w:rPr>
          <w:b/>
          <w:lang w:eastAsia="zh-TW"/>
        </w:rPr>
        <w:t>of Asthma Patients with One or More Asthma-Related Emergency Room Visits</w:t>
      </w:r>
      <w:r w:rsidRPr="00F7033D">
        <w:rPr>
          <w:rFonts w:cstheme="minorHAnsi"/>
          <w:b/>
        </w:rPr>
        <w:t>—PA-specific</w:t>
      </w:r>
      <w:r w:rsidRPr="00F7033D">
        <w:rPr>
          <w:b/>
          <w:lang w:eastAsia="zh-TW"/>
        </w:rPr>
        <w:t xml:space="preserve"> </w:t>
      </w:r>
    </w:p>
    <w:p w14:paraId="32DBA178" w14:textId="77777777" w:rsidR="004602C2" w:rsidRPr="00F7033D" w:rsidRDefault="004602C2" w:rsidP="004602C2">
      <w:r w:rsidRPr="00F7033D">
        <w:t>This performance measure assesses the percentage of children and adolescents, 2 years of age through 19 years of age, with an asthma diagnosis who have ≥ 1 emergency department (ED) visit during the measurement year.</w:t>
      </w:r>
    </w:p>
    <w:p w14:paraId="2ECE3822" w14:textId="77777777" w:rsidR="004602C2" w:rsidRPr="00F7033D" w:rsidRDefault="004602C2" w:rsidP="004602C2">
      <w:pPr>
        <w:rPr>
          <w:b/>
        </w:rPr>
      </w:pPr>
    </w:p>
    <w:p w14:paraId="384C4B64" w14:textId="77777777" w:rsidR="004602C2" w:rsidRPr="00F7033D" w:rsidRDefault="004602C2" w:rsidP="004602C2">
      <w:r w:rsidRPr="00F7033D">
        <w:rPr>
          <w:b/>
        </w:rPr>
        <w:t>Contraceptive Care for All Women—CHIPRA Core Set</w:t>
      </w:r>
    </w:p>
    <w:p w14:paraId="61F50967" w14:textId="71AAA769" w:rsidR="004602C2" w:rsidRPr="00F7033D" w:rsidRDefault="004602C2" w:rsidP="004602C2">
      <w:r w:rsidRPr="00F7033D">
        <w:t xml:space="preserve">This performance measure assesses the percentage of women ages 15 through 20 years at risk of unintended pregnancy and were provided a most effective/moderately effective contraception method or a long-acting reversible contraception (LARC) method. For the CMS Core measures, two rates are reported: one each for 1) the provision of most/moderately effective contraception, and for 2) the provision of LARC. </w:t>
      </w:r>
    </w:p>
    <w:p w14:paraId="1076989A" w14:textId="77777777" w:rsidR="004602C2" w:rsidRPr="00F7033D" w:rsidRDefault="004602C2" w:rsidP="004602C2"/>
    <w:p w14:paraId="30C8F9CD" w14:textId="77777777" w:rsidR="004602C2" w:rsidRPr="00F7033D" w:rsidRDefault="004602C2" w:rsidP="004602C2">
      <w:r w:rsidRPr="00F7033D">
        <w:rPr>
          <w:b/>
        </w:rPr>
        <w:t>Contraceptive Care for Postpartum Women—CHIPRA Core Set</w:t>
      </w:r>
    </w:p>
    <w:p w14:paraId="29240D9B" w14:textId="29877CC6" w:rsidR="004602C2" w:rsidRPr="00F7033D" w:rsidRDefault="004602C2" w:rsidP="004602C2">
      <w:r w:rsidRPr="00F7033D">
        <w:t>This performance measure assesses the percentage of women ages 15 through 20 years who had a live birth and were provided a most effective/moderately effective contraception method or a long-acting reversible contraception (LARC) method within 3 days and within 60 days of delivery. For the CMS Core measures, four rates are reported: 1) most or moderately effective contraception—3 days, 2) most or moderately effective contraception—60 days, 3) LARC—3 days, and 4) LARC—60 days.</w:t>
      </w:r>
    </w:p>
    <w:p w14:paraId="672ACEDE" w14:textId="77777777" w:rsidR="004602C2" w:rsidRPr="00F7033D" w:rsidRDefault="004602C2" w:rsidP="004602C2">
      <w:pPr>
        <w:pStyle w:val="Heading2"/>
      </w:pPr>
      <w:bookmarkStart w:id="90" w:name="_Toc447022728"/>
      <w:bookmarkStart w:id="91" w:name="_Toc449099973"/>
      <w:bookmarkStart w:id="92" w:name="_Toc512521027"/>
      <w:bookmarkStart w:id="93" w:name="_Toc66956521"/>
      <w:bookmarkStart w:id="94" w:name="_Toc68527425"/>
      <w:bookmarkStart w:id="95" w:name="_Toc132641618"/>
      <w:r w:rsidRPr="00F7033D">
        <w:t>HEDIS Performance Measure Selection and Descriptions</w:t>
      </w:r>
      <w:bookmarkEnd w:id="90"/>
      <w:bookmarkEnd w:id="91"/>
      <w:bookmarkEnd w:id="92"/>
      <w:bookmarkEnd w:id="93"/>
      <w:bookmarkEnd w:id="94"/>
      <w:bookmarkEnd w:id="95"/>
    </w:p>
    <w:p w14:paraId="704F1980" w14:textId="14DDBF69" w:rsidR="004602C2" w:rsidRPr="00F7033D" w:rsidRDefault="004602C2" w:rsidP="007937AF">
      <w:pPr>
        <w:rPr>
          <w:rFonts w:cstheme="minorHAnsi"/>
        </w:rPr>
      </w:pPr>
      <w:r w:rsidRPr="00F7033D">
        <w:rPr>
          <w:rFonts w:cstheme="minorHAnsi"/>
        </w:rPr>
        <w:t>Each MCO underwent a full HEDIS compliance audit in 202</w:t>
      </w:r>
      <w:r>
        <w:rPr>
          <w:rFonts w:cstheme="minorHAnsi"/>
        </w:rPr>
        <w:t>2</w:t>
      </w:r>
      <w:r w:rsidRPr="00F7033D">
        <w:rPr>
          <w:rFonts w:cstheme="minorHAnsi"/>
        </w:rPr>
        <w:t xml:space="preserve">. As indicated previously, performance on selected HEDIS measures is included in this year’s EQR report. Development of HEDIS measures and the clinical rationale for their inclusion in the HEDIS measurement set can be found in </w:t>
      </w:r>
      <w:r w:rsidRPr="007937AF">
        <w:rPr>
          <w:rFonts w:cstheme="minorHAnsi"/>
          <w:i/>
          <w:iCs/>
        </w:rPr>
        <w:t xml:space="preserve">HEDIS </w:t>
      </w:r>
      <w:r w:rsidR="0059181B" w:rsidRPr="007937AF">
        <w:rPr>
          <w:rFonts w:cstheme="minorHAnsi"/>
          <w:i/>
          <w:iCs/>
        </w:rPr>
        <w:t xml:space="preserve">MY 2020 &amp; </w:t>
      </w:r>
      <w:r w:rsidRPr="007937AF">
        <w:rPr>
          <w:rFonts w:cstheme="minorHAnsi"/>
          <w:i/>
          <w:iCs/>
        </w:rPr>
        <w:t>MY 2021, Volume 2 Narrative</w:t>
      </w:r>
      <w:r w:rsidRPr="00F7033D">
        <w:rPr>
          <w:rFonts w:cstheme="minorHAnsi"/>
        </w:rPr>
        <w:t>. The measurement year for the HEDIS measures is 202</w:t>
      </w:r>
      <w:r>
        <w:rPr>
          <w:rFonts w:cstheme="minorHAnsi"/>
        </w:rPr>
        <w:t>1</w:t>
      </w:r>
      <w:r w:rsidRPr="00F7033D">
        <w:rPr>
          <w:rFonts w:cstheme="minorHAnsi"/>
        </w:rPr>
        <w:t xml:space="preserve">, as well as prior years for selected measures. Each year, DHS updates its requirements for the MCOs to be consistent with NCQA’s requirement for the reporting year. MCOs are required to report the complete set of CHIP measures, as specified in the </w:t>
      </w:r>
      <w:r w:rsidRPr="007937AF">
        <w:rPr>
          <w:rFonts w:cstheme="minorHAnsi"/>
          <w:i/>
          <w:iCs/>
        </w:rPr>
        <w:t>HEDIS Technical Specifications, Volume 2</w:t>
      </w:r>
      <w:r w:rsidRPr="00F7033D">
        <w:rPr>
          <w:rFonts w:cstheme="minorHAnsi"/>
        </w:rPr>
        <w:t>, which includes using the Medicaid measure specifications. Because CHIP enrollment only includes members up to 19 years old, for each of the required measures, CHIP MCOs report based only on all eligible members up to age 19 as applicable. In addition, DHS does not require the MCOs to produce the Chronic Conditions component of the CAHPS 5.1.H—Child Survey.</w:t>
      </w:r>
    </w:p>
    <w:p w14:paraId="25923132" w14:textId="77777777" w:rsidR="004602C2" w:rsidRPr="00F7033D" w:rsidRDefault="004602C2" w:rsidP="004602C2"/>
    <w:p w14:paraId="74762201" w14:textId="77777777" w:rsidR="004602C2" w:rsidRPr="00F7033D" w:rsidRDefault="004602C2" w:rsidP="004602C2">
      <w:pPr>
        <w:rPr>
          <w:rFonts w:cstheme="minorHAnsi"/>
          <w:b/>
        </w:rPr>
      </w:pPr>
      <w:r w:rsidRPr="00F7033D">
        <w:rPr>
          <w:rFonts w:cstheme="minorHAnsi"/>
          <w:b/>
        </w:rPr>
        <w:t>Well-Child Visits in the First 30 Months of Life</w:t>
      </w:r>
    </w:p>
    <w:p w14:paraId="73036E35" w14:textId="77777777" w:rsidR="004602C2" w:rsidRPr="00F7033D" w:rsidRDefault="004602C2" w:rsidP="004602C2">
      <w:pPr>
        <w:pStyle w:val="Body"/>
        <w:spacing w:before="0"/>
        <w:rPr>
          <w:rFonts w:asciiTheme="minorHAnsi" w:hAnsiTheme="minorHAnsi"/>
          <w:sz w:val="22"/>
          <w:szCs w:val="22"/>
        </w:rPr>
      </w:pPr>
      <w:r w:rsidRPr="00F7033D">
        <w:rPr>
          <w:rFonts w:asciiTheme="minorHAnsi" w:hAnsiTheme="minorHAnsi"/>
          <w:sz w:val="22"/>
          <w:szCs w:val="22"/>
        </w:rPr>
        <w:t xml:space="preserve">This measure assesses the percentage of enrollees who turned 30 months old during the measurement year, who were continuously enrolled from 31 days of age through 30 months of age, and who: </w:t>
      </w:r>
    </w:p>
    <w:p w14:paraId="65A7CC2E" w14:textId="3979BAF7" w:rsidR="004602C2" w:rsidRPr="00F7033D" w:rsidRDefault="004602C2" w:rsidP="00F41CA9">
      <w:pPr>
        <w:pStyle w:val="Body"/>
        <w:numPr>
          <w:ilvl w:val="0"/>
          <w:numId w:val="27"/>
        </w:numPr>
        <w:spacing w:before="0"/>
        <w:rPr>
          <w:rFonts w:asciiTheme="minorHAnsi" w:hAnsiTheme="minorHAnsi"/>
          <w:sz w:val="22"/>
          <w:szCs w:val="22"/>
        </w:rPr>
      </w:pPr>
      <w:r w:rsidRPr="00F7033D">
        <w:rPr>
          <w:rFonts w:asciiTheme="minorHAnsi" w:hAnsiTheme="minorHAnsi"/>
          <w:sz w:val="22"/>
          <w:szCs w:val="22"/>
        </w:rPr>
        <w:t>Received six or more well-child visits with a</w:t>
      </w:r>
      <w:r w:rsidR="002D4FC8">
        <w:rPr>
          <w:rFonts w:asciiTheme="minorHAnsi" w:hAnsiTheme="minorHAnsi"/>
          <w:sz w:val="22"/>
          <w:szCs w:val="22"/>
        </w:rPr>
        <w:t xml:space="preserve"> primary care provider</w:t>
      </w:r>
      <w:r w:rsidRPr="00F7033D">
        <w:rPr>
          <w:rFonts w:asciiTheme="minorHAnsi" w:hAnsiTheme="minorHAnsi"/>
          <w:sz w:val="22"/>
          <w:szCs w:val="22"/>
        </w:rPr>
        <w:t xml:space="preserve"> </w:t>
      </w:r>
      <w:r w:rsidR="001E29DC">
        <w:rPr>
          <w:rFonts w:asciiTheme="minorHAnsi" w:hAnsiTheme="minorHAnsi"/>
          <w:sz w:val="22"/>
          <w:szCs w:val="22"/>
        </w:rPr>
        <w:t>(</w:t>
      </w:r>
      <w:r w:rsidRPr="00F7033D">
        <w:rPr>
          <w:rFonts w:asciiTheme="minorHAnsi" w:hAnsiTheme="minorHAnsi"/>
          <w:sz w:val="22"/>
          <w:szCs w:val="22"/>
        </w:rPr>
        <w:t>PCP</w:t>
      </w:r>
      <w:r w:rsidR="001E29DC">
        <w:rPr>
          <w:rFonts w:asciiTheme="minorHAnsi" w:hAnsiTheme="minorHAnsi"/>
          <w:sz w:val="22"/>
          <w:szCs w:val="22"/>
        </w:rPr>
        <w:t>)</w:t>
      </w:r>
      <w:r w:rsidRPr="00F7033D">
        <w:rPr>
          <w:rFonts w:asciiTheme="minorHAnsi" w:hAnsiTheme="minorHAnsi"/>
          <w:sz w:val="22"/>
          <w:szCs w:val="22"/>
        </w:rPr>
        <w:t xml:space="preserve"> during their first 15 months of life; and</w:t>
      </w:r>
    </w:p>
    <w:p w14:paraId="7150F453" w14:textId="73691679" w:rsidR="004602C2" w:rsidRPr="00F7033D" w:rsidRDefault="004602C2" w:rsidP="00F41CA9">
      <w:pPr>
        <w:pStyle w:val="Body"/>
        <w:numPr>
          <w:ilvl w:val="0"/>
          <w:numId w:val="27"/>
        </w:numPr>
        <w:spacing w:before="0"/>
        <w:rPr>
          <w:rFonts w:asciiTheme="minorHAnsi" w:hAnsiTheme="minorHAnsi"/>
          <w:sz w:val="22"/>
          <w:szCs w:val="22"/>
        </w:rPr>
      </w:pPr>
      <w:r w:rsidRPr="00F7033D">
        <w:rPr>
          <w:rFonts w:asciiTheme="minorHAnsi" w:hAnsiTheme="minorHAnsi"/>
          <w:sz w:val="22"/>
          <w:szCs w:val="22"/>
        </w:rPr>
        <w:t xml:space="preserve">Received two or more well-child visits </w:t>
      </w:r>
      <w:r>
        <w:rPr>
          <w:rFonts w:asciiTheme="minorHAnsi" w:hAnsiTheme="minorHAnsi"/>
          <w:sz w:val="22"/>
          <w:szCs w:val="22"/>
        </w:rPr>
        <w:t xml:space="preserve">with a PCP </w:t>
      </w:r>
      <w:r w:rsidRPr="00F7033D">
        <w:rPr>
          <w:rFonts w:asciiTheme="minorHAnsi" w:hAnsiTheme="minorHAnsi"/>
          <w:sz w:val="22"/>
          <w:szCs w:val="22"/>
        </w:rPr>
        <w:t>for age</w:t>
      </w:r>
      <w:r w:rsidR="00884B35">
        <w:rPr>
          <w:rFonts w:asciiTheme="minorHAnsi" w:hAnsiTheme="minorHAnsi"/>
          <w:sz w:val="22"/>
          <w:szCs w:val="22"/>
        </w:rPr>
        <w:t>s</w:t>
      </w:r>
      <w:r w:rsidRPr="00F7033D">
        <w:rPr>
          <w:rFonts w:asciiTheme="minorHAnsi" w:hAnsiTheme="minorHAnsi"/>
          <w:sz w:val="22"/>
          <w:szCs w:val="22"/>
        </w:rPr>
        <w:t xml:space="preserve"> 15 months</w:t>
      </w:r>
      <w:r w:rsidR="007937AF">
        <w:rPr>
          <w:rFonts w:asciiTheme="minorHAnsi" w:hAnsiTheme="minorHAnsi"/>
          <w:sz w:val="22"/>
          <w:szCs w:val="22"/>
        </w:rPr>
        <w:t>–</w:t>
      </w:r>
      <w:r w:rsidRPr="00F7033D">
        <w:rPr>
          <w:rFonts w:asciiTheme="minorHAnsi" w:hAnsiTheme="minorHAnsi"/>
          <w:sz w:val="22"/>
          <w:szCs w:val="22"/>
        </w:rPr>
        <w:t>30 months of life.</w:t>
      </w:r>
    </w:p>
    <w:p w14:paraId="49B9F868" w14:textId="77777777" w:rsidR="004602C2" w:rsidRPr="00F7033D" w:rsidRDefault="004602C2" w:rsidP="004602C2">
      <w:pPr>
        <w:rPr>
          <w:lang w:eastAsia="zh-TW"/>
        </w:rPr>
      </w:pPr>
    </w:p>
    <w:p w14:paraId="7E7B891E" w14:textId="77777777" w:rsidR="004602C2" w:rsidRPr="00F7033D" w:rsidRDefault="004602C2" w:rsidP="004602C2">
      <w:pPr>
        <w:rPr>
          <w:b/>
        </w:rPr>
      </w:pPr>
      <w:r w:rsidRPr="00F7033D">
        <w:rPr>
          <w:b/>
        </w:rPr>
        <w:t>Child and Adolescent Well-Care Visits</w:t>
      </w:r>
    </w:p>
    <w:p w14:paraId="64482DD8" w14:textId="21900AE2" w:rsidR="004602C2" w:rsidRDefault="004602C2" w:rsidP="004602C2">
      <w:pPr>
        <w:pStyle w:val="Body"/>
        <w:spacing w:before="0"/>
        <w:rPr>
          <w:rFonts w:asciiTheme="minorHAnsi" w:hAnsiTheme="minorHAnsi" w:cstheme="minorHAnsi"/>
          <w:sz w:val="22"/>
          <w:szCs w:val="22"/>
        </w:rPr>
      </w:pPr>
      <w:r w:rsidRPr="00F7033D">
        <w:rPr>
          <w:rFonts w:asciiTheme="minorHAnsi" w:hAnsiTheme="minorHAnsi" w:cstheme="minorHAnsi"/>
          <w:sz w:val="22"/>
          <w:szCs w:val="22"/>
        </w:rPr>
        <w:t xml:space="preserve">This measure assesses the percentage of members 3–19 years of age who had at least one comprehensive well-care visit with a PCP or an </w:t>
      </w:r>
      <w:proofErr w:type="spellStart"/>
      <w:r w:rsidR="007937AF">
        <w:rPr>
          <w:rFonts w:asciiTheme="minorHAnsi" w:hAnsiTheme="minorHAnsi" w:cstheme="minorHAnsi"/>
          <w:sz w:val="22"/>
          <w:szCs w:val="22"/>
        </w:rPr>
        <w:t>ob</w:t>
      </w:r>
      <w:proofErr w:type="spellEnd"/>
      <w:r w:rsidR="007937AF">
        <w:rPr>
          <w:rFonts w:asciiTheme="minorHAnsi" w:hAnsiTheme="minorHAnsi" w:cstheme="minorHAnsi"/>
          <w:sz w:val="22"/>
          <w:szCs w:val="22"/>
        </w:rPr>
        <w:t>/gyn</w:t>
      </w:r>
      <w:r w:rsidRPr="00F7033D">
        <w:rPr>
          <w:rFonts w:asciiTheme="minorHAnsi" w:hAnsiTheme="minorHAnsi" w:cstheme="minorHAnsi"/>
          <w:sz w:val="22"/>
          <w:szCs w:val="22"/>
        </w:rPr>
        <w:t xml:space="preserve"> practitioner during the measurement year.</w:t>
      </w:r>
    </w:p>
    <w:p w14:paraId="2DFE3B5F" w14:textId="77777777" w:rsidR="00884B35" w:rsidRPr="00F7033D" w:rsidRDefault="00884B35" w:rsidP="004602C2">
      <w:pPr>
        <w:pStyle w:val="Body"/>
        <w:spacing w:before="0"/>
        <w:rPr>
          <w:rFonts w:asciiTheme="minorHAnsi" w:hAnsiTheme="minorHAnsi" w:cstheme="minorHAnsi"/>
          <w:sz w:val="22"/>
          <w:szCs w:val="22"/>
        </w:rPr>
      </w:pPr>
    </w:p>
    <w:p w14:paraId="4E941D80" w14:textId="73F0527A" w:rsidR="004602C2" w:rsidRPr="00F7033D" w:rsidRDefault="004602C2" w:rsidP="004602C2">
      <w:pPr>
        <w:rPr>
          <w:b/>
        </w:rPr>
      </w:pPr>
      <w:r w:rsidRPr="00F7033D">
        <w:rPr>
          <w:b/>
        </w:rPr>
        <w:lastRenderedPageBreak/>
        <w:t>Childhood Immunization Status</w:t>
      </w:r>
    </w:p>
    <w:p w14:paraId="233CA7AB" w14:textId="77777777" w:rsidR="004602C2" w:rsidRPr="00F7033D" w:rsidRDefault="004602C2" w:rsidP="004602C2">
      <w:r w:rsidRPr="00F7033D">
        <w:t xml:space="preserve">This measure assesses the percentage of children 2 years of age who had four diphtheria, tetanus, and acellular pertussis (DTaP); three polio (IPV); one measles, mumps, and rubella (MMR); three </w:t>
      </w:r>
      <w:proofErr w:type="spellStart"/>
      <w:r w:rsidRPr="00F7033D">
        <w:t>haemophilus</w:t>
      </w:r>
      <w:proofErr w:type="spellEnd"/>
      <w:r w:rsidRPr="00F7033D">
        <w:t xml:space="preserve"> influenza type B (</w:t>
      </w:r>
      <w:proofErr w:type="spellStart"/>
      <w:r w:rsidRPr="00F7033D">
        <w:t>Hi</w:t>
      </w:r>
      <w:r>
        <w:t>B</w:t>
      </w:r>
      <w:proofErr w:type="spellEnd"/>
      <w:r w:rsidRPr="00F7033D">
        <w:t>); three hepatitis B (</w:t>
      </w:r>
      <w:proofErr w:type="spellStart"/>
      <w:r w:rsidRPr="00F7033D">
        <w:t>HepB</w:t>
      </w:r>
      <w:proofErr w:type="spellEnd"/>
      <w:r w:rsidRPr="00F7033D">
        <w:t>), one chicken pox (VZV); four pneumococcal conjugate (PCV); one hepatitis A (</w:t>
      </w:r>
      <w:proofErr w:type="spellStart"/>
      <w:r w:rsidRPr="00F7033D">
        <w:t>HepA</w:t>
      </w:r>
      <w:proofErr w:type="spellEnd"/>
      <w:r w:rsidRPr="00F7033D">
        <w:t xml:space="preserve">); two or three rotavirus (RV); and two influenza (flu) vaccines by their second birthday. The measure calculates a rate for each vaccine and </w:t>
      </w:r>
      <w:r>
        <w:t>three</w:t>
      </w:r>
      <w:r w:rsidRPr="00F7033D">
        <w:t xml:space="preserve"> separate combination rates. </w:t>
      </w:r>
    </w:p>
    <w:p w14:paraId="68F921BC" w14:textId="77777777" w:rsidR="004602C2" w:rsidRPr="00F7033D" w:rsidRDefault="004602C2" w:rsidP="004602C2">
      <w:pPr>
        <w:rPr>
          <w:b/>
        </w:rPr>
      </w:pPr>
    </w:p>
    <w:p w14:paraId="3890289A" w14:textId="77777777" w:rsidR="004602C2" w:rsidRPr="00F7033D" w:rsidRDefault="004602C2" w:rsidP="004602C2">
      <w:pPr>
        <w:rPr>
          <w:b/>
        </w:rPr>
      </w:pPr>
      <w:r w:rsidRPr="00F7033D">
        <w:rPr>
          <w:b/>
        </w:rPr>
        <w:t xml:space="preserve">Weight Assessment and Counseling for Nutrition and Physical Activity for Children/Adolescents </w:t>
      </w:r>
    </w:p>
    <w:p w14:paraId="0D7266BA" w14:textId="03240735" w:rsidR="004602C2" w:rsidRPr="00F7033D" w:rsidRDefault="004602C2" w:rsidP="004602C2">
      <w:pPr>
        <w:pStyle w:val="Body"/>
        <w:spacing w:before="0"/>
        <w:rPr>
          <w:rFonts w:asciiTheme="minorHAnsi" w:hAnsiTheme="minorHAnsi"/>
          <w:sz w:val="22"/>
          <w:szCs w:val="22"/>
        </w:rPr>
      </w:pPr>
      <w:r w:rsidRPr="00F7033D">
        <w:rPr>
          <w:rFonts w:asciiTheme="minorHAnsi" w:hAnsiTheme="minorHAnsi"/>
          <w:sz w:val="22"/>
          <w:szCs w:val="22"/>
        </w:rPr>
        <w:t xml:space="preserve">This measure assesses the percentage of members 3–17 years of age who had an outpatient visit with a PCP or </w:t>
      </w:r>
      <w:proofErr w:type="spellStart"/>
      <w:r w:rsidR="007937AF">
        <w:rPr>
          <w:rFonts w:asciiTheme="minorHAnsi" w:hAnsiTheme="minorHAnsi"/>
          <w:sz w:val="22"/>
          <w:szCs w:val="22"/>
        </w:rPr>
        <w:t>ob</w:t>
      </w:r>
      <w:proofErr w:type="spellEnd"/>
      <w:r w:rsidR="007937AF">
        <w:rPr>
          <w:rFonts w:asciiTheme="minorHAnsi" w:hAnsiTheme="minorHAnsi"/>
          <w:sz w:val="22"/>
          <w:szCs w:val="22"/>
        </w:rPr>
        <w:t>/gyn</w:t>
      </w:r>
      <w:r w:rsidRPr="00F7033D">
        <w:rPr>
          <w:rFonts w:asciiTheme="minorHAnsi" w:hAnsiTheme="minorHAnsi"/>
          <w:sz w:val="22"/>
          <w:szCs w:val="22"/>
        </w:rPr>
        <w:t xml:space="preserve"> practitioner, and who had evidence of the following during the measurement year:</w:t>
      </w:r>
    </w:p>
    <w:p w14:paraId="78DBABAF" w14:textId="77777777" w:rsidR="004602C2" w:rsidRPr="00F7033D" w:rsidRDefault="004602C2" w:rsidP="007937AF">
      <w:pPr>
        <w:pStyle w:val="Body"/>
        <w:numPr>
          <w:ilvl w:val="0"/>
          <w:numId w:val="23"/>
        </w:numPr>
        <w:spacing w:before="0"/>
        <w:rPr>
          <w:rFonts w:asciiTheme="minorHAnsi" w:hAnsiTheme="minorHAnsi"/>
          <w:sz w:val="22"/>
          <w:szCs w:val="22"/>
        </w:rPr>
      </w:pPr>
      <w:r w:rsidRPr="00F7033D">
        <w:rPr>
          <w:rFonts w:asciiTheme="minorHAnsi" w:hAnsiTheme="minorHAnsi"/>
          <w:sz w:val="22"/>
          <w:szCs w:val="22"/>
        </w:rPr>
        <w:t xml:space="preserve">BMI percentile documentation; </w:t>
      </w:r>
    </w:p>
    <w:p w14:paraId="1E5648AB" w14:textId="77777777" w:rsidR="004602C2" w:rsidRPr="00F7033D" w:rsidRDefault="004602C2" w:rsidP="007937AF">
      <w:pPr>
        <w:pStyle w:val="Body"/>
        <w:numPr>
          <w:ilvl w:val="0"/>
          <w:numId w:val="23"/>
        </w:numPr>
        <w:spacing w:before="0"/>
        <w:rPr>
          <w:rFonts w:asciiTheme="minorHAnsi" w:hAnsiTheme="minorHAnsi"/>
          <w:sz w:val="22"/>
          <w:szCs w:val="22"/>
        </w:rPr>
      </w:pPr>
      <w:r w:rsidRPr="00F7033D">
        <w:rPr>
          <w:rFonts w:asciiTheme="minorHAnsi" w:hAnsiTheme="minorHAnsi"/>
          <w:sz w:val="22"/>
          <w:szCs w:val="22"/>
        </w:rPr>
        <w:t xml:space="preserve">Counseling for nutrition; and </w:t>
      </w:r>
    </w:p>
    <w:p w14:paraId="6F2E97C4" w14:textId="77777777" w:rsidR="004602C2" w:rsidRPr="00F7033D" w:rsidRDefault="004602C2" w:rsidP="007937AF">
      <w:pPr>
        <w:pStyle w:val="Body"/>
        <w:numPr>
          <w:ilvl w:val="0"/>
          <w:numId w:val="23"/>
        </w:numPr>
        <w:spacing w:before="0"/>
        <w:rPr>
          <w:rFonts w:asciiTheme="minorHAnsi" w:hAnsiTheme="minorHAnsi"/>
          <w:sz w:val="22"/>
          <w:szCs w:val="22"/>
        </w:rPr>
      </w:pPr>
      <w:r w:rsidRPr="00F7033D">
        <w:rPr>
          <w:rFonts w:asciiTheme="minorHAnsi" w:hAnsiTheme="minorHAnsi"/>
          <w:sz w:val="22"/>
          <w:szCs w:val="22"/>
        </w:rPr>
        <w:t>Counseling for physical activity.</w:t>
      </w:r>
    </w:p>
    <w:p w14:paraId="69813DA0" w14:textId="77777777" w:rsidR="004602C2" w:rsidRPr="00F7033D" w:rsidRDefault="004602C2" w:rsidP="004602C2">
      <w:pPr>
        <w:pStyle w:val="Body"/>
        <w:spacing w:before="0"/>
        <w:rPr>
          <w:rFonts w:asciiTheme="minorHAnsi" w:hAnsiTheme="minorHAnsi" w:cs="Arial"/>
          <w:sz w:val="22"/>
          <w:szCs w:val="22"/>
        </w:rPr>
      </w:pPr>
    </w:p>
    <w:p w14:paraId="1E26140B" w14:textId="77777777" w:rsidR="004602C2" w:rsidRPr="00F7033D" w:rsidRDefault="004602C2" w:rsidP="004602C2">
      <w:pPr>
        <w:pStyle w:val="Body"/>
        <w:spacing w:before="0"/>
        <w:rPr>
          <w:rFonts w:asciiTheme="minorHAnsi" w:hAnsiTheme="minorHAnsi"/>
          <w:sz w:val="22"/>
          <w:szCs w:val="22"/>
        </w:rPr>
      </w:pPr>
      <w:r w:rsidRPr="00F7033D">
        <w:rPr>
          <w:rFonts w:asciiTheme="minorHAnsi" w:hAnsiTheme="minorHAnsi" w:cs="Arial"/>
          <w:sz w:val="22"/>
          <w:szCs w:val="22"/>
        </w:rPr>
        <w:t>Because BMI norms for youth vary with age and gender, this measure evaluates whether BMI percentile is assessed rather than an absolute BMI value.</w:t>
      </w:r>
    </w:p>
    <w:p w14:paraId="35DBB992" w14:textId="77777777" w:rsidR="004602C2" w:rsidRPr="00F7033D" w:rsidRDefault="004602C2" w:rsidP="004602C2">
      <w:pPr>
        <w:rPr>
          <w:b/>
        </w:rPr>
      </w:pPr>
    </w:p>
    <w:p w14:paraId="496AEC22" w14:textId="77777777" w:rsidR="004602C2" w:rsidRPr="00F7033D" w:rsidRDefault="004602C2" w:rsidP="004602C2">
      <w:pPr>
        <w:rPr>
          <w:b/>
        </w:rPr>
      </w:pPr>
      <w:r w:rsidRPr="00F7033D">
        <w:rPr>
          <w:b/>
        </w:rPr>
        <w:t>Immunization for Adolescents</w:t>
      </w:r>
    </w:p>
    <w:p w14:paraId="25F1A2E1" w14:textId="77777777" w:rsidR="004602C2" w:rsidRPr="00F7033D" w:rsidRDefault="004602C2" w:rsidP="004602C2">
      <w:r w:rsidRPr="00F7033D">
        <w:t xml:space="preserve">This measure assessed the percentage of adolescents 13 years of age who had one dose of meningococcal conjugate vaccine and one tetanus, diphtheria toxoids, and acellular pertussis (Tdap) vaccine, and have completed the human papillomavirus (HPV) vaccine series by their 13th birthday. The measure calculates a rate for each vaccine and two combination rates: </w:t>
      </w:r>
    </w:p>
    <w:p w14:paraId="42025300" w14:textId="77777777" w:rsidR="004602C2" w:rsidRPr="00F7033D" w:rsidRDefault="004602C2" w:rsidP="007937AF">
      <w:pPr>
        <w:pStyle w:val="ListParagraph"/>
        <w:numPr>
          <w:ilvl w:val="0"/>
          <w:numId w:val="16"/>
        </w:numPr>
      </w:pPr>
      <w:r w:rsidRPr="00F7033D">
        <w:t>Combination 1: Meningococcal and Tdap; and</w:t>
      </w:r>
    </w:p>
    <w:p w14:paraId="6E3708DB" w14:textId="77777777" w:rsidR="004602C2" w:rsidRPr="00F7033D" w:rsidRDefault="004602C2" w:rsidP="007937AF">
      <w:pPr>
        <w:pStyle w:val="ListParagraph"/>
        <w:numPr>
          <w:ilvl w:val="0"/>
          <w:numId w:val="16"/>
        </w:numPr>
      </w:pPr>
      <w:r w:rsidRPr="00F7033D">
        <w:t>Combination 2: Meningococcal, Tdap, and HPV.</w:t>
      </w:r>
    </w:p>
    <w:p w14:paraId="505B9BF0" w14:textId="77777777" w:rsidR="004602C2" w:rsidRPr="00F7033D" w:rsidRDefault="004602C2" w:rsidP="004602C2">
      <w:pPr>
        <w:rPr>
          <w:b/>
        </w:rPr>
      </w:pPr>
    </w:p>
    <w:p w14:paraId="657A330E" w14:textId="77777777" w:rsidR="004602C2" w:rsidRPr="00F7033D" w:rsidRDefault="004602C2" w:rsidP="004602C2">
      <w:r w:rsidRPr="00F7033D">
        <w:rPr>
          <w:b/>
        </w:rPr>
        <w:t>Lead Screening in Children</w:t>
      </w:r>
    </w:p>
    <w:p w14:paraId="1C059D5E" w14:textId="77777777" w:rsidR="004602C2" w:rsidRPr="00F7033D" w:rsidRDefault="004602C2" w:rsidP="004602C2">
      <w:r w:rsidRPr="00F7033D">
        <w:t>This measure assessed the percentage of children 2 years of age who had one or more capillary or venous lead blood tests for lead poisoning by their second birthday.</w:t>
      </w:r>
    </w:p>
    <w:p w14:paraId="1E72ED9A" w14:textId="77777777" w:rsidR="004602C2" w:rsidRPr="00F7033D" w:rsidRDefault="004602C2" w:rsidP="004602C2"/>
    <w:p w14:paraId="3A11E73D" w14:textId="77777777" w:rsidR="004602C2" w:rsidRPr="00F7033D" w:rsidRDefault="004602C2" w:rsidP="004602C2">
      <w:r w:rsidRPr="00F7033D">
        <w:rPr>
          <w:b/>
        </w:rPr>
        <w:t>Follow-up Care for Children Prescribed ADHD Medication</w:t>
      </w:r>
    </w:p>
    <w:p w14:paraId="5BE0F523" w14:textId="77777777" w:rsidR="004602C2" w:rsidRPr="00F7033D" w:rsidRDefault="004602C2" w:rsidP="004602C2">
      <w:r w:rsidRPr="00F7033D">
        <w:t>This measure assesses the percentage of children newly prescribed attention-deficit/hyperactivity disorder (ADHD) medication who had at least three follow-up care visits within a 10-month period, one of which was within 30 days of when the first ADHD medication was dispensed. Two rates are reported:</w:t>
      </w:r>
    </w:p>
    <w:p w14:paraId="602921B8" w14:textId="77777777" w:rsidR="004602C2" w:rsidRPr="00F7033D" w:rsidRDefault="004602C2" w:rsidP="007937AF">
      <w:pPr>
        <w:pStyle w:val="ListParagraph"/>
        <w:numPr>
          <w:ilvl w:val="0"/>
          <w:numId w:val="16"/>
        </w:numPr>
      </w:pPr>
      <w:r w:rsidRPr="00F7033D">
        <w:t>Initiation Phase—The percentage of members 6–12 years of age as of the index prescription start date (IPSD) with an ambulatory prescription dispensed for ADHD medication, who had one follow-up visit with a practitioner with prescribing authority during the 30-day Initiation Phase; and</w:t>
      </w:r>
    </w:p>
    <w:p w14:paraId="24FF802A" w14:textId="77777777" w:rsidR="004602C2" w:rsidRPr="00F7033D" w:rsidRDefault="004602C2" w:rsidP="007937AF">
      <w:pPr>
        <w:pStyle w:val="ListParagraph"/>
        <w:numPr>
          <w:ilvl w:val="0"/>
          <w:numId w:val="16"/>
        </w:numPr>
      </w:pPr>
      <w:r w:rsidRPr="00F7033D">
        <w:t xml:space="preserve">Continuation and Maintenance (C&amp;M) Phase—The percentage of members 6–12 years of age as of the IPSD with an ambulatory prescription dispensed for ADHD medication who remained on the medication for at least 210 days and who, in addition to the visit in the Initiation Phase, had at least two follow-up visits with a practitioner within 270 days (9 months) after the Initiation Phase ended. </w:t>
      </w:r>
    </w:p>
    <w:p w14:paraId="78E48972" w14:textId="77777777" w:rsidR="004602C2" w:rsidRPr="00F7033D" w:rsidRDefault="004602C2" w:rsidP="004602C2">
      <w:pPr>
        <w:pStyle w:val="Bullet"/>
        <w:numPr>
          <w:ilvl w:val="0"/>
          <w:numId w:val="0"/>
        </w:numPr>
        <w:spacing w:before="0"/>
        <w:rPr>
          <w:rFonts w:asciiTheme="minorHAnsi" w:hAnsiTheme="minorHAnsi"/>
          <w:sz w:val="22"/>
          <w:szCs w:val="22"/>
        </w:rPr>
      </w:pPr>
    </w:p>
    <w:p w14:paraId="7279D179" w14:textId="169F6F7B" w:rsidR="004602C2" w:rsidRPr="00F7033D" w:rsidRDefault="004602C2" w:rsidP="004602C2">
      <w:pPr>
        <w:pStyle w:val="Bullet"/>
        <w:numPr>
          <w:ilvl w:val="0"/>
          <w:numId w:val="0"/>
        </w:numPr>
        <w:spacing w:before="0"/>
        <w:rPr>
          <w:rFonts w:asciiTheme="minorHAnsi" w:hAnsiTheme="minorHAnsi"/>
          <w:b/>
          <w:sz w:val="22"/>
          <w:szCs w:val="22"/>
        </w:rPr>
      </w:pPr>
      <w:r w:rsidRPr="00F7033D">
        <w:rPr>
          <w:rFonts w:asciiTheme="minorHAnsi" w:hAnsiTheme="minorHAnsi"/>
          <w:b/>
          <w:sz w:val="22"/>
          <w:szCs w:val="22"/>
        </w:rPr>
        <w:t>Follow</w:t>
      </w:r>
      <w:r w:rsidR="00884B35">
        <w:rPr>
          <w:rFonts w:asciiTheme="minorHAnsi" w:hAnsiTheme="minorHAnsi"/>
          <w:b/>
          <w:sz w:val="22"/>
          <w:szCs w:val="22"/>
        </w:rPr>
        <w:t xml:space="preserve"> U</w:t>
      </w:r>
      <w:r w:rsidRPr="00F7033D">
        <w:rPr>
          <w:rFonts w:asciiTheme="minorHAnsi" w:hAnsiTheme="minorHAnsi"/>
          <w:b/>
          <w:sz w:val="22"/>
          <w:szCs w:val="22"/>
        </w:rPr>
        <w:t>p After Hospitalization for Mental Illness</w:t>
      </w:r>
    </w:p>
    <w:p w14:paraId="466600EC" w14:textId="77777777" w:rsidR="004602C2" w:rsidRPr="00F7033D" w:rsidRDefault="004602C2" w:rsidP="004602C2">
      <w:pPr>
        <w:pStyle w:val="Bullet"/>
        <w:numPr>
          <w:ilvl w:val="0"/>
          <w:numId w:val="0"/>
        </w:numPr>
        <w:spacing w:before="0"/>
        <w:rPr>
          <w:rFonts w:asciiTheme="minorHAnsi" w:hAnsiTheme="minorHAnsi"/>
          <w:sz w:val="22"/>
          <w:szCs w:val="22"/>
        </w:rPr>
      </w:pPr>
      <w:r w:rsidRPr="00F7033D">
        <w:rPr>
          <w:rFonts w:asciiTheme="minorHAnsi" w:hAnsiTheme="minorHAnsi"/>
          <w:sz w:val="22"/>
          <w:szCs w:val="22"/>
        </w:rPr>
        <w:t>This measure assesses the percentage of discharges for members 6 years of age and older who were hospitalized for treatment of selected mental illness diagnoses and who had a follow-up visit with a mental health practitioner. Two rates are reported:</w:t>
      </w:r>
    </w:p>
    <w:p w14:paraId="523E4236" w14:textId="77777777" w:rsidR="004602C2" w:rsidRPr="00F7033D" w:rsidRDefault="004602C2" w:rsidP="007937AF">
      <w:pPr>
        <w:pStyle w:val="ListParagraph"/>
        <w:numPr>
          <w:ilvl w:val="0"/>
          <w:numId w:val="16"/>
        </w:numPr>
      </w:pPr>
      <w:r w:rsidRPr="00F7033D">
        <w:t>The percentage of discharges for which the member received follow-up within 30 days after discharge; and</w:t>
      </w:r>
    </w:p>
    <w:p w14:paraId="397F01B6" w14:textId="77777777" w:rsidR="004602C2" w:rsidRPr="00F7033D" w:rsidRDefault="004602C2" w:rsidP="007937AF">
      <w:pPr>
        <w:pStyle w:val="ListParagraph"/>
        <w:numPr>
          <w:ilvl w:val="0"/>
          <w:numId w:val="16"/>
        </w:numPr>
      </w:pPr>
      <w:r w:rsidRPr="00F7033D">
        <w:t>The percentage of discharges for which the member received follow-up within 7 days after discharge.</w:t>
      </w:r>
    </w:p>
    <w:p w14:paraId="587172C4" w14:textId="77777777" w:rsidR="004602C2" w:rsidRPr="00F7033D" w:rsidRDefault="004602C2" w:rsidP="004602C2">
      <w:pPr>
        <w:pStyle w:val="Bullet"/>
        <w:numPr>
          <w:ilvl w:val="0"/>
          <w:numId w:val="0"/>
        </w:numPr>
        <w:spacing w:before="0"/>
        <w:rPr>
          <w:rFonts w:asciiTheme="minorHAnsi" w:hAnsiTheme="minorHAnsi"/>
          <w:sz w:val="22"/>
          <w:szCs w:val="22"/>
        </w:rPr>
      </w:pPr>
    </w:p>
    <w:p w14:paraId="134CA644" w14:textId="77777777" w:rsidR="004602C2" w:rsidRPr="00F7033D" w:rsidRDefault="004602C2" w:rsidP="004602C2">
      <w:pPr>
        <w:pStyle w:val="Bullet"/>
        <w:numPr>
          <w:ilvl w:val="0"/>
          <w:numId w:val="0"/>
        </w:numPr>
        <w:spacing w:before="0"/>
        <w:rPr>
          <w:rFonts w:asciiTheme="minorHAnsi" w:hAnsiTheme="minorHAnsi"/>
          <w:b/>
          <w:sz w:val="22"/>
          <w:szCs w:val="22"/>
        </w:rPr>
      </w:pPr>
      <w:r w:rsidRPr="00F7033D">
        <w:rPr>
          <w:rFonts w:asciiTheme="minorHAnsi" w:hAnsiTheme="minorHAnsi"/>
          <w:b/>
          <w:sz w:val="22"/>
          <w:szCs w:val="22"/>
        </w:rPr>
        <w:t>Use of First-Line Psychosocial Care for Children and Adolescents on Antipsychotics</w:t>
      </w:r>
    </w:p>
    <w:p w14:paraId="7E93491A" w14:textId="77777777" w:rsidR="004602C2" w:rsidRPr="00F7033D" w:rsidRDefault="004602C2" w:rsidP="004602C2">
      <w:pPr>
        <w:pStyle w:val="Bullet"/>
        <w:numPr>
          <w:ilvl w:val="0"/>
          <w:numId w:val="0"/>
        </w:numPr>
        <w:spacing w:before="0"/>
        <w:rPr>
          <w:rFonts w:asciiTheme="minorHAnsi" w:hAnsiTheme="minorHAnsi"/>
          <w:sz w:val="22"/>
          <w:szCs w:val="22"/>
        </w:rPr>
      </w:pPr>
      <w:r w:rsidRPr="00F7033D">
        <w:rPr>
          <w:rFonts w:asciiTheme="minorHAnsi" w:hAnsiTheme="minorHAnsi"/>
          <w:sz w:val="22"/>
          <w:szCs w:val="22"/>
        </w:rPr>
        <w:t>This measure assesses the percentage of children and adolescents 1–17 years of age who had a new prescription for an antipsychotic medication and had documentation of psychosocial care as first-line treatment.</w:t>
      </w:r>
    </w:p>
    <w:p w14:paraId="736878CE" w14:textId="77777777" w:rsidR="004602C2" w:rsidRPr="00F7033D" w:rsidRDefault="004602C2" w:rsidP="004602C2"/>
    <w:p w14:paraId="09EF7B8A" w14:textId="77777777" w:rsidR="004602C2" w:rsidRPr="00F7033D" w:rsidRDefault="004602C2" w:rsidP="003202A5">
      <w:pPr>
        <w:keepNext/>
      </w:pPr>
      <w:r w:rsidRPr="00F7033D">
        <w:rPr>
          <w:b/>
        </w:rPr>
        <w:lastRenderedPageBreak/>
        <w:t>Annual Dental Visit</w:t>
      </w:r>
    </w:p>
    <w:p w14:paraId="4363049F" w14:textId="77777777" w:rsidR="004602C2" w:rsidRPr="00F7033D" w:rsidRDefault="004602C2" w:rsidP="004602C2">
      <w:r w:rsidRPr="00F7033D">
        <w:t>This measure assesses the percentage of children and adolescents between the ages of 2 and 19 years of age who were continuously enrolled in the MCO for the measurement year who had a dental visit during the measurement year.</w:t>
      </w:r>
      <w:r w:rsidRPr="00F7033D">
        <w:rPr>
          <w:rFonts w:ascii="Calibri" w:hAnsi="Calibri" w:cs="Calibri"/>
          <w:color w:val="000000"/>
          <w:lang w:eastAsia="zh-TW" w:bidi="ar-SA"/>
        </w:rPr>
        <w:t xml:space="preserve"> </w:t>
      </w:r>
    </w:p>
    <w:p w14:paraId="48B51709" w14:textId="77777777" w:rsidR="004602C2" w:rsidRPr="00F7033D" w:rsidRDefault="004602C2" w:rsidP="004602C2"/>
    <w:p w14:paraId="664194DA" w14:textId="77777777" w:rsidR="004602C2" w:rsidRPr="00F7033D" w:rsidRDefault="004602C2" w:rsidP="004602C2">
      <w:r w:rsidRPr="00F7033D">
        <w:rPr>
          <w:b/>
        </w:rPr>
        <w:t>Chlamydia Screening in Women</w:t>
      </w:r>
    </w:p>
    <w:p w14:paraId="7CF84E33" w14:textId="77777777" w:rsidR="004602C2" w:rsidRPr="00F7033D" w:rsidRDefault="004602C2" w:rsidP="004602C2">
      <w:r w:rsidRPr="00F7033D">
        <w:t>This measure assesses the percentage of women 16–</w:t>
      </w:r>
      <w:r>
        <w:t>20</w:t>
      </w:r>
      <w:r w:rsidRPr="00F7033D">
        <w:t xml:space="preserve"> years of age who were identified as sexually active and who had at least one test for chlamydia during the measurement year.</w:t>
      </w:r>
    </w:p>
    <w:p w14:paraId="5CDD0704" w14:textId="77777777" w:rsidR="004602C2" w:rsidRPr="00F7033D" w:rsidRDefault="004602C2" w:rsidP="004602C2"/>
    <w:p w14:paraId="26631479" w14:textId="77777777" w:rsidR="004602C2" w:rsidRPr="00F7033D" w:rsidRDefault="004602C2" w:rsidP="004602C2">
      <w:pPr>
        <w:rPr>
          <w:b/>
        </w:rPr>
      </w:pPr>
      <w:r w:rsidRPr="00F7033D">
        <w:rPr>
          <w:b/>
        </w:rPr>
        <w:t>Appropriate Testing for Pharyngitis</w:t>
      </w:r>
    </w:p>
    <w:p w14:paraId="42152EA3" w14:textId="77777777" w:rsidR="004602C2" w:rsidRPr="00F7033D" w:rsidRDefault="004602C2" w:rsidP="004602C2">
      <w:r w:rsidRPr="00F7033D">
        <w:t>This measure assesses the percentage of children 3–18 years of age who were diagnosed with pharyngitis, dispensed an antibiotic, and received a group A streptococcus (strep) test for the episode. A higher rate represents better performance (i.e., appropriate testing).</w:t>
      </w:r>
    </w:p>
    <w:p w14:paraId="41AB0466" w14:textId="77777777" w:rsidR="004602C2" w:rsidRPr="00F7033D" w:rsidRDefault="004602C2" w:rsidP="004602C2"/>
    <w:p w14:paraId="58D48715" w14:textId="77777777" w:rsidR="004602C2" w:rsidRPr="00F7033D" w:rsidRDefault="004602C2" w:rsidP="004602C2">
      <w:pPr>
        <w:rPr>
          <w:b/>
        </w:rPr>
      </w:pPr>
      <w:r w:rsidRPr="00F7033D">
        <w:rPr>
          <w:b/>
        </w:rPr>
        <w:t>Appropriate Treatment for Upper Respiratory Infection</w:t>
      </w:r>
    </w:p>
    <w:p w14:paraId="6C4F1C26" w14:textId="77777777" w:rsidR="004602C2" w:rsidRPr="00F7033D" w:rsidRDefault="004602C2" w:rsidP="004602C2">
      <w:r w:rsidRPr="00F7033D">
        <w:t>This measure assesses the percentage of children 3 months–18 years of age who were given a diagnosis of upper respiratory infection (URI) and were not dispensed an antibiotic prescription.</w:t>
      </w:r>
    </w:p>
    <w:p w14:paraId="31F7D0BF" w14:textId="77777777" w:rsidR="004602C2" w:rsidRPr="00F7033D" w:rsidRDefault="004602C2" w:rsidP="004602C2">
      <w:pPr>
        <w:rPr>
          <w:rFonts w:ascii="Calibri" w:hAnsi="Calibri" w:cs="Calibri"/>
          <w:color w:val="000000"/>
          <w:lang w:eastAsia="zh-TW" w:bidi="ar-SA"/>
        </w:rPr>
      </w:pPr>
    </w:p>
    <w:p w14:paraId="0B0FFB71" w14:textId="77777777" w:rsidR="004602C2" w:rsidRPr="00F7033D" w:rsidRDefault="004602C2" w:rsidP="004602C2">
      <w:pPr>
        <w:rPr>
          <w:rFonts w:ascii="Calibri" w:hAnsi="Calibri" w:cs="Calibri"/>
          <w:b/>
          <w:bCs/>
          <w:color w:val="000000"/>
          <w:lang w:eastAsia="zh-TW" w:bidi="ar-SA"/>
        </w:rPr>
      </w:pPr>
      <w:r w:rsidRPr="00F7033D">
        <w:rPr>
          <w:rFonts w:ascii="Calibri" w:hAnsi="Calibri" w:cs="Calibri"/>
          <w:b/>
          <w:bCs/>
          <w:color w:val="000000"/>
          <w:lang w:eastAsia="zh-TW" w:bidi="ar-SA"/>
        </w:rPr>
        <w:t>Asthma Medication Ratio</w:t>
      </w:r>
    </w:p>
    <w:p w14:paraId="7F2DDF89" w14:textId="77777777" w:rsidR="004602C2" w:rsidRPr="00F7033D" w:rsidRDefault="004602C2" w:rsidP="004602C2">
      <w:pPr>
        <w:rPr>
          <w:rFonts w:ascii="Calibri" w:hAnsi="Calibri" w:cs="Calibri"/>
          <w:color w:val="000000"/>
          <w:lang w:eastAsia="zh-TW" w:bidi="ar-SA"/>
        </w:rPr>
      </w:pPr>
      <w:r w:rsidRPr="00F7033D">
        <w:rPr>
          <w:rFonts w:ascii="Calibri" w:hAnsi="Calibri" w:cs="Calibri"/>
          <w:color w:val="000000"/>
          <w:lang w:eastAsia="zh-TW" w:bidi="ar-SA"/>
        </w:rPr>
        <w:t>This measure assesses the percentage of members 5–19 years of age who were identified as having persistent asthma and had a ratio of controller medications to total asthma medications of 0.50 or greater during the measurement year.</w:t>
      </w:r>
    </w:p>
    <w:p w14:paraId="1DE58189" w14:textId="77777777" w:rsidR="004602C2" w:rsidRPr="00F7033D" w:rsidRDefault="004602C2" w:rsidP="004602C2"/>
    <w:p w14:paraId="08A71481" w14:textId="77777777" w:rsidR="004602C2" w:rsidRPr="00F7033D" w:rsidRDefault="004602C2" w:rsidP="004602C2">
      <w:pPr>
        <w:rPr>
          <w:b/>
        </w:rPr>
      </w:pPr>
      <w:r w:rsidRPr="00F7033D">
        <w:rPr>
          <w:b/>
        </w:rPr>
        <w:t xml:space="preserve">Metabolic Monitoring for Children and Adolescents on Antipsychotics </w:t>
      </w:r>
    </w:p>
    <w:p w14:paraId="0CCA4107" w14:textId="77777777" w:rsidR="004602C2" w:rsidRPr="00F7033D" w:rsidRDefault="004602C2" w:rsidP="004602C2">
      <w:r w:rsidRPr="00F7033D">
        <w:t>This measure assesses the percentage of children and adolescents 1–17 years of age who had two or more antipsychotic prescriptions and had metabolic testing.</w:t>
      </w:r>
    </w:p>
    <w:p w14:paraId="285B2A07" w14:textId="77777777" w:rsidR="004602C2" w:rsidRPr="00F7033D" w:rsidRDefault="004602C2" w:rsidP="004602C2"/>
    <w:p w14:paraId="4C680D8F" w14:textId="77777777" w:rsidR="004602C2" w:rsidRPr="00F7033D" w:rsidRDefault="004602C2" w:rsidP="004602C2">
      <w:pPr>
        <w:rPr>
          <w:b/>
        </w:rPr>
      </w:pPr>
      <w:r w:rsidRPr="00F7033D">
        <w:rPr>
          <w:b/>
        </w:rPr>
        <w:t>Ambulatory Care</w:t>
      </w:r>
    </w:p>
    <w:p w14:paraId="4EDCF792" w14:textId="77777777" w:rsidR="004602C2" w:rsidRPr="00F7033D" w:rsidRDefault="004602C2" w:rsidP="004602C2">
      <w:r w:rsidRPr="00F7033D">
        <w:t>This measure summarizes utilization of ambulatory care in both the Outpatient Visits and Emergency Department Visits categories. Outpatient Visits includes telehealth visits.</w:t>
      </w:r>
    </w:p>
    <w:p w14:paraId="0E1286F7" w14:textId="77777777" w:rsidR="004602C2" w:rsidRPr="00F7033D" w:rsidRDefault="004602C2" w:rsidP="004602C2"/>
    <w:p w14:paraId="77D06CEC" w14:textId="77777777" w:rsidR="004602C2" w:rsidRPr="00F7033D" w:rsidRDefault="004602C2" w:rsidP="004602C2">
      <w:pPr>
        <w:rPr>
          <w:b/>
        </w:rPr>
      </w:pPr>
      <w:r w:rsidRPr="00F7033D">
        <w:rPr>
          <w:b/>
        </w:rPr>
        <w:t>Inpatient Utilization</w:t>
      </w:r>
    </w:p>
    <w:p w14:paraId="11EF869C" w14:textId="77777777" w:rsidR="004602C2" w:rsidRPr="00F7033D" w:rsidRDefault="004602C2" w:rsidP="004602C2">
      <w:r w:rsidRPr="00F7033D">
        <w:t>This measure summarizes utilization of acute inpatient care and services in the following categories:</w:t>
      </w:r>
    </w:p>
    <w:p w14:paraId="2D0BBF4D" w14:textId="77777777" w:rsidR="004602C2" w:rsidRPr="00F7033D" w:rsidRDefault="004602C2" w:rsidP="007937AF">
      <w:pPr>
        <w:pStyle w:val="ListParagraph"/>
        <w:numPr>
          <w:ilvl w:val="0"/>
          <w:numId w:val="20"/>
        </w:numPr>
      </w:pPr>
      <w:r w:rsidRPr="00F7033D">
        <w:t>Maternity;</w:t>
      </w:r>
    </w:p>
    <w:p w14:paraId="36B6C264" w14:textId="77777777" w:rsidR="004602C2" w:rsidRPr="00F7033D" w:rsidRDefault="004602C2" w:rsidP="007937AF">
      <w:pPr>
        <w:pStyle w:val="ListParagraph"/>
        <w:numPr>
          <w:ilvl w:val="0"/>
          <w:numId w:val="20"/>
        </w:numPr>
      </w:pPr>
      <w:r w:rsidRPr="00F7033D">
        <w:t>Surgery;</w:t>
      </w:r>
    </w:p>
    <w:p w14:paraId="1C4C52DE" w14:textId="77777777" w:rsidR="004602C2" w:rsidRPr="00F7033D" w:rsidRDefault="004602C2" w:rsidP="007937AF">
      <w:pPr>
        <w:pStyle w:val="ListParagraph"/>
        <w:numPr>
          <w:ilvl w:val="0"/>
          <w:numId w:val="20"/>
        </w:numPr>
      </w:pPr>
      <w:r w:rsidRPr="00F7033D">
        <w:t xml:space="preserve">Medicine; and </w:t>
      </w:r>
    </w:p>
    <w:p w14:paraId="3713CEA3" w14:textId="77777777" w:rsidR="004602C2" w:rsidRPr="00F7033D" w:rsidRDefault="004602C2" w:rsidP="007937AF">
      <w:pPr>
        <w:pStyle w:val="ListParagraph"/>
        <w:numPr>
          <w:ilvl w:val="0"/>
          <w:numId w:val="20"/>
        </w:numPr>
      </w:pPr>
      <w:r w:rsidRPr="00F7033D">
        <w:t>Total inpatient (the sum of Maternity, Surgery, and Medicine).</w:t>
      </w:r>
    </w:p>
    <w:p w14:paraId="1078ABBE" w14:textId="3DF5A32B" w:rsidR="004602C2" w:rsidRPr="00F7033D" w:rsidRDefault="004602C2" w:rsidP="004602C2">
      <w:pPr>
        <w:rPr>
          <w:b/>
        </w:rPr>
      </w:pPr>
    </w:p>
    <w:p w14:paraId="00615817" w14:textId="77777777" w:rsidR="004602C2" w:rsidRPr="00F7033D" w:rsidRDefault="004602C2" w:rsidP="004602C2">
      <w:r w:rsidRPr="00F7033D">
        <w:rPr>
          <w:b/>
        </w:rPr>
        <w:t>Mental Health Utilization</w:t>
      </w:r>
    </w:p>
    <w:p w14:paraId="317D2972" w14:textId="77777777" w:rsidR="004602C2" w:rsidRPr="00F7033D" w:rsidRDefault="004602C2" w:rsidP="004602C2">
      <w:r w:rsidRPr="00F7033D">
        <w:t>This measure summarizes the number and percentage of members receiving the following mental health services during the measurement year:</w:t>
      </w:r>
    </w:p>
    <w:p w14:paraId="29ABD202" w14:textId="77777777" w:rsidR="004602C2" w:rsidRPr="00F7033D" w:rsidRDefault="004602C2" w:rsidP="007937AF">
      <w:pPr>
        <w:pStyle w:val="ListParagraph"/>
        <w:numPr>
          <w:ilvl w:val="0"/>
          <w:numId w:val="19"/>
        </w:numPr>
      </w:pPr>
      <w:r w:rsidRPr="00F7033D">
        <w:t>Inpatient;</w:t>
      </w:r>
    </w:p>
    <w:p w14:paraId="3FA4658D" w14:textId="77777777" w:rsidR="004602C2" w:rsidRPr="00F7033D" w:rsidRDefault="004602C2" w:rsidP="007937AF">
      <w:pPr>
        <w:pStyle w:val="ListParagraph"/>
        <w:numPr>
          <w:ilvl w:val="0"/>
          <w:numId w:val="19"/>
        </w:numPr>
      </w:pPr>
      <w:r w:rsidRPr="00F7033D">
        <w:t>Intensive outpatient or partial hospitalization;</w:t>
      </w:r>
    </w:p>
    <w:p w14:paraId="20D8AF5C" w14:textId="77777777" w:rsidR="004602C2" w:rsidRPr="00F7033D" w:rsidRDefault="004602C2" w:rsidP="007937AF">
      <w:pPr>
        <w:pStyle w:val="ListParagraph"/>
        <w:numPr>
          <w:ilvl w:val="0"/>
          <w:numId w:val="19"/>
        </w:numPr>
      </w:pPr>
      <w:r w:rsidRPr="00F7033D">
        <w:t>Outpatient;</w:t>
      </w:r>
    </w:p>
    <w:p w14:paraId="33CC2DCC" w14:textId="77777777" w:rsidR="004602C2" w:rsidRPr="00F7033D" w:rsidRDefault="004602C2" w:rsidP="007937AF">
      <w:pPr>
        <w:pStyle w:val="ListParagraph"/>
        <w:numPr>
          <w:ilvl w:val="0"/>
          <w:numId w:val="19"/>
        </w:numPr>
      </w:pPr>
      <w:r w:rsidRPr="00F7033D">
        <w:t>Emergency Department;</w:t>
      </w:r>
    </w:p>
    <w:p w14:paraId="3B05A8A0" w14:textId="77777777" w:rsidR="004602C2" w:rsidRPr="00F7033D" w:rsidRDefault="004602C2" w:rsidP="007937AF">
      <w:pPr>
        <w:pStyle w:val="ListParagraph"/>
        <w:numPr>
          <w:ilvl w:val="0"/>
          <w:numId w:val="19"/>
        </w:numPr>
      </w:pPr>
      <w:r w:rsidRPr="00F7033D">
        <w:t>Telehealth; and</w:t>
      </w:r>
    </w:p>
    <w:p w14:paraId="6322E0D5" w14:textId="77777777" w:rsidR="004602C2" w:rsidRPr="00F7033D" w:rsidRDefault="004602C2" w:rsidP="007937AF">
      <w:pPr>
        <w:pStyle w:val="ListParagraph"/>
        <w:numPr>
          <w:ilvl w:val="0"/>
          <w:numId w:val="19"/>
        </w:numPr>
      </w:pPr>
      <w:r w:rsidRPr="00F7033D">
        <w:t>Any service.</w:t>
      </w:r>
    </w:p>
    <w:p w14:paraId="4C183BFF" w14:textId="77777777" w:rsidR="004602C2" w:rsidRPr="00F7033D" w:rsidRDefault="004602C2" w:rsidP="004602C2"/>
    <w:p w14:paraId="58C27FB3" w14:textId="77777777" w:rsidR="004602C2" w:rsidRPr="00F7033D" w:rsidRDefault="004602C2" w:rsidP="004602C2">
      <w:pPr>
        <w:rPr>
          <w:b/>
        </w:rPr>
      </w:pPr>
      <w:r w:rsidRPr="00F7033D">
        <w:rPr>
          <w:b/>
        </w:rPr>
        <w:t>Identification of Alcohol and Other Drug Services</w:t>
      </w:r>
    </w:p>
    <w:p w14:paraId="38A9DC9B" w14:textId="77777777" w:rsidR="004602C2" w:rsidRPr="00F7033D" w:rsidRDefault="004602C2" w:rsidP="004602C2">
      <w:r w:rsidRPr="00F7033D">
        <w:t>This measure summarizes the number and percentage of members with an alcohol and other drug (AOD) claim who received the following chemical dependency services during the measurement year:</w:t>
      </w:r>
    </w:p>
    <w:p w14:paraId="6780F355" w14:textId="77777777" w:rsidR="004602C2" w:rsidRPr="00F7033D" w:rsidRDefault="004602C2" w:rsidP="007937AF">
      <w:pPr>
        <w:pStyle w:val="ListParagraph"/>
        <w:numPr>
          <w:ilvl w:val="0"/>
          <w:numId w:val="21"/>
        </w:numPr>
      </w:pPr>
      <w:r w:rsidRPr="00F7033D">
        <w:t>Inpatient;</w:t>
      </w:r>
    </w:p>
    <w:p w14:paraId="5903F997" w14:textId="77777777" w:rsidR="004602C2" w:rsidRPr="00F7033D" w:rsidRDefault="004602C2" w:rsidP="007937AF">
      <w:pPr>
        <w:pStyle w:val="ListParagraph"/>
        <w:numPr>
          <w:ilvl w:val="0"/>
          <w:numId w:val="21"/>
        </w:numPr>
      </w:pPr>
      <w:r w:rsidRPr="00F7033D">
        <w:t>Intensive outpatient or partial hospitalization;</w:t>
      </w:r>
    </w:p>
    <w:p w14:paraId="088AFD69" w14:textId="77777777" w:rsidR="004602C2" w:rsidRPr="00F7033D" w:rsidRDefault="004602C2" w:rsidP="007937AF">
      <w:pPr>
        <w:pStyle w:val="ListParagraph"/>
        <w:numPr>
          <w:ilvl w:val="0"/>
          <w:numId w:val="21"/>
        </w:numPr>
      </w:pPr>
      <w:r w:rsidRPr="00F7033D">
        <w:t>Outpatient or medication treatment;</w:t>
      </w:r>
    </w:p>
    <w:p w14:paraId="572859AB" w14:textId="77777777" w:rsidR="004602C2" w:rsidRPr="00F7033D" w:rsidRDefault="004602C2" w:rsidP="007937AF">
      <w:pPr>
        <w:pStyle w:val="ListParagraph"/>
        <w:numPr>
          <w:ilvl w:val="0"/>
          <w:numId w:val="21"/>
        </w:numPr>
      </w:pPr>
      <w:r w:rsidRPr="00F7033D">
        <w:t>Emergency Department;</w:t>
      </w:r>
    </w:p>
    <w:p w14:paraId="4204DBA0" w14:textId="77777777" w:rsidR="004602C2" w:rsidRPr="00F7033D" w:rsidRDefault="004602C2" w:rsidP="007937AF">
      <w:pPr>
        <w:pStyle w:val="ListParagraph"/>
        <w:numPr>
          <w:ilvl w:val="0"/>
          <w:numId w:val="21"/>
        </w:numPr>
      </w:pPr>
      <w:r w:rsidRPr="00F7033D">
        <w:lastRenderedPageBreak/>
        <w:t>Telehealth; and</w:t>
      </w:r>
    </w:p>
    <w:p w14:paraId="4F6A4F2F" w14:textId="77777777" w:rsidR="004602C2" w:rsidRPr="00F7033D" w:rsidRDefault="004602C2" w:rsidP="007937AF">
      <w:pPr>
        <w:pStyle w:val="ListParagraph"/>
        <w:numPr>
          <w:ilvl w:val="0"/>
          <w:numId w:val="21"/>
        </w:numPr>
      </w:pPr>
      <w:r w:rsidRPr="00F7033D">
        <w:t>Any service.</w:t>
      </w:r>
    </w:p>
    <w:p w14:paraId="3C6C918B" w14:textId="77777777" w:rsidR="004602C2" w:rsidRPr="00F7033D" w:rsidRDefault="004602C2" w:rsidP="004602C2"/>
    <w:p w14:paraId="2C1868AD" w14:textId="77777777" w:rsidR="004602C2" w:rsidRPr="00F7033D" w:rsidRDefault="004602C2" w:rsidP="004602C2">
      <w:pPr>
        <w:rPr>
          <w:b/>
        </w:rPr>
      </w:pPr>
      <w:r w:rsidRPr="00F7033D">
        <w:rPr>
          <w:b/>
        </w:rPr>
        <w:t>CAHPS Survey</w:t>
      </w:r>
    </w:p>
    <w:p w14:paraId="3F746CE5" w14:textId="77777777" w:rsidR="004602C2" w:rsidRPr="00F7033D" w:rsidRDefault="004602C2" w:rsidP="004602C2">
      <w:r w:rsidRPr="00F7033D">
        <w:t xml:space="preserve">The Consumer Assessment of Healthcare Providers and Systems (CAHPS) program is overseen by the Agency of Healthcare Research and Quality (AHRQ) and includes many survey products designed to capture consumer and patient perspectives on health care quality. NCQA uses the adult and child versions of the CAHPS Health Plan Surveys for HEDIS. </w:t>
      </w:r>
    </w:p>
    <w:p w14:paraId="708261EF" w14:textId="77777777" w:rsidR="004602C2" w:rsidRPr="00F7033D" w:rsidRDefault="004602C2" w:rsidP="004602C2">
      <w:pPr>
        <w:pStyle w:val="Heading2"/>
      </w:pPr>
      <w:bookmarkStart w:id="96" w:name="_Toc132641619"/>
      <w:r w:rsidRPr="00F7033D">
        <w:t>Implementation of PA-Specific Performance Measures and HEDIS Audit</w:t>
      </w:r>
      <w:bookmarkEnd w:id="83"/>
      <w:bookmarkEnd w:id="84"/>
      <w:bookmarkEnd w:id="96"/>
      <w:r w:rsidRPr="00F7033D">
        <w:t xml:space="preserve"> </w:t>
      </w:r>
    </w:p>
    <w:p w14:paraId="54F3F85F" w14:textId="77777777" w:rsidR="004602C2" w:rsidRPr="00F7033D" w:rsidRDefault="004602C2" w:rsidP="009801BA">
      <w:r w:rsidRPr="00F7033D">
        <w:t>The MCO successfully implemented all of the PA-specific measures for 202</w:t>
      </w:r>
      <w:r>
        <w:t>2</w:t>
      </w:r>
      <w:r w:rsidRPr="00F7033D">
        <w:t xml:space="preserve"> that were reported with MCO-submitted data. The MCO submitted all required source code and data for review. IPRO reviewed the source code and validated raw data submitted by the MCO. All rates submitted by the MCO were reportable. Rate calculations were collected via rate sheets and reviewed for all of the PA-specific measures. </w:t>
      </w:r>
    </w:p>
    <w:p w14:paraId="2E8C39BE" w14:textId="77777777" w:rsidR="004602C2" w:rsidRPr="00F7033D" w:rsidRDefault="004602C2" w:rsidP="004602C2"/>
    <w:p w14:paraId="548FF0B5" w14:textId="77777777" w:rsidR="004602C2" w:rsidRPr="00F7033D" w:rsidRDefault="004602C2" w:rsidP="004602C2">
      <w:pPr>
        <w:rPr>
          <w:b/>
          <w:highlight w:val="yellow"/>
        </w:rPr>
      </w:pPr>
      <w:r w:rsidRPr="00F7033D">
        <w:t>The Contraceptive Care for All Women and Contraceptive Care for Postpartum Women (CCW; CCP) were first-year measures in 2018 for all CHIP MCOs. In 2021, clarification was added to both specifications to include all paid and suspended claims when reporting these measures. As in prior reporting years, CHIP MCOs saw very small denominators for the Contraceptive Care for Postpartum Women (CCP) measure; thus, rates are not reported for this measure across the plans. In 2019, clarification was added to note that to remain aligned with CMS specifications, the look-back period to search for exclusions is limited to the measurement year. In 2020, this clarification was continued for both Contraceptive Care measures. In 2021, a clarification was included in the CCP specifications that when calculating the number of days postpartum, date of delivery should be used as Day 0.</w:t>
      </w:r>
    </w:p>
    <w:p w14:paraId="311242EC" w14:textId="77777777" w:rsidR="004602C2" w:rsidRPr="00F7033D" w:rsidRDefault="004602C2" w:rsidP="004602C2">
      <w:pPr>
        <w:rPr>
          <w:b/>
          <w:highlight w:val="yellow"/>
        </w:rPr>
      </w:pPr>
    </w:p>
    <w:p w14:paraId="249E122E" w14:textId="77777777" w:rsidR="004602C2" w:rsidRPr="00F7033D" w:rsidRDefault="004602C2" w:rsidP="004602C2">
      <w:pPr>
        <w:autoSpaceDE w:val="0"/>
        <w:autoSpaceDN w:val="0"/>
        <w:adjustRightInd w:val="0"/>
        <w:jc w:val="left"/>
        <w:rPr>
          <w:rFonts w:eastAsiaTheme="minorHAnsi" w:cstheme="minorHAnsi"/>
          <w:lang w:bidi="ar-SA"/>
        </w:rPr>
      </w:pPr>
      <w:r w:rsidRPr="00F7033D">
        <w:rPr>
          <w:rFonts w:eastAsiaTheme="minorHAnsi" w:cstheme="minorHAnsi"/>
          <w:lang w:bidi="ar-SA"/>
        </w:rPr>
        <w:t xml:space="preserve">The Sealant Receipt on Permanent First Year Molars was new </w:t>
      </w:r>
      <w:r>
        <w:rPr>
          <w:rFonts w:eastAsiaTheme="minorHAnsi" w:cstheme="minorHAnsi"/>
          <w:lang w:bidi="ar-SA"/>
        </w:rPr>
        <w:t xml:space="preserve">in </w:t>
      </w:r>
      <w:r w:rsidRPr="00F7033D">
        <w:rPr>
          <w:rFonts w:eastAsiaTheme="minorHAnsi" w:cstheme="minorHAnsi"/>
          <w:lang w:bidi="ar-SA"/>
        </w:rPr>
        <w:t>2021, and replaced the Dental Sealants for 6-9 Year Old Children at Elevated Caries Risk measures, which was retired in 2020. The primary differences between the two measures were:</w:t>
      </w:r>
      <w:r w:rsidRPr="00F7033D">
        <w:t xml:space="preserve"> 1) the denominator no longer requires a multiple year lookback to assess risk for any child regardless of Medicaid or CHIP (which required pooling data sources), and 2) the denominator now includes children enrolled with the MCO for 12 months preceding their </w:t>
      </w:r>
      <w:r w:rsidRPr="009801BA">
        <w:t>10th b</w:t>
      </w:r>
      <w:r w:rsidRPr="00F7033D">
        <w:t>irthday, with allowable exclusions and numerator hits to be checked for the previous 48 months.</w:t>
      </w:r>
      <w:r w:rsidRPr="00F7033D">
        <w:rPr>
          <w:rFonts w:eastAsiaTheme="minorHAnsi" w:cstheme="minorHAnsi"/>
          <w:lang w:bidi="ar-SA"/>
        </w:rPr>
        <w:t xml:space="preserve"> </w:t>
      </w:r>
    </w:p>
    <w:p w14:paraId="5F2C3C43" w14:textId="77777777" w:rsidR="004602C2" w:rsidRPr="00F7033D" w:rsidRDefault="004602C2" w:rsidP="004602C2"/>
    <w:p w14:paraId="3F10B01B" w14:textId="716F9946" w:rsidR="004602C2" w:rsidRPr="00F7033D" w:rsidRDefault="004602C2" w:rsidP="004602C2">
      <w:r w:rsidRPr="00F7033D">
        <w:t>The Developmental Screening in the First Three Years of Life measure was modified in 2018 in order to clarify the age cohorts that are used when reporting for this measure. This clarification noted that children can be screened in the 12 months preceding or on their first, second, or third birthday. Specific time</w:t>
      </w:r>
      <w:r w:rsidR="00AC1252">
        <w:t xml:space="preserve"> </w:t>
      </w:r>
      <w:r w:rsidRPr="00F7033D">
        <w:t>frames were provided for each age cohort. In 2019, additional clarification was added regarding the time period to be used for each age cohort. Specifically, the member’s birthday should fall in one of the following cohorts for each numerator:</w:t>
      </w:r>
    </w:p>
    <w:p w14:paraId="7E40C682" w14:textId="77777777" w:rsidR="004602C2" w:rsidRPr="00F7033D" w:rsidRDefault="004602C2" w:rsidP="00CC125C">
      <w:pPr>
        <w:pStyle w:val="ListParagraph"/>
        <w:numPr>
          <w:ilvl w:val="0"/>
          <w:numId w:val="17"/>
        </w:numPr>
      </w:pPr>
      <w:r w:rsidRPr="00F7033D">
        <w:t xml:space="preserve">Age Cohort 1: Children who had a claim with a relevant CPT code before or on their first birthday; </w:t>
      </w:r>
    </w:p>
    <w:p w14:paraId="160C6D1A" w14:textId="77777777" w:rsidR="004602C2" w:rsidRPr="00F7033D" w:rsidRDefault="004602C2" w:rsidP="00CC125C">
      <w:pPr>
        <w:pStyle w:val="ListParagraph"/>
        <w:numPr>
          <w:ilvl w:val="0"/>
          <w:numId w:val="17"/>
        </w:numPr>
      </w:pPr>
      <w:r w:rsidRPr="00F7033D">
        <w:t xml:space="preserve">Age Cohort 2: Children who had a claim with a relevant CPT code after their first birthday and before or on their second birthday; and </w:t>
      </w:r>
    </w:p>
    <w:p w14:paraId="75C24C4B" w14:textId="77777777" w:rsidR="004602C2" w:rsidRPr="00F7033D" w:rsidRDefault="004602C2" w:rsidP="00CC125C">
      <w:pPr>
        <w:pStyle w:val="ListParagraph"/>
        <w:numPr>
          <w:ilvl w:val="0"/>
          <w:numId w:val="17"/>
        </w:numPr>
      </w:pPr>
      <w:r w:rsidRPr="00F7033D">
        <w:t>Age Cohort 3: Children who had a claim with a relevant CPT code after their second birthday and before or on their third birthday.</w:t>
      </w:r>
    </w:p>
    <w:p w14:paraId="39F5CEE2" w14:textId="77777777" w:rsidR="004602C2" w:rsidRPr="00F7033D" w:rsidRDefault="004602C2" w:rsidP="004602C2"/>
    <w:p w14:paraId="260E94D6" w14:textId="77777777" w:rsidR="004602C2" w:rsidRPr="00F7033D" w:rsidRDefault="004602C2" w:rsidP="004602C2">
      <w:r w:rsidRPr="00F7033D">
        <w:t xml:space="preserve">In 2020, these changes were continued, and additional change occurred in the reporting of a single numerator for each age cohort using CPT code 96110. The CPT code 96111, used in reporting for the previously reported numerators B and C, was retired in MY 2019. </w:t>
      </w:r>
      <w:r>
        <w:t>Only</w:t>
      </w:r>
      <w:r w:rsidRPr="00F7033D">
        <w:t xml:space="preserve"> claims with a 96110 CPT code are counted for this measure.</w:t>
      </w:r>
      <w:bookmarkStart w:id="97" w:name="_Toc512521028"/>
    </w:p>
    <w:p w14:paraId="18709C54" w14:textId="77777777" w:rsidR="004602C2" w:rsidRPr="00F7033D" w:rsidRDefault="004602C2" w:rsidP="004602C2">
      <w:bookmarkStart w:id="98" w:name="_Toc66956523"/>
    </w:p>
    <w:p w14:paraId="3329FA0A" w14:textId="77777777" w:rsidR="004602C2" w:rsidRPr="00F7033D" w:rsidRDefault="004602C2" w:rsidP="004602C2">
      <w:r w:rsidRPr="00F7033D">
        <w:t>The MCO successfully completed the HEDIS audit. The MCO received an Audit Designation of Report for all applicable measures.</w:t>
      </w:r>
    </w:p>
    <w:p w14:paraId="6C6A1BF6" w14:textId="77777777" w:rsidR="004602C2" w:rsidRPr="00F7033D" w:rsidRDefault="004602C2" w:rsidP="004602C2">
      <w:pPr>
        <w:pStyle w:val="Heading2"/>
      </w:pPr>
      <w:bookmarkStart w:id="99" w:name="_Toc68527427"/>
      <w:bookmarkStart w:id="100" w:name="_Toc132641620"/>
      <w:r w:rsidRPr="00F7033D">
        <w:t>Conclusions and Comparative Findings</w:t>
      </w:r>
      <w:bookmarkEnd w:id="97"/>
      <w:bookmarkEnd w:id="98"/>
      <w:bookmarkEnd w:id="99"/>
      <w:bookmarkEnd w:id="100"/>
      <w:r w:rsidRPr="00F7033D">
        <w:t xml:space="preserve"> </w:t>
      </w:r>
    </w:p>
    <w:p w14:paraId="3DBF8D66" w14:textId="77777777" w:rsidR="004602C2" w:rsidRPr="00F7033D" w:rsidRDefault="004602C2" w:rsidP="009801BA">
      <w:r w:rsidRPr="00F7033D">
        <w:t xml:space="preserve">MCO results are presented in </w:t>
      </w:r>
      <w:r w:rsidRPr="00F7033D">
        <w:rPr>
          <w:b/>
        </w:rPr>
        <w:t>Table 2.2</w:t>
      </w:r>
      <w:r w:rsidRPr="00F7033D">
        <w:t xml:space="preserve"> through </w:t>
      </w:r>
      <w:r w:rsidRPr="00F7033D">
        <w:rPr>
          <w:b/>
        </w:rPr>
        <w:t>Table 2.8</w:t>
      </w:r>
      <w:r w:rsidRPr="00F7033D">
        <w:t xml:space="preserve">. For each measure, the denominator, numerator, and measurement year rates with 95% upper and lower confidence intervals (95% CI) are presented. Confidence intervals are ranges of values that can be used to illustrate the variability associated with a given calculation. For any rate, a 95% confidence interval indicates that there is a 95% probability that the calculated rate, if it were measured repeatedly, would </w:t>
      </w:r>
      <w:r w:rsidRPr="00F7033D">
        <w:lastRenderedPageBreak/>
        <w:t xml:space="preserve">fall within the range of values presented for that rate. All other things being equal, if any given rate were calculated 100 times, the calculated rate would fall within the confidence interval 95 times, or 95% of the time. </w:t>
      </w:r>
    </w:p>
    <w:p w14:paraId="78A06495" w14:textId="77777777" w:rsidR="004602C2" w:rsidRPr="00F7033D" w:rsidRDefault="004602C2" w:rsidP="004602C2"/>
    <w:p w14:paraId="3C3FA2DD" w14:textId="77777777" w:rsidR="004602C2" w:rsidRPr="00F7033D" w:rsidRDefault="004602C2" w:rsidP="004602C2">
      <w:r w:rsidRPr="00F7033D">
        <w:t>Rates for both the measurement year and the previous year are presented, as available (i.e., 202</w:t>
      </w:r>
      <w:r>
        <w:t>2</w:t>
      </w:r>
      <w:r w:rsidRPr="00F7033D">
        <w:t xml:space="preserve"> [MY 202</w:t>
      </w:r>
      <w:r>
        <w:t>1</w:t>
      </w:r>
      <w:r w:rsidRPr="00F7033D">
        <w:t>] and 202</w:t>
      </w:r>
      <w:r>
        <w:t>1</w:t>
      </w:r>
      <w:r w:rsidRPr="00F7033D">
        <w:t xml:space="preserve"> [MY 20</w:t>
      </w:r>
      <w:r>
        <w:t>20</w:t>
      </w:r>
      <w:r w:rsidRPr="00F7033D">
        <w:t>]). In addition, statistical comparisons are made between the MY 202</w:t>
      </w:r>
      <w:r>
        <w:t>1</w:t>
      </w:r>
      <w:r w:rsidRPr="00F7033D">
        <w:t xml:space="preserve"> and MY 20</w:t>
      </w:r>
      <w:r>
        <w:t>20</w:t>
      </w:r>
      <w:r w:rsidRPr="00F7033D">
        <w:t xml:space="preserve"> rates. For these year-to-year comparisons, the significance of the difference between two independent proportions was determined by calculating the </w:t>
      </w:r>
      <w:r w:rsidRPr="00F7033D">
        <w:rPr>
          <w:i/>
        </w:rPr>
        <w:t xml:space="preserve">Z </w:t>
      </w:r>
      <w:r w:rsidRPr="00F7033D">
        <w:t xml:space="preserve">ratio. A </w:t>
      </w:r>
      <w:r w:rsidRPr="00F7033D">
        <w:rPr>
          <w:i/>
        </w:rPr>
        <w:t xml:space="preserve">Z </w:t>
      </w:r>
      <w:r w:rsidRPr="00F7033D">
        <w:t>ratio is a statistical measure that quantifies the difference between two percentages when they come from two separate populations. For comparison of MY 202</w:t>
      </w:r>
      <w:r>
        <w:t>1</w:t>
      </w:r>
      <w:r w:rsidRPr="00F7033D">
        <w:t xml:space="preserve"> rates to MY 20</w:t>
      </w:r>
      <w:r>
        <w:t>20</w:t>
      </w:r>
      <w:r w:rsidRPr="00F7033D">
        <w:t xml:space="preserve"> rates, statistically significant increases are indicated by “+,” statistically significant decreases by “</w:t>
      </w:r>
      <w:r w:rsidRPr="00F7033D">
        <w:rPr>
          <w:rFonts w:cstheme="minorHAnsi"/>
        </w:rPr>
        <w:t>−</w:t>
      </w:r>
      <w:r w:rsidRPr="00F7033D">
        <w:t>,” and no statistically significant change by “</w:t>
      </w:r>
      <w:proofErr w:type="spellStart"/>
      <w:r w:rsidRPr="00F7033D">
        <w:t>n.s</w:t>
      </w:r>
      <w:proofErr w:type="spellEnd"/>
      <w:r w:rsidRPr="00F7033D">
        <w:t xml:space="preserve">.”  </w:t>
      </w:r>
    </w:p>
    <w:p w14:paraId="7057C024" w14:textId="77777777" w:rsidR="004602C2" w:rsidRPr="00F7033D" w:rsidRDefault="004602C2" w:rsidP="004602C2"/>
    <w:p w14:paraId="71730655" w14:textId="77777777" w:rsidR="004602C2" w:rsidRPr="00F7033D" w:rsidRDefault="004602C2" w:rsidP="004602C2">
      <w:pPr>
        <w:rPr>
          <w:b/>
          <w:bCs/>
        </w:rPr>
      </w:pPr>
      <w:r w:rsidRPr="00F7033D">
        <w:rPr>
          <w:bCs/>
        </w:rPr>
        <w:t>In addition to each individual MCO rate, the CHIP Medicaid Managed Care (MMC) average for 202</w:t>
      </w:r>
      <w:r>
        <w:rPr>
          <w:bCs/>
        </w:rPr>
        <w:t xml:space="preserve">2 </w:t>
      </w:r>
      <w:r w:rsidRPr="00F7033D">
        <w:rPr>
          <w:bCs/>
        </w:rPr>
        <w:t>(MY 202</w:t>
      </w:r>
      <w:r>
        <w:rPr>
          <w:bCs/>
        </w:rPr>
        <w:t>1</w:t>
      </w:r>
      <w:r w:rsidRPr="00F7033D">
        <w:rPr>
          <w:bCs/>
        </w:rPr>
        <w:t>) is presented. The CHIP MMC average is a weighted average, which is an average that takes into account the proportional relevance of each MCO. Each table also presents the significance of difference between the plan’s measurement year rate and the CHIP MMC average for the same year. For comparison of MY 202</w:t>
      </w:r>
      <w:r>
        <w:rPr>
          <w:bCs/>
        </w:rPr>
        <w:t>1</w:t>
      </w:r>
      <w:r w:rsidRPr="00F7033D">
        <w:rPr>
          <w:bCs/>
        </w:rPr>
        <w:t xml:space="preserve"> rates to CHIP MMC rates, the “+” denotes that the plan rate exceeds the CHIP MMC rate, the “</w:t>
      </w:r>
      <w:r w:rsidRPr="00F7033D">
        <w:rPr>
          <w:rFonts w:cstheme="minorHAnsi"/>
        </w:rPr>
        <w:t>−</w:t>
      </w:r>
      <w:r w:rsidRPr="00F7033D">
        <w:rPr>
          <w:bCs/>
        </w:rPr>
        <w:t>” denotes that the MMC rate exceeds the plan rate, and “</w:t>
      </w:r>
      <w:proofErr w:type="spellStart"/>
      <w:r w:rsidRPr="00F7033D">
        <w:rPr>
          <w:bCs/>
        </w:rPr>
        <w:t>n.s</w:t>
      </w:r>
      <w:proofErr w:type="spellEnd"/>
      <w:r w:rsidRPr="00F7033D">
        <w:rPr>
          <w:bCs/>
        </w:rPr>
        <w:t>.” denotes no statistically significant difference between the two rates.</w:t>
      </w:r>
      <w:r w:rsidRPr="00F7033D">
        <w:rPr>
          <w:b/>
          <w:bCs/>
        </w:rPr>
        <w:t xml:space="preserve"> </w:t>
      </w:r>
      <w:r w:rsidRPr="00F7033D">
        <w:rPr>
          <w:bCs/>
        </w:rPr>
        <w:t xml:space="preserve">Rates for the CHIP </w:t>
      </w:r>
      <w:r w:rsidRPr="00F7033D">
        <w:rPr>
          <w:rFonts w:cs="Arial"/>
        </w:rPr>
        <w:t>HEDIS</w:t>
      </w:r>
      <w:r w:rsidRPr="00F7033D">
        <w:rPr>
          <w:bCs/>
        </w:rPr>
        <w:t xml:space="preserve"> measures were compared to corresponding Medicaid percentiles; comparison results are provided in the tables. The 90th percentile is the benchmark for the </w:t>
      </w:r>
      <w:r w:rsidRPr="00F7033D">
        <w:rPr>
          <w:rFonts w:cs="Arial"/>
        </w:rPr>
        <w:t>HEDIS</w:t>
      </w:r>
      <w:r w:rsidRPr="00F7033D">
        <w:rPr>
          <w:bCs/>
        </w:rPr>
        <w:t xml:space="preserve"> measures.</w:t>
      </w:r>
      <w:r w:rsidRPr="00F7033D">
        <w:rPr>
          <w:b/>
          <w:bCs/>
        </w:rPr>
        <w:t xml:space="preserve">  </w:t>
      </w:r>
    </w:p>
    <w:p w14:paraId="64C6E263" w14:textId="77777777" w:rsidR="004602C2" w:rsidRPr="00F7033D" w:rsidRDefault="004602C2" w:rsidP="004602C2"/>
    <w:p w14:paraId="3CE7E561" w14:textId="10C0B509" w:rsidR="004602C2" w:rsidRPr="00F7033D" w:rsidRDefault="004602C2" w:rsidP="004602C2">
      <w:r w:rsidRPr="00F7033D">
        <w:t>Note that the large denominator sizes for many of the analyses led to increased statistical power, and thus contributed to detecting statistical differences that are not clinically meaningful. For example, even a 1-percentage</w:t>
      </w:r>
      <w:r w:rsidR="009801BA">
        <w:t>-</w:t>
      </w:r>
      <w:r w:rsidRPr="00F7033D">
        <w:t>point difference between two rates was statistically significant in many cases, although not meaningful. Hence, results corresponding to each table highlight only differences that are both statistically significant and display at least a 3-percentage</w:t>
      </w:r>
      <w:r w:rsidR="009801BA">
        <w:t>-</w:t>
      </w:r>
      <w:r w:rsidRPr="00F7033D">
        <w:t>point difference in observed rates. It should also be mentioned that when the denominator sizes are small, even relatively large differences in rates may not yield statistical significance due to reduced power; if statistical significance is not achieved, results are not highlighted in the report. Differences are also not discussed if the denominator was less than 30 for a particular rat</w:t>
      </w:r>
      <w:r>
        <w:t>e.</w:t>
      </w:r>
      <w:r w:rsidRPr="00F7033D">
        <w:t xml:space="preserve"> “N/A” (Not Applicable) appears in the corresponding cells</w:t>
      </w:r>
      <w:r>
        <w:t xml:space="preserve"> where that rate is not available, such as when the denominator was less than 30 or the measure was not reported for that year. </w:t>
      </w:r>
      <w:r w:rsidRPr="00F7033D">
        <w:t xml:space="preserve">However, “NA” (Not Available) also appears in the cells under the </w:t>
      </w:r>
      <w:r w:rsidRPr="00F7033D">
        <w:rPr>
          <w:rFonts w:cs="Arial"/>
        </w:rPr>
        <w:t>HEDIS</w:t>
      </w:r>
      <w:r w:rsidRPr="00F7033D">
        <w:t xml:space="preserve"> MY 202</w:t>
      </w:r>
      <w:r>
        <w:t>1</w:t>
      </w:r>
      <w:r w:rsidRPr="00F7033D">
        <w:t xml:space="preserve"> percentile column for PA-specific measures that do not have </w:t>
      </w:r>
      <w:r w:rsidRPr="00F7033D">
        <w:rPr>
          <w:rFonts w:cs="Arial"/>
        </w:rPr>
        <w:t>HEDIS</w:t>
      </w:r>
      <w:r w:rsidRPr="00F7033D">
        <w:t xml:space="preserve"> percentiles to compare. </w:t>
      </w:r>
    </w:p>
    <w:p w14:paraId="275785EB" w14:textId="77777777" w:rsidR="004602C2" w:rsidRPr="00F7033D" w:rsidRDefault="004602C2" w:rsidP="004602C2"/>
    <w:p w14:paraId="63B94D61" w14:textId="77777777" w:rsidR="004602C2" w:rsidRPr="00F7033D" w:rsidRDefault="004602C2" w:rsidP="004602C2">
      <w:r w:rsidRPr="00F7033D">
        <w:rPr>
          <w:b/>
        </w:rPr>
        <w:t>Table 2.2</w:t>
      </w:r>
      <w:r w:rsidRPr="00F7033D">
        <w:t xml:space="preserve"> to </w:t>
      </w:r>
      <w:r w:rsidRPr="00F7033D">
        <w:rPr>
          <w:b/>
        </w:rPr>
        <w:t>Table 2.7</w:t>
      </w:r>
      <w:r w:rsidRPr="00F7033D">
        <w:t xml:space="preserve"> show rates up to one decimal place. Calculations to determine differences between rates are based upon unrounded rates. Due to rounding, differences in rates that are reported in the narrative may differ slightly from the difference between the rates as presented in the table.</w:t>
      </w:r>
    </w:p>
    <w:p w14:paraId="56DA673E" w14:textId="77777777" w:rsidR="004602C2" w:rsidRPr="00F7033D" w:rsidRDefault="004602C2" w:rsidP="004602C2"/>
    <w:p w14:paraId="13B789AC" w14:textId="77777777" w:rsidR="004602C2" w:rsidRPr="00F7033D" w:rsidRDefault="004602C2" w:rsidP="004602C2">
      <w:pPr>
        <w:rPr>
          <w:b/>
        </w:rPr>
      </w:pPr>
      <w:r w:rsidRPr="00F7033D">
        <w:t xml:space="preserve">Graphical representation of findings is provided for a subset of measures with sufficient data to provide informative illustrations to the tables in this section. These graphical representations can be found in the </w:t>
      </w:r>
      <w:r w:rsidRPr="00F7033D">
        <w:rPr>
          <w:b/>
        </w:rPr>
        <w:t>Appendix.</w:t>
      </w:r>
    </w:p>
    <w:p w14:paraId="03293E4A" w14:textId="77777777" w:rsidR="004602C2" w:rsidRPr="00F7033D" w:rsidRDefault="004602C2" w:rsidP="004602C2">
      <w:pPr>
        <w:rPr>
          <w:b/>
        </w:rPr>
      </w:pPr>
    </w:p>
    <w:p w14:paraId="74114584" w14:textId="77777777" w:rsidR="00AB379C" w:rsidRPr="00F7033D" w:rsidRDefault="00AB379C" w:rsidP="00AB379C">
      <w:r w:rsidRPr="00F7033D">
        <w:t xml:space="preserve">As part of IPRO’s validation of </w:t>
      </w:r>
      <w:r>
        <w:t>UPMC’s</w:t>
      </w:r>
      <w:r w:rsidRPr="00F7033D">
        <w:t xml:space="preserve"> Performance Measures and CAHPS Survey results, the following are recommended areas of focus for the plan moving into the next reporting year. Particular attention has been paid to measures that are not only identified as opportunities for the current 2022 review year, but were also identified as opportunities or did not show an improvement in rates in 202</w:t>
      </w:r>
      <w:r>
        <w:t>1</w:t>
      </w:r>
      <w:r w:rsidRPr="00F7033D">
        <w:t>.</w:t>
      </w:r>
    </w:p>
    <w:p w14:paraId="55A4C5D3" w14:textId="416BB306" w:rsidR="00AB379C" w:rsidRPr="00683A0A" w:rsidRDefault="00AB379C" w:rsidP="00AB379C">
      <w:pPr>
        <w:pStyle w:val="ListParagraph"/>
        <w:numPr>
          <w:ilvl w:val="0"/>
          <w:numId w:val="24"/>
        </w:numPr>
      </w:pPr>
      <w:r w:rsidRPr="00281E7C">
        <w:t>I</w:t>
      </w:r>
      <w:r w:rsidRPr="00BC385F">
        <w:t xml:space="preserve">t is recommended that the MCO improve access to screenings for its members. Lead Screening in Children (2 years) and Developmental Screening in the First Three Years of Life (all cohorts) </w:t>
      </w:r>
      <w:r w:rsidR="002A1951">
        <w:t>were opportunities</w:t>
      </w:r>
      <w:r w:rsidRPr="00BC385F">
        <w:t xml:space="preserve"> in 2022.</w:t>
      </w:r>
    </w:p>
    <w:p w14:paraId="2D4606A5" w14:textId="77777777" w:rsidR="00AB379C" w:rsidRPr="00683A0A" w:rsidRDefault="00AB379C" w:rsidP="00AB379C">
      <w:pPr>
        <w:spacing w:after="200" w:line="276" w:lineRule="auto"/>
        <w:jc w:val="left"/>
      </w:pPr>
      <w:r w:rsidRPr="00683A0A">
        <w:br w:type="page"/>
      </w:r>
    </w:p>
    <w:p w14:paraId="7279BD5B" w14:textId="77777777" w:rsidR="00AB379C" w:rsidRPr="00F7033D" w:rsidRDefault="00AB379C" w:rsidP="00AB379C">
      <w:pPr>
        <w:rPr>
          <w:highlight w:val="yellow"/>
        </w:rPr>
        <w:sectPr w:rsidR="00AB379C" w:rsidRPr="00F7033D" w:rsidSect="00AD1DED">
          <w:footerReference w:type="default" r:id="rId10"/>
          <w:pgSz w:w="12240" w:h="15840"/>
          <w:pgMar w:top="720" w:right="720" w:bottom="720" w:left="720" w:header="432" w:footer="432" w:gutter="0"/>
          <w:cols w:space="720"/>
          <w:titlePg/>
          <w:docGrid w:linePitch="360"/>
        </w:sectPr>
      </w:pPr>
    </w:p>
    <w:p w14:paraId="43624EF5" w14:textId="77777777" w:rsidR="00AB379C" w:rsidRPr="00F7033D" w:rsidRDefault="00AB379C" w:rsidP="00AB379C">
      <w:pPr>
        <w:pStyle w:val="Heading3"/>
      </w:pPr>
      <w:bookmarkStart w:id="101" w:name="_Toc98922464"/>
      <w:bookmarkStart w:id="102" w:name="_Toc132641621"/>
      <w:r w:rsidRPr="00F7033D">
        <w:lastRenderedPageBreak/>
        <w:t>Access to/Availability of Care</w:t>
      </w:r>
      <w:bookmarkEnd w:id="101"/>
      <w:bookmarkEnd w:id="102"/>
    </w:p>
    <w:p w14:paraId="2D7BF36F" w14:textId="77777777" w:rsidR="00AB379C" w:rsidRDefault="00AB379C" w:rsidP="00AB379C">
      <w:pPr>
        <w:rPr>
          <w:bCs/>
        </w:rPr>
      </w:pPr>
      <w:bookmarkStart w:id="103" w:name="_Toc478563552"/>
      <w:bookmarkStart w:id="104" w:name="_Toc512521051"/>
      <w:r>
        <w:t>St</w:t>
      </w:r>
      <w:r w:rsidRPr="00F7033D">
        <w:t xml:space="preserve">rengths are identified for </w:t>
      </w:r>
      <w:r>
        <w:t xml:space="preserve">the following </w:t>
      </w:r>
      <w:r w:rsidRPr="00F7033D">
        <w:t>202</w:t>
      </w:r>
      <w:r>
        <w:t>2</w:t>
      </w:r>
      <w:r w:rsidRPr="00F7033D">
        <w:t xml:space="preserve"> (MY 202</w:t>
      </w:r>
      <w:r>
        <w:t>1</w:t>
      </w:r>
      <w:r w:rsidRPr="00F7033D">
        <w:t xml:space="preserve">) </w:t>
      </w:r>
      <w:r w:rsidRPr="00F7033D">
        <w:rPr>
          <w:bCs/>
        </w:rPr>
        <w:t>Access to/Availability of Care performance measures</w:t>
      </w:r>
      <w:r>
        <w:rPr>
          <w:bCs/>
        </w:rPr>
        <w:t>:</w:t>
      </w:r>
    </w:p>
    <w:p w14:paraId="0736A86B" w14:textId="77777777" w:rsidR="00AB379C" w:rsidRDefault="00AB379C" w:rsidP="00D54752">
      <w:pPr>
        <w:pStyle w:val="ListParagraph"/>
        <w:numPr>
          <w:ilvl w:val="0"/>
          <w:numId w:val="22"/>
        </w:numPr>
      </w:pPr>
      <w:r w:rsidRPr="00F7033D">
        <w:t>The following rates are statistically significantly above/better than the 202</w:t>
      </w:r>
      <w:r>
        <w:t>2</w:t>
      </w:r>
      <w:r w:rsidRPr="00F7033D">
        <w:t xml:space="preserve"> (MY 202</w:t>
      </w:r>
      <w:r>
        <w:t>1</w:t>
      </w:r>
      <w:r w:rsidRPr="00F7033D">
        <w:t>) MMC weighted average:</w:t>
      </w:r>
    </w:p>
    <w:p w14:paraId="56E7C219" w14:textId="08A4891F" w:rsidR="00AB379C" w:rsidRPr="00BC385F" w:rsidRDefault="00AB379C" w:rsidP="00D54752">
      <w:pPr>
        <w:pStyle w:val="ListParagraph"/>
        <w:numPr>
          <w:ilvl w:val="1"/>
          <w:numId w:val="22"/>
        </w:numPr>
        <w:ind w:left="1080"/>
      </w:pPr>
      <w:r w:rsidRPr="00BC385F">
        <w:t>Contraceptive Care for All Women (</w:t>
      </w:r>
      <w:r w:rsidR="00F40906">
        <w:t xml:space="preserve">Ages </w:t>
      </w:r>
      <w:r w:rsidRPr="00BC385F">
        <w:t>15–20 years): Most or Moderately Effective – 4.7 percentage points</w:t>
      </w:r>
      <w:r>
        <w:t>.</w:t>
      </w:r>
    </w:p>
    <w:p w14:paraId="140E1FE3" w14:textId="77777777" w:rsidR="00AB379C" w:rsidRPr="00F7033D" w:rsidRDefault="00AB379C" w:rsidP="00AB379C">
      <w:pPr>
        <w:rPr>
          <w:bCs/>
        </w:rPr>
      </w:pPr>
    </w:p>
    <w:p w14:paraId="7CEA0308" w14:textId="77777777" w:rsidR="00AB379C" w:rsidRPr="00F7033D" w:rsidRDefault="00AB379C" w:rsidP="00AB379C">
      <w:r>
        <w:t>No o</w:t>
      </w:r>
      <w:r w:rsidRPr="00F7033D">
        <w:t>pportunities for improvement are identified for the 202</w:t>
      </w:r>
      <w:r>
        <w:t>2</w:t>
      </w:r>
      <w:r w:rsidRPr="00F7033D">
        <w:t xml:space="preserve"> (MY 202</w:t>
      </w:r>
      <w:r>
        <w:t>1</w:t>
      </w:r>
      <w:r w:rsidRPr="00F7033D">
        <w:t>) Access to/Availability of Care performance measures</w:t>
      </w:r>
      <w:r>
        <w:t>.</w:t>
      </w:r>
    </w:p>
    <w:p w14:paraId="38833342" w14:textId="77777777" w:rsidR="00AB379C" w:rsidRPr="00F7033D" w:rsidRDefault="00AB379C" w:rsidP="00AB379C">
      <w:pPr>
        <w:pStyle w:val="tableheading"/>
      </w:pPr>
      <w:bookmarkStart w:id="105" w:name="_Toc98922500"/>
      <w:bookmarkStart w:id="106" w:name="_Toc132641662"/>
      <w:r w:rsidRPr="00F7033D">
        <w:t>Table 2.2: Access to/Availability of Care</w:t>
      </w:r>
      <w:bookmarkEnd w:id="103"/>
      <w:bookmarkEnd w:id="104"/>
      <w:bookmarkEnd w:id="105"/>
      <w:bookmarkEnd w:id="106"/>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816"/>
        <w:gridCol w:w="3044"/>
        <w:gridCol w:w="891"/>
        <w:gridCol w:w="803"/>
        <w:gridCol w:w="892"/>
        <w:gridCol w:w="1055"/>
        <w:gridCol w:w="1070"/>
        <w:gridCol w:w="1160"/>
        <w:gridCol w:w="1160"/>
        <w:gridCol w:w="981"/>
        <w:gridCol w:w="981"/>
        <w:gridCol w:w="1537"/>
      </w:tblGrid>
      <w:tr w:rsidR="00AB379C" w:rsidRPr="00D54752" w14:paraId="28CD1C6C" w14:textId="77777777" w:rsidTr="003A1D77">
        <w:trPr>
          <w:cantSplit/>
          <w:trHeight w:val="294"/>
          <w:tblHeader/>
        </w:trPr>
        <w:tc>
          <w:tcPr>
            <w:tcW w:w="1346" w:type="pct"/>
            <w:gridSpan w:val="2"/>
            <w:shd w:val="clear" w:color="000000" w:fill="5F497A"/>
            <w:vAlign w:val="bottom"/>
            <w:hideMark/>
          </w:tcPr>
          <w:p w14:paraId="1C522D71"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Indicator</w:t>
            </w:r>
          </w:p>
        </w:tc>
        <w:tc>
          <w:tcPr>
            <w:tcW w:w="1622" w:type="pct"/>
            <w:gridSpan w:val="5"/>
            <w:shd w:val="clear" w:color="000000" w:fill="5F497A"/>
            <w:vAlign w:val="bottom"/>
            <w:hideMark/>
          </w:tcPr>
          <w:p w14:paraId="17A5FFF3"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2022 (MY 2021)</w:t>
            </w:r>
          </w:p>
        </w:tc>
        <w:tc>
          <w:tcPr>
            <w:tcW w:w="2032" w:type="pct"/>
            <w:gridSpan w:val="5"/>
            <w:shd w:val="clear" w:color="000000" w:fill="5F497A"/>
            <w:vAlign w:val="bottom"/>
            <w:hideMark/>
          </w:tcPr>
          <w:p w14:paraId="5658D415" w14:textId="77777777" w:rsidR="00AB379C" w:rsidRPr="00D54752" w:rsidRDefault="00AB379C" w:rsidP="007055F6">
            <w:pPr>
              <w:jc w:val="center"/>
              <w:rPr>
                <w:rFonts w:eastAsia="Times New Roman" w:cstheme="minorHAnsi"/>
                <w:b/>
                <w:color w:val="FFFFFF"/>
                <w:vertAlign w:val="superscript"/>
                <w:lang w:bidi="ar-SA"/>
              </w:rPr>
            </w:pPr>
            <w:r w:rsidRPr="00D54752">
              <w:rPr>
                <w:rFonts w:eastAsia="Times New Roman" w:cstheme="minorHAnsi"/>
                <w:b/>
                <w:color w:val="FFFFFF"/>
                <w:lang w:bidi="ar-SA"/>
              </w:rPr>
              <w:t>Rate Comparison</w:t>
            </w:r>
            <w:r w:rsidRPr="00D54752">
              <w:rPr>
                <w:rFonts w:eastAsia="Times New Roman" w:cstheme="minorHAnsi"/>
                <w:b/>
                <w:color w:val="FFFFFF"/>
                <w:vertAlign w:val="superscript"/>
                <w:lang w:bidi="ar-SA"/>
              </w:rPr>
              <w:t>1</w:t>
            </w:r>
          </w:p>
        </w:tc>
      </w:tr>
      <w:tr w:rsidR="00AB379C" w:rsidRPr="00D54752" w14:paraId="2ED552F8" w14:textId="77777777" w:rsidTr="003A1D77">
        <w:trPr>
          <w:cantSplit/>
          <w:trHeight w:val="332"/>
          <w:tblHeader/>
        </w:trPr>
        <w:tc>
          <w:tcPr>
            <w:tcW w:w="286" w:type="pct"/>
            <w:shd w:val="clear" w:color="000000" w:fill="5F497A"/>
            <w:vAlign w:val="bottom"/>
            <w:hideMark/>
          </w:tcPr>
          <w:p w14:paraId="5FC81933" w14:textId="77777777" w:rsidR="00AB379C" w:rsidRPr="00D54752" w:rsidRDefault="00AB379C" w:rsidP="007055F6">
            <w:pPr>
              <w:ind w:right="-104"/>
              <w:jc w:val="center"/>
              <w:rPr>
                <w:rFonts w:eastAsia="Times New Roman" w:cstheme="minorHAnsi"/>
                <w:b/>
                <w:bCs/>
                <w:color w:val="FFFFFF"/>
                <w:lang w:bidi="ar-SA"/>
              </w:rPr>
            </w:pPr>
            <w:r w:rsidRPr="00D54752">
              <w:rPr>
                <w:rFonts w:eastAsia="Times New Roman" w:cstheme="minorHAnsi"/>
                <w:b/>
                <w:bCs/>
                <w:color w:val="FFFFFF"/>
                <w:lang w:bidi="ar-SA"/>
              </w:rPr>
              <w:t>Source</w:t>
            </w:r>
          </w:p>
        </w:tc>
        <w:tc>
          <w:tcPr>
            <w:tcW w:w="1060" w:type="pct"/>
            <w:shd w:val="clear" w:color="000000" w:fill="5F497A"/>
            <w:vAlign w:val="bottom"/>
            <w:hideMark/>
          </w:tcPr>
          <w:p w14:paraId="1A7B9BB0"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Name</w:t>
            </w:r>
          </w:p>
        </w:tc>
        <w:tc>
          <w:tcPr>
            <w:tcW w:w="312" w:type="pct"/>
            <w:shd w:val="clear" w:color="000000" w:fill="5F497A"/>
            <w:vAlign w:val="bottom"/>
            <w:hideMark/>
          </w:tcPr>
          <w:p w14:paraId="13106078" w14:textId="77777777" w:rsidR="00AB379C" w:rsidRPr="00D54752" w:rsidRDefault="00AB379C" w:rsidP="007055F6">
            <w:pPr>
              <w:jc w:val="center"/>
              <w:rPr>
                <w:rFonts w:eastAsia="Times New Roman" w:cstheme="minorHAnsi"/>
                <w:b/>
                <w:color w:val="FFFFFF"/>
                <w:lang w:bidi="ar-SA"/>
              </w:rPr>
            </w:pPr>
            <w:proofErr w:type="spellStart"/>
            <w:r w:rsidRPr="00D54752">
              <w:rPr>
                <w:rFonts w:eastAsia="Times New Roman" w:cstheme="minorHAnsi"/>
                <w:b/>
                <w:color w:val="FFFFFF"/>
                <w:lang w:bidi="ar-SA"/>
              </w:rPr>
              <w:t>Denom</w:t>
            </w:r>
            <w:proofErr w:type="spellEnd"/>
          </w:p>
        </w:tc>
        <w:tc>
          <w:tcPr>
            <w:tcW w:w="281" w:type="pct"/>
            <w:shd w:val="clear" w:color="000000" w:fill="5F497A"/>
            <w:vAlign w:val="bottom"/>
            <w:hideMark/>
          </w:tcPr>
          <w:p w14:paraId="7651918A"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Num</w:t>
            </w:r>
          </w:p>
        </w:tc>
        <w:tc>
          <w:tcPr>
            <w:tcW w:w="312" w:type="pct"/>
            <w:shd w:val="clear" w:color="000000" w:fill="5F497A"/>
            <w:vAlign w:val="bottom"/>
            <w:hideMark/>
          </w:tcPr>
          <w:p w14:paraId="324952F2"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Rate</w:t>
            </w:r>
          </w:p>
        </w:tc>
        <w:tc>
          <w:tcPr>
            <w:tcW w:w="343" w:type="pct"/>
            <w:shd w:val="clear" w:color="000000" w:fill="5F497A"/>
            <w:vAlign w:val="bottom"/>
            <w:hideMark/>
          </w:tcPr>
          <w:p w14:paraId="41FFD279"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Lower 95% Confidence Limit</w:t>
            </w:r>
          </w:p>
        </w:tc>
        <w:tc>
          <w:tcPr>
            <w:tcW w:w="374" w:type="pct"/>
            <w:shd w:val="clear" w:color="000000" w:fill="5F497A"/>
            <w:vAlign w:val="bottom"/>
            <w:hideMark/>
          </w:tcPr>
          <w:p w14:paraId="0E3A4D84"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Upper 95% Confidence Limit</w:t>
            </w:r>
          </w:p>
        </w:tc>
        <w:tc>
          <w:tcPr>
            <w:tcW w:w="405" w:type="pct"/>
            <w:shd w:val="clear" w:color="000000" w:fill="5F497A"/>
            <w:vAlign w:val="bottom"/>
            <w:hideMark/>
          </w:tcPr>
          <w:p w14:paraId="6DBC8775"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2021 (MY 2020) Rate</w:t>
            </w:r>
          </w:p>
        </w:tc>
        <w:tc>
          <w:tcPr>
            <w:tcW w:w="405" w:type="pct"/>
            <w:shd w:val="clear" w:color="000000" w:fill="5F497A"/>
            <w:vAlign w:val="bottom"/>
            <w:hideMark/>
          </w:tcPr>
          <w:p w14:paraId="74A590C8"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2021</w:t>
            </w:r>
          </w:p>
        </w:tc>
        <w:tc>
          <w:tcPr>
            <w:tcW w:w="343" w:type="pct"/>
            <w:shd w:val="clear" w:color="000000" w:fill="5F497A"/>
            <w:vAlign w:val="bottom"/>
            <w:hideMark/>
          </w:tcPr>
          <w:p w14:paraId="0EB03D79"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MMC</w:t>
            </w:r>
          </w:p>
        </w:tc>
        <w:tc>
          <w:tcPr>
            <w:tcW w:w="343" w:type="pct"/>
            <w:shd w:val="clear" w:color="000000" w:fill="5F497A"/>
            <w:vAlign w:val="bottom"/>
            <w:hideMark/>
          </w:tcPr>
          <w:p w14:paraId="1A330554"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MMC</w:t>
            </w:r>
          </w:p>
        </w:tc>
        <w:tc>
          <w:tcPr>
            <w:tcW w:w="535" w:type="pct"/>
            <w:shd w:val="clear" w:color="000000" w:fill="5F497A"/>
            <w:vAlign w:val="bottom"/>
            <w:hideMark/>
          </w:tcPr>
          <w:p w14:paraId="32602E19"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HEDIS 2022 Percentile</w:t>
            </w:r>
          </w:p>
        </w:tc>
      </w:tr>
      <w:tr w:rsidR="00AB379C" w:rsidRPr="00D54752" w14:paraId="0BC0B88F" w14:textId="77777777" w:rsidTr="003A1D77">
        <w:trPr>
          <w:cantSplit/>
          <w:trHeight w:val="276"/>
          <w:tblHeader/>
        </w:trPr>
        <w:tc>
          <w:tcPr>
            <w:tcW w:w="286" w:type="pct"/>
            <w:shd w:val="clear" w:color="auto" w:fill="FFFFFF" w:themeFill="background1"/>
            <w:vAlign w:val="center"/>
            <w:hideMark/>
          </w:tcPr>
          <w:p w14:paraId="48DCBE6C" w14:textId="77777777" w:rsidR="00AB379C" w:rsidRPr="00D54752" w:rsidRDefault="00AB379C" w:rsidP="007055F6">
            <w:pPr>
              <w:ind w:right="-104"/>
              <w:jc w:val="left"/>
              <w:rPr>
                <w:rFonts w:eastAsia="Times New Roman" w:cstheme="minorHAnsi"/>
                <w:lang w:bidi="ar-SA"/>
              </w:rPr>
            </w:pPr>
            <w:r w:rsidRPr="00D54752">
              <w:rPr>
                <w:rFonts w:eastAsia="Times New Roman" w:cstheme="minorHAnsi"/>
                <w:lang w:bidi="ar-SA"/>
              </w:rPr>
              <w:t>PA EQR</w:t>
            </w:r>
          </w:p>
        </w:tc>
        <w:tc>
          <w:tcPr>
            <w:tcW w:w="1060" w:type="pct"/>
            <w:shd w:val="clear" w:color="auto" w:fill="FFFFFF" w:themeFill="background1"/>
            <w:vAlign w:val="center"/>
            <w:hideMark/>
          </w:tcPr>
          <w:p w14:paraId="57821644" w14:textId="17EE7768"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Contraceptive Care for All Women (Age</w:t>
            </w:r>
            <w:r w:rsidR="00FE566F">
              <w:rPr>
                <w:rFonts w:eastAsia="Times New Roman" w:cstheme="minorHAnsi"/>
                <w:lang w:bidi="ar-SA"/>
              </w:rPr>
              <w:t>s</w:t>
            </w:r>
            <w:r w:rsidRPr="00D54752">
              <w:rPr>
                <w:rFonts w:eastAsia="Times New Roman" w:cstheme="minorHAnsi"/>
                <w:lang w:bidi="ar-SA"/>
              </w:rPr>
              <w:t xml:space="preserve"> 15–20 years): Most or Moderately Effective</w:t>
            </w:r>
          </w:p>
        </w:tc>
        <w:tc>
          <w:tcPr>
            <w:tcW w:w="312" w:type="pct"/>
            <w:shd w:val="clear" w:color="000000" w:fill="FFFFFF"/>
            <w:noWrap/>
            <w:vAlign w:val="center"/>
          </w:tcPr>
          <w:p w14:paraId="349D1129" w14:textId="77777777" w:rsidR="00AB379C" w:rsidRPr="00D54752" w:rsidRDefault="00AB379C" w:rsidP="007055F6">
            <w:pPr>
              <w:jc w:val="center"/>
              <w:rPr>
                <w:rFonts w:cstheme="minorHAnsi"/>
              </w:rPr>
            </w:pPr>
            <w:r w:rsidRPr="00D54752">
              <w:rPr>
                <w:rFonts w:cstheme="minorHAnsi"/>
              </w:rPr>
              <w:t>3,627</w:t>
            </w:r>
          </w:p>
        </w:tc>
        <w:tc>
          <w:tcPr>
            <w:tcW w:w="281" w:type="pct"/>
            <w:shd w:val="clear" w:color="000000" w:fill="FFFFFF"/>
            <w:vAlign w:val="center"/>
          </w:tcPr>
          <w:p w14:paraId="08A81F4D" w14:textId="77777777" w:rsidR="00AB379C" w:rsidRPr="00D54752" w:rsidRDefault="00AB379C" w:rsidP="007055F6">
            <w:pPr>
              <w:jc w:val="center"/>
              <w:rPr>
                <w:rFonts w:cstheme="minorHAnsi"/>
              </w:rPr>
            </w:pPr>
            <w:r w:rsidRPr="00D54752">
              <w:rPr>
                <w:rFonts w:cstheme="minorHAnsi"/>
              </w:rPr>
              <w:t>1,042</w:t>
            </w:r>
          </w:p>
        </w:tc>
        <w:tc>
          <w:tcPr>
            <w:tcW w:w="312" w:type="pct"/>
            <w:shd w:val="clear" w:color="000000" w:fill="FFFFFF"/>
            <w:vAlign w:val="center"/>
          </w:tcPr>
          <w:p w14:paraId="34C57270" w14:textId="77777777" w:rsidR="00AB379C" w:rsidRPr="00D54752" w:rsidRDefault="00AB379C" w:rsidP="007055F6">
            <w:pPr>
              <w:jc w:val="center"/>
              <w:rPr>
                <w:rFonts w:cstheme="minorHAnsi"/>
                <w:b/>
                <w:bCs/>
              </w:rPr>
            </w:pPr>
            <w:r w:rsidRPr="00D54752">
              <w:rPr>
                <w:rFonts w:cstheme="minorHAnsi"/>
                <w:b/>
                <w:bCs/>
              </w:rPr>
              <w:t>28.7%</w:t>
            </w:r>
          </w:p>
        </w:tc>
        <w:tc>
          <w:tcPr>
            <w:tcW w:w="343" w:type="pct"/>
            <w:shd w:val="clear" w:color="000000" w:fill="FFFFFF"/>
            <w:noWrap/>
            <w:vAlign w:val="center"/>
          </w:tcPr>
          <w:p w14:paraId="15C405A3" w14:textId="77777777" w:rsidR="00AB379C" w:rsidRPr="00D54752" w:rsidRDefault="00AB379C" w:rsidP="007055F6">
            <w:pPr>
              <w:jc w:val="center"/>
              <w:rPr>
                <w:rFonts w:cstheme="minorHAnsi"/>
              </w:rPr>
            </w:pPr>
            <w:r w:rsidRPr="00D54752">
              <w:rPr>
                <w:rFonts w:cstheme="minorHAnsi"/>
              </w:rPr>
              <w:t>27.2%</w:t>
            </w:r>
          </w:p>
        </w:tc>
        <w:tc>
          <w:tcPr>
            <w:tcW w:w="374" w:type="pct"/>
            <w:shd w:val="clear" w:color="000000" w:fill="FFFFFF"/>
            <w:noWrap/>
            <w:vAlign w:val="center"/>
          </w:tcPr>
          <w:p w14:paraId="1C18F49E" w14:textId="77777777" w:rsidR="00AB379C" w:rsidRPr="00D54752" w:rsidRDefault="00AB379C" w:rsidP="007055F6">
            <w:pPr>
              <w:jc w:val="center"/>
              <w:rPr>
                <w:rFonts w:cstheme="minorHAnsi"/>
              </w:rPr>
            </w:pPr>
            <w:r w:rsidRPr="00D54752">
              <w:rPr>
                <w:rFonts w:cstheme="minorHAnsi"/>
              </w:rPr>
              <w:t>30.2%</w:t>
            </w:r>
          </w:p>
        </w:tc>
        <w:tc>
          <w:tcPr>
            <w:tcW w:w="405" w:type="pct"/>
            <w:shd w:val="clear" w:color="000000" w:fill="FFFFFF"/>
            <w:noWrap/>
            <w:vAlign w:val="center"/>
          </w:tcPr>
          <w:p w14:paraId="046CFFEF" w14:textId="77777777" w:rsidR="00AB379C" w:rsidRPr="00D54752" w:rsidRDefault="00AB379C" w:rsidP="007055F6">
            <w:pPr>
              <w:jc w:val="center"/>
              <w:rPr>
                <w:rFonts w:cstheme="minorHAnsi"/>
              </w:rPr>
            </w:pPr>
            <w:r w:rsidRPr="00D54752">
              <w:rPr>
                <w:rFonts w:cstheme="minorHAnsi"/>
              </w:rPr>
              <w:t>30.5%</w:t>
            </w:r>
          </w:p>
        </w:tc>
        <w:tc>
          <w:tcPr>
            <w:tcW w:w="405" w:type="pct"/>
            <w:shd w:val="clear" w:color="000000" w:fill="FFFFFF"/>
            <w:noWrap/>
            <w:vAlign w:val="center"/>
          </w:tcPr>
          <w:p w14:paraId="64A31F95" w14:textId="77777777" w:rsidR="00AB379C" w:rsidRPr="00D54752" w:rsidRDefault="00AB379C" w:rsidP="007055F6">
            <w:pPr>
              <w:jc w:val="center"/>
              <w:rPr>
                <w:rFonts w:cstheme="minorHAnsi"/>
              </w:rPr>
            </w:pPr>
            <w:proofErr w:type="spellStart"/>
            <w:r w:rsidRPr="00D54752">
              <w:rPr>
                <w:rFonts w:cstheme="minorHAnsi"/>
              </w:rPr>
              <w:t>n.s</w:t>
            </w:r>
            <w:proofErr w:type="spellEnd"/>
            <w:r w:rsidRPr="00D54752">
              <w:rPr>
                <w:rFonts w:cstheme="minorHAnsi"/>
              </w:rPr>
              <w:t>.</w:t>
            </w:r>
          </w:p>
        </w:tc>
        <w:tc>
          <w:tcPr>
            <w:tcW w:w="343" w:type="pct"/>
            <w:shd w:val="clear" w:color="000000" w:fill="FFFFFF"/>
            <w:noWrap/>
            <w:vAlign w:val="center"/>
          </w:tcPr>
          <w:p w14:paraId="60FF73F7" w14:textId="77777777" w:rsidR="00AB379C" w:rsidRPr="00D54752" w:rsidRDefault="00AB379C" w:rsidP="007055F6">
            <w:pPr>
              <w:jc w:val="center"/>
              <w:rPr>
                <w:rFonts w:cstheme="minorHAnsi"/>
              </w:rPr>
            </w:pPr>
            <w:r w:rsidRPr="00D54752">
              <w:rPr>
                <w:rFonts w:cstheme="minorHAnsi"/>
              </w:rPr>
              <w:t>24.1%</w:t>
            </w:r>
          </w:p>
        </w:tc>
        <w:tc>
          <w:tcPr>
            <w:tcW w:w="343" w:type="pct"/>
            <w:shd w:val="clear" w:color="000000" w:fill="FFFFFF"/>
            <w:noWrap/>
            <w:vAlign w:val="center"/>
          </w:tcPr>
          <w:p w14:paraId="4310A698" w14:textId="77777777" w:rsidR="00AB379C" w:rsidRPr="00D54752" w:rsidRDefault="00AB379C" w:rsidP="007055F6">
            <w:pPr>
              <w:jc w:val="center"/>
              <w:rPr>
                <w:rFonts w:cstheme="minorHAnsi"/>
              </w:rPr>
            </w:pPr>
            <w:r w:rsidRPr="00D54752">
              <w:rPr>
                <w:rFonts w:cstheme="minorHAnsi"/>
              </w:rPr>
              <w:t>+</w:t>
            </w:r>
          </w:p>
        </w:tc>
        <w:tc>
          <w:tcPr>
            <w:tcW w:w="535" w:type="pct"/>
            <w:shd w:val="clear" w:color="000000" w:fill="FFFFFF"/>
            <w:vAlign w:val="center"/>
          </w:tcPr>
          <w:p w14:paraId="70D3E337" w14:textId="77777777" w:rsidR="00AB379C" w:rsidRPr="00D54752" w:rsidRDefault="00AB379C" w:rsidP="007055F6">
            <w:pPr>
              <w:jc w:val="center"/>
              <w:rPr>
                <w:rFonts w:cstheme="minorHAnsi"/>
              </w:rPr>
            </w:pPr>
            <w:r w:rsidRPr="00D54752">
              <w:rPr>
                <w:rFonts w:cstheme="minorHAnsi"/>
              </w:rPr>
              <w:t>NA</w:t>
            </w:r>
          </w:p>
        </w:tc>
      </w:tr>
      <w:tr w:rsidR="00AB379C" w:rsidRPr="00D54752" w14:paraId="3A741851" w14:textId="77777777" w:rsidTr="003A1D77">
        <w:trPr>
          <w:cantSplit/>
          <w:trHeight w:val="396"/>
          <w:tblHeader/>
        </w:trPr>
        <w:tc>
          <w:tcPr>
            <w:tcW w:w="286" w:type="pct"/>
            <w:shd w:val="clear" w:color="auto" w:fill="FFFFFF" w:themeFill="background1"/>
            <w:vAlign w:val="center"/>
            <w:hideMark/>
          </w:tcPr>
          <w:p w14:paraId="7B74F7EC" w14:textId="77777777" w:rsidR="00AB379C" w:rsidRPr="00D54752" w:rsidRDefault="00AB379C" w:rsidP="007055F6">
            <w:pPr>
              <w:ind w:right="-104"/>
              <w:jc w:val="left"/>
              <w:rPr>
                <w:rFonts w:eastAsia="Times New Roman" w:cstheme="minorHAnsi"/>
                <w:lang w:bidi="ar-SA"/>
              </w:rPr>
            </w:pPr>
            <w:r w:rsidRPr="00D54752">
              <w:rPr>
                <w:rFonts w:eastAsia="Times New Roman" w:cstheme="minorHAnsi"/>
                <w:lang w:bidi="ar-SA"/>
              </w:rPr>
              <w:t>PA EQR</w:t>
            </w:r>
          </w:p>
        </w:tc>
        <w:tc>
          <w:tcPr>
            <w:tcW w:w="1060" w:type="pct"/>
            <w:shd w:val="clear" w:color="auto" w:fill="FFFFFF" w:themeFill="background1"/>
            <w:vAlign w:val="center"/>
            <w:hideMark/>
          </w:tcPr>
          <w:p w14:paraId="51581EDB" w14:textId="32678828"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Contraceptive Care for All Women (Age</w:t>
            </w:r>
            <w:r w:rsidR="00FE566F">
              <w:rPr>
                <w:rFonts w:eastAsia="Times New Roman" w:cstheme="minorHAnsi"/>
                <w:lang w:bidi="ar-SA"/>
              </w:rPr>
              <w:t>s</w:t>
            </w:r>
            <w:r w:rsidRPr="00D54752">
              <w:rPr>
                <w:rFonts w:eastAsia="Times New Roman" w:cstheme="minorHAnsi"/>
                <w:lang w:bidi="ar-SA"/>
              </w:rPr>
              <w:t xml:space="preserve"> 15–20 years): LARC</w:t>
            </w:r>
          </w:p>
        </w:tc>
        <w:tc>
          <w:tcPr>
            <w:tcW w:w="312" w:type="pct"/>
            <w:shd w:val="clear" w:color="000000" w:fill="FFFFFF"/>
            <w:noWrap/>
            <w:vAlign w:val="center"/>
          </w:tcPr>
          <w:p w14:paraId="3CA496CB" w14:textId="77777777" w:rsidR="00AB379C" w:rsidRPr="00D54752" w:rsidRDefault="00AB379C" w:rsidP="007055F6">
            <w:pPr>
              <w:jc w:val="center"/>
              <w:rPr>
                <w:rFonts w:cstheme="minorHAnsi"/>
              </w:rPr>
            </w:pPr>
            <w:r w:rsidRPr="00D54752">
              <w:rPr>
                <w:rFonts w:cstheme="minorHAnsi"/>
              </w:rPr>
              <w:t>3,627</w:t>
            </w:r>
          </w:p>
        </w:tc>
        <w:tc>
          <w:tcPr>
            <w:tcW w:w="281" w:type="pct"/>
            <w:shd w:val="clear" w:color="000000" w:fill="FFFFFF"/>
            <w:vAlign w:val="center"/>
          </w:tcPr>
          <w:p w14:paraId="1139BE6B" w14:textId="77777777" w:rsidR="00AB379C" w:rsidRPr="00D54752" w:rsidRDefault="00AB379C" w:rsidP="007055F6">
            <w:pPr>
              <w:jc w:val="center"/>
              <w:rPr>
                <w:rFonts w:cstheme="minorHAnsi"/>
              </w:rPr>
            </w:pPr>
            <w:r w:rsidRPr="00D54752">
              <w:rPr>
                <w:rFonts w:cstheme="minorHAnsi"/>
              </w:rPr>
              <w:t>94</w:t>
            </w:r>
          </w:p>
        </w:tc>
        <w:tc>
          <w:tcPr>
            <w:tcW w:w="312" w:type="pct"/>
            <w:shd w:val="clear" w:color="000000" w:fill="FFFFFF"/>
            <w:vAlign w:val="center"/>
          </w:tcPr>
          <w:p w14:paraId="6F4ACC16" w14:textId="77777777" w:rsidR="00AB379C" w:rsidRPr="00D54752" w:rsidRDefault="00AB379C" w:rsidP="007055F6">
            <w:pPr>
              <w:jc w:val="center"/>
              <w:rPr>
                <w:rFonts w:cstheme="minorHAnsi"/>
                <w:b/>
                <w:bCs/>
              </w:rPr>
            </w:pPr>
            <w:r w:rsidRPr="00D54752">
              <w:rPr>
                <w:rFonts w:cstheme="minorHAnsi"/>
                <w:b/>
                <w:bCs/>
              </w:rPr>
              <w:t>2.6%</w:t>
            </w:r>
          </w:p>
        </w:tc>
        <w:tc>
          <w:tcPr>
            <w:tcW w:w="343" w:type="pct"/>
            <w:shd w:val="clear" w:color="000000" w:fill="FFFFFF"/>
            <w:noWrap/>
            <w:vAlign w:val="center"/>
          </w:tcPr>
          <w:p w14:paraId="23845132" w14:textId="77777777" w:rsidR="00AB379C" w:rsidRPr="00D54752" w:rsidRDefault="00AB379C" w:rsidP="007055F6">
            <w:pPr>
              <w:jc w:val="center"/>
              <w:rPr>
                <w:rFonts w:cstheme="minorHAnsi"/>
              </w:rPr>
            </w:pPr>
            <w:r w:rsidRPr="00D54752">
              <w:rPr>
                <w:rFonts w:cstheme="minorHAnsi"/>
              </w:rPr>
              <w:t>2.1%</w:t>
            </w:r>
          </w:p>
        </w:tc>
        <w:tc>
          <w:tcPr>
            <w:tcW w:w="374" w:type="pct"/>
            <w:shd w:val="clear" w:color="000000" w:fill="FFFFFF"/>
            <w:noWrap/>
            <w:vAlign w:val="center"/>
          </w:tcPr>
          <w:p w14:paraId="262B9F8A" w14:textId="77777777" w:rsidR="00AB379C" w:rsidRPr="00D54752" w:rsidRDefault="00AB379C" w:rsidP="007055F6">
            <w:pPr>
              <w:jc w:val="center"/>
              <w:rPr>
                <w:rFonts w:cstheme="minorHAnsi"/>
              </w:rPr>
            </w:pPr>
            <w:r w:rsidRPr="00D54752">
              <w:rPr>
                <w:rFonts w:cstheme="minorHAnsi"/>
              </w:rPr>
              <w:t>3.1%</w:t>
            </w:r>
          </w:p>
        </w:tc>
        <w:tc>
          <w:tcPr>
            <w:tcW w:w="405" w:type="pct"/>
            <w:shd w:val="clear" w:color="000000" w:fill="FFFFFF"/>
            <w:noWrap/>
            <w:vAlign w:val="center"/>
          </w:tcPr>
          <w:p w14:paraId="729449B2" w14:textId="77777777" w:rsidR="00AB379C" w:rsidRPr="00D54752" w:rsidRDefault="00AB379C" w:rsidP="007055F6">
            <w:pPr>
              <w:jc w:val="center"/>
              <w:rPr>
                <w:rFonts w:cstheme="minorHAnsi"/>
              </w:rPr>
            </w:pPr>
            <w:r w:rsidRPr="00D54752">
              <w:rPr>
                <w:rFonts w:cstheme="minorHAnsi"/>
              </w:rPr>
              <w:t>3.2%</w:t>
            </w:r>
          </w:p>
        </w:tc>
        <w:tc>
          <w:tcPr>
            <w:tcW w:w="405" w:type="pct"/>
            <w:shd w:val="clear" w:color="000000" w:fill="FFFFFF"/>
            <w:noWrap/>
            <w:vAlign w:val="center"/>
          </w:tcPr>
          <w:p w14:paraId="3DDC2654" w14:textId="77777777" w:rsidR="00AB379C" w:rsidRPr="00D54752" w:rsidRDefault="00AB379C" w:rsidP="007055F6">
            <w:pPr>
              <w:jc w:val="center"/>
              <w:rPr>
                <w:rFonts w:cstheme="minorHAnsi"/>
              </w:rPr>
            </w:pPr>
            <w:proofErr w:type="spellStart"/>
            <w:r w:rsidRPr="00D54752">
              <w:rPr>
                <w:rFonts w:cstheme="minorHAnsi"/>
              </w:rPr>
              <w:t>n.s</w:t>
            </w:r>
            <w:proofErr w:type="spellEnd"/>
            <w:r w:rsidRPr="00D54752">
              <w:rPr>
                <w:rFonts w:cstheme="minorHAnsi"/>
              </w:rPr>
              <w:t>.</w:t>
            </w:r>
          </w:p>
        </w:tc>
        <w:tc>
          <w:tcPr>
            <w:tcW w:w="343" w:type="pct"/>
            <w:shd w:val="clear" w:color="000000" w:fill="FFFFFF"/>
            <w:noWrap/>
            <w:vAlign w:val="center"/>
          </w:tcPr>
          <w:p w14:paraId="41B73750" w14:textId="77777777" w:rsidR="00AB379C" w:rsidRPr="00D54752" w:rsidRDefault="00AB379C" w:rsidP="007055F6">
            <w:pPr>
              <w:jc w:val="center"/>
              <w:rPr>
                <w:rFonts w:cstheme="minorHAnsi"/>
              </w:rPr>
            </w:pPr>
            <w:r w:rsidRPr="00D54752">
              <w:rPr>
                <w:rFonts w:cstheme="minorHAnsi"/>
              </w:rPr>
              <w:t>2.0%</w:t>
            </w:r>
          </w:p>
        </w:tc>
        <w:tc>
          <w:tcPr>
            <w:tcW w:w="343" w:type="pct"/>
            <w:shd w:val="clear" w:color="000000" w:fill="FFFFFF"/>
            <w:noWrap/>
            <w:vAlign w:val="center"/>
          </w:tcPr>
          <w:p w14:paraId="2CD1C6E3" w14:textId="77777777" w:rsidR="00AB379C" w:rsidRPr="00D54752" w:rsidRDefault="00AB379C" w:rsidP="007055F6">
            <w:pPr>
              <w:jc w:val="center"/>
              <w:rPr>
                <w:rFonts w:cstheme="minorHAnsi"/>
              </w:rPr>
            </w:pPr>
            <w:r w:rsidRPr="00D54752">
              <w:rPr>
                <w:rFonts w:cstheme="minorHAnsi"/>
              </w:rPr>
              <w:t>+</w:t>
            </w:r>
          </w:p>
        </w:tc>
        <w:tc>
          <w:tcPr>
            <w:tcW w:w="535" w:type="pct"/>
            <w:shd w:val="clear" w:color="000000" w:fill="FFFFFF"/>
            <w:vAlign w:val="center"/>
          </w:tcPr>
          <w:p w14:paraId="06C7CF9B" w14:textId="77777777" w:rsidR="00AB379C" w:rsidRPr="00D54752" w:rsidRDefault="00AB379C" w:rsidP="007055F6">
            <w:pPr>
              <w:jc w:val="center"/>
              <w:rPr>
                <w:rFonts w:cstheme="minorHAnsi"/>
              </w:rPr>
            </w:pPr>
            <w:r w:rsidRPr="00D54752">
              <w:rPr>
                <w:rFonts w:cstheme="minorHAnsi"/>
              </w:rPr>
              <w:t>NA</w:t>
            </w:r>
          </w:p>
        </w:tc>
      </w:tr>
      <w:tr w:rsidR="00AB379C" w:rsidRPr="00D54752" w14:paraId="0C1BEBA5" w14:textId="77777777" w:rsidTr="003A1D77">
        <w:trPr>
          <w:cantSplit/>
          <w:trHeight w:val="69"/>
          <w:tblHeader/>
        </w:trPr>
        <w:tc>
          <w:tcPr>
            <w:tcW w:w="286" w:type="pct"/>
            <w:shd w:val="clear" w:color="auto" w:fill="FFFFFF" w:themeFill="background1"/>
            <w:vAlign w:val="center"/>
            <w:hideMark/>
          </w:tcPr>
          <w:p w14:paraId="12D5BF4F" w14:textId="77777777" w:rsidR="00AB379C" w:rsidRPr="00D54752" w:rsidRDefault="00AB379C" w:rsidP="007055F6">
            <w:pPr>
              <w:ind w:right="-104"/>
              <w:jc w:val="left"/>
              <w:rPr>
                <w:rFonts w:eastAsia="Times New Roman" w:cstheme="minorHAnsi"/>
                <w:lang w:bidi="ar-SA"/>
              </w:rPr>
            </w:pPr>
            <w:r w:rsidRPr="00D54752">
              <w:rPr>
                <w:rFonts w:eastAsia="Times New Roman" w:cstheme="minorHAnsi"/>
                <w:lang w:bidi="ar-SA"/>
              </w:rPr>
              <w:t>PA EQR</w:t>
            </w:r>
          </w:p>
        </w:tc>
        <w:tc>
          <w:tcPr>
            <w:tcW w:w="1060" w:type="pct"/>
            <w:shd w:val="clear" w:color="auto" w:fill="FFFFFF" w:themeFill="background1"/>
            <w:vAlign w:val="center"/>
            <w:hideMark/>
          </w:tcPr>
          <w:p w14:paraId="2D18F20C" w14:textId="48DF22EC"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Contraceptive Care for Postpartum Women (Age</w:t>
            </w:r>
            <w:r w:rsidR="00FE566F">
              <w:rPr>
                <w:rFonts w:eastAsia="Times New Roman" w:cstheme="minorHAnsi"/>
                <w:lang w:bidi="ar-SA"/>
              </w:rPr>
              <w:t>s</w:t>
            </w:r>
            <w:r w:rsidRPr="00D54752">
              <w:rPr>
                <w:rFonts w:eastAsia="Times New Roman" w:cstheme="minorHAnsi"/>
                <w:lang w:bidi="ar-SA"/>
              </w:rPr>
              <w:t xml:space="preserve"> 15–20 years): Most or moderately effective contraception—3 days</w:t>
            </w:r>
          </w:p>
        </w:tc>
        <w:tc>
          <w:tcPr>
            <w:tcW w:w="312" w:type="pct"/>
            <w:shd w:val="clear" w:color="000000" w:fill="FFFFFF"/>
            <w:noWrap/>
            <w:vAlign w:val="center"/>
          </w:tcPr>
          <w:p w14:paraId="310A809D" w14:textId="77777777" w:rsidR="00AB379C" w:rsidRPr="00D54752" w:rsidRDefault="00AB379C" w:rsidP="007055F6">
            <w:pPr>
              <w:jc w:val="center"/>
              <w:rPr>
                <w:rFonts w:cstheme="minorHAnsi"/>
              </w:rPr>
            </w:pPr>
            <w:r w:rsidRPr="00D54752">
              <w:rPr>
                <w:rFonts w:cstheme="minorHAnsi"/>
              </w:rPr>
              <w:t>8</w:t>
            </w:r>
          </w:p>
        </w:tc>
        <w:tc>
          <w:tcPr>
            <w:tcW w:w="281" w:type="pct"/>
            <w:shd w:val="clear" w:color="000000" w:fill="FFFFFF"/>
            <w:vAlign w:val="center"/>
          </w:tcPr>
          <w:p w14:paraId="7AF4E118" w14:textId="77777777" w:rsidR="00AB379C" w:rsidRPr="00D54752" w:rsidRDefault="00AB379C" w:rsidP="007055F6">
            <w:pPr>
              <w:jc w:val="center"/>
              <w:rPr>
                <w:rFonts w:cstheme="minorHAnsi"/>
              </w:rPr>
            </w:pPr>
            <w:r w:rsidRPr="00D54752">
              <w:rPr>
                <w:rFonts w:cstheme="minorHAnsi"/>
              </w:rPr>
              <w:t>3</w:t>
            </w:r>
          </w:p>
        </w:tc>
        <w:tc>
          <w:tcPr>
            <w:tcW w:w="312" w:type="pct"/>
            <w:shd w:val="clear" w:color="000000" w:fill="FFFFFF"/>
            <w:vAlign w:val="center"/>
          </w:tcPr>
          <w:p w14:paraId="1F6C62A9" w14:textId="77777777" w:rsidR="00AB379C" w:rsidRPr="00D54752" w:rsidRDefault="00AB379C" w:rsidP="007055F6">
            <w:pPr>
              <w:jc w:val="center"/>
              <w:rPr>
                <w:rFonts w:cstheme="minorHAnsi"/>
                <w:b/>
                <w:bCs/>
              </w:rPr>
            </w:pPr>
            <w:r w:rsidRPr="00D54752">
              <w:rPr>
                <w:rFonts w:cstheme="minorHAnsi"/>
                <w:b/>
                <w:bCs/>
              </w:rPr>
              <w:t>N/A</w:t>
            </w:r>
          </w:p>
        </w:tc>
        <w:tc>
          <w:tcPr>
            <w:tcW w:w="343" w:type="pct"/>
            <w:shd w:val="clear" w:color="000000" w:fill="FFFFFF"/>
            <w:noWrap/>
            <w:vAlign w:val="center"/>
          </w:tcPr>
          <w:p w14:paraId="1C11BA80" w14:textId="77777777" w:rsidR="00AB379C" w:rsidRPr="00D54752" w:rsidRDefault="00AB379C" w:rsidP="007055F6">
            <w:pPr>
              <w:jc w:val="center"/>
              <w:rPr>
                <w:rFonts w:cstheme="minorHAnsi"/>
              </w:rPr>
            </w:pPr>
            <w:r w:rsidRPr="00D54752">
              <w:rPr>
                <w:rFonts w:cstheme="minorHAnsi"/>
              </w:rPr>
              <w:t>N/A</w:t>
            </w:r>
          </w:p>
        </w:tc>
        <w:tc>
          <w:tcPr>
            <w:tcW w:w="374" w:type="pct"/>
            <w:shd w:val="clear" w:color="000000" w:fill="FFFFFF"/>
            <w:noWrap/>
            <w:vAlign w:val="center"/>
          </w:tcPr>
          <w:p w14:paraId="6F2C7074" w14:textId="77777777" w:rsidR="00AB379C" w:rsidRPr="00D54752" w:rsidRDefault="00AB379C" w:rsidP="007055F6">
            <w:pPr>
              <w:jc w:val="center"/>
              <w:rPr>
                <w:rFonts w:cstheme="minorHAnsi"/>
              </w:rPr>
            </w:pPr>
            <w:r w:rsidRPr="00D54752">
              <w:rPr>
                <w:rFonts w:cstheme="minorHAnsi"/>
              </w:rPr>
              <w:t>N/A</w:t>
            </w:r>
          </w:p>
        </w:tc>
        <w:tc>
          <w:tcPr>
            <w:tcW w:w="405" w:type="pct"/>
            <w:shd w:val="clear" w:color="000000" w:fill="FFFFFF"/>
            <w:noWrap/>
            <w:vAlign w:val="center"/>
          </w:tcPr>
          <w:p w14:paraId="16E2F593" w14:textId="77777777" w:rsidR="00AB379C" w:rsidRPr="00D54752" w:rsidRDefault="00AB379C" w:rsidP="007055F6">
            <w:pPr>
              <w:jc w:val="center"/>
              <w:rPr>
                <w:rFonts w:cstheme="minorHAnsi"/>
              </w:rPr>
            </w:pPr>
            <w:r w:rsidRPr="00D54752">
              <w:rPr>
                <w:rFonts w:cstheme="minorHAnsi"/>
              </w:rPr>
              <w:t>N/A</w:t>
            </w:r>
          </w:p>
        </w:tc>
        <w:tc>
          <w:tcPr>
            <w:tcW w:w="405" w:type="pct"/>
            <w:shd w:val="clear" w:color="000000" w:fill="FFFFFF"/>
            <w:noWrap/>
            <w:vAlign w:val="center"/>
          </w:tcPr>
          <w:p w14:paraId="1BF3BD61" w14:textId="77777777" w:rsidR="00AB379C" w:rsidRPr="00D54752" w:rsidRDefault="00AB379C" w:rsidP="007055F6">
            <w:pPr>
              <w:jc w:val="center"/>
              <w:rPr>
                <w:rFonts w:cstheme="minorHAnsi"/>
              </w:rPr>
            </w:pPr>
            <w:r w:rsidRPr="00D54752">
              <w:rPr>
                <w:rFonts w:cstheme="minorHAnsi"/>
              </w:rPr>
              <w:t>N/A</w:t>
            </w:r>
          </w:p>
        </w:tc>
        <w:tc>
          <w:tcPr>
            <w:tcW w:w="343" w:type="pct"/>
            <w:shd w:val="clear" w:color="000000" w:fill="FFFFFF"/>
            <w:noWrap/>
            <w:vAlign w:val="center"/>
          </w:tcPr>
          <w:p w14:paraId="70B4F5D2" w14:textId="77777777" w:rsidR="00AB379C" w:rsidRPr="00D54752" w:rsidRDefault="00AB379C" w:rsidP="007055F6">
            <w:pPr>
              <w:jc w:val="center"/>
              <w:rPr>
                <w:rFonts w:cstheme="minorHAnsi"/>
              </w:rPr>
            </w:pPr>
            <w:r w:rsidRPr="00D54752">
              <w:rPr>
                <w:rFonts w:cstheme="minorHAnsi"/>
              </w:rPr>
              <w:t>0.0%</w:t>
            </w:r>
          </w:p>
        </w:tc>
        <w:tc>
          <w:tcPr>
            <w:tcW w:w="343" w:type="pct"/>
            <w:shd w:val="clear" w:color="000000" w:fill="FFFFFF"/>
            <w:noWrap/>
            <w:vAlign w:val="center"/>
          </w:tcPr>
          <w:p w14:paraId="69477358" w14:textId="77777777" w:rsidR="00AB379C" w:rsidRPr="00D54752" w:rsidRDefault="00AB379C" w:rsidP="007055F6">
            <w:pPr>
              <w:jc w:val="center"/>
              <w:rPr>
                <w:rFonts w:cstheme="minorHAnsi"/>
              </w:rPr>
            </w:pPr>
            <w:r w:rsidRPr="00D54752">
              <w:rPr>
                <w:rFonts w:cstheme="minorHAnsi"/>
              </w:rPr>
              <w:t>N/A</w:t>
            </w:r>
          </w:p>
        </w:tc>
        <w:tc>
          <w:tcPr>
            <w:tcW w:w="535" w:type="pct"/>
            <w:shd w:val="clear" w:color="000000" w:fill="FFFFFF"/>
            <w:vAlign w:val="center"/>
          </w:tcPr>
          <w:p w14:paraId="7520F31F" w14:textId="77777777" w:rsidR="00AB379C" w:rsidRPr="00D54752" w:rsidRDefault="00AB379C" w:rsidP="007055F6">
            <w:pPr>
              <w:jc w:val="center"/>
              <w:rPr>
                <w:rFonts w:cstheme="minorHAnsi"/>
              </w:rPr>
            </w:pPr>
            <w:r w:rsidRPr="00D54752">
              <w:rPr>
                <w:rFonts w:cstheme="minorHAnsi"/>
              </w:rPr>
              <w:t>NA</w:t>
            </w:r>
          </w:p>
        </w:tc>
      </w:tr>
      <w:tr w:rsidR="00AB379C" w:rsidRPr="00D54752" w14:paraId="11649C09" w14:textId="77777777" w:rsidTr="003A1D77">
        <w:trPr>
          <w:cantSplit/>
          <w:trHeight w:val="109"/>
          <w:tblHeader/>
        </w:trPr>
        <w:tc>
          <w:tcPr>
            <w:tcW w:w="286" w:type="pct"/>
            <w:shd w:val="clear" w:color="auto" w:fill="FFFFFF" w:themeFill="background1"/>
            <w:vAlign w:val="center"/>
            <w:hideMark/>
          </w:tcPr>
          <w:p w14:paraId="262BC454" w14:textId="77777777" w:rsidR="00AB379C" w:rsidRPr="00D54752" w:rsidRDefault="00AB379C" w:rsidP="007055F6">
            <w:pPr>
              <w:ind w:right="-104"/>
              <w:jc w:val="left"/>
              <w:rPr>
                <w:rFonts w:eastAsia="Times New Roman" w:cstheme="minorHAnsi"/>
                <w:lang w:bidi="ar-SA"/>
              </w:rPr>
            </w:pPr>
            <w:r w:rsidRPr="00D54752">
              <w:rPr>
                <w:rFonts w:eastAsia="Times New Roman" w:cstheme="minorHAnsi"/>
                <w:lang w:bidi="ar-SA"/>
              </w:rPr>
              <w:t>PA EQR</w:t>
            </w:r>
          </w:p>
        </w:tc>
        <w:tc>
          <w:tcPr>
            <w:tcW w:w="1060" w:type="pct"/>
            <w:shd w:val="clear" w:color="auto" w:fill="FFFFFF" w:themeFill="background1"/>
            <w:vAlign w:val="center"/>
            <w:hideMark/>
          </w:tcPr>
          <w:p w14:paraId="78178482" w14:textId="334BA102"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Contraceptive Care for Postpartum Women (Age</w:t>
            </w:r>
            <w:r w:rsidR="00FE566F">
              <w:rPr>
                <w:rFonts w:eastAsia="Times New Roman" w:cstheme="minorHAnsi"/>
                <w:lang w:bidi="ar-SA"/>
              </w:rPr>
              <w:t>s</w:t>
            </w:r>
            <w:r w:rsidRPr="00D54752">
              <w:rPr>
                <w:rFonts w:eastAsia="Times New Roman" w:cstheme="minorHAnsi"/>
                <w:lang w:bidi="ar-SA"/>
              </w:rPr>
              <w:t xml:space="preserve"> 15–20 years): Most or moderately effective contraception—60 days</w:t>
            </w:r>
          </w:p>
        </w:tc>
        <w:tc>
          <w:tcPr>
            <w:tcW w:w="312" w:type="pct"/>
            <w:shd w:val="clear" w:color="000000" w:fill="FFFFFF"/>
            <w:noWrap/>
            <w:vAlign w:val="center"/>
          </w:tcPr>
          <w:p w14:paraId="39435FB2" w14:textId="77777777" w:rsidR="00AB379C" w:rsidRPr="00D54752" w:rsidRDefault="00AB379C" w:rsidP="007055F6">
            <w:pPr>
              <w:jc w:val="center"/>
              <w:rPr>
                <w:rFonts w:cstheme="minorHAnsi"/>
              </w:rPr>
            </w:pPr>
            <w:r w:rsidRPr="00D54752">
              <w:rPr>
                <w:rFonts w:cstheme="minorHAnsi"/>
              </w:rPr>
              <w:t>8</w:t>
            </w:r>
          </w:p>
        </w:tc>
        <w:tc>
          <w:tcPr>
            <w:tcW w:w="281" w:type="pct"/>
            <w:shd w:val="clear" w:color="000000" w:fill="FFFFFF"/>
            <w:vAlign w:val="center"/>
          </w:tcPr>
          <w:p w14:paraId="68BAFBDD" w14:textId="77777777" w:rsidR="00AB379C" w:rsidRPr="00D54752" w:rsidRDefault="00AB379C" w:rsidP="007055F6">
            <w:pPr>
              <w:jc w:val="center"/>
              <w:rPr>
                <w:rFonts w:cstheme="minorHAnsi"/>
              </w:rPr>
            </w:pPr>
            <w:r w:rsidRPr="00D54752">
              <w:rPr>
                <w:rFonts w:cstheme="minorHAnsi"/>
              </w:rPr>
              <w:t>6</w:t>
            </w:r>
          </w:p>
        </w:tc>
        <w:tc>
          <w:tcPr>
            <w:tcW w:w="312" w:type="pct"/>
            <w:shd w:val="clear" w:color="000000" w:fill="FFFFFF"/>
            <w:vAlign w:val="center"/>
          </w:tcPr>
          <w:p w14:paraId="685D4312" w14:textId="77777777" w:rsidR="00AB379C" w:rsidRPr="00D54752" w:rsidRDefault="00AB379C" w:rsidP="007055F6">
            <w:pPr>
              <w:jc w:val="center"/>
              <w:rPr>
                <w:rFonts w:cstheme="minorHAnsi"/>
                <w:b/>
                <w:bCs/>
              </w:rPr>
            </w:pPr>
            <w:r w:rsidRPr="00D54752">
              <w:rPr>
                <w:rFonts w:cstheme="minorHAnsi"/>
                <w:b/>
                <w:bCs/>
              </w:rPr>
              <w:t>N/A</w:t>
            </w:r>
          </w:p>
        </w:tc>
        <w:tc>
          <w:tcPr>
            <w:tcW w:w="343" w:type="pct"/>
            <w:shd w:val="clear" w:color="000000" w:fill="FFFFFF"/>
            <w:noWrap/>
            <w:vAlign w:val="center"/>
          </w:tcPr>
          <w:p w14:paraId="5CE2F80F" w14:textId="77777777" w:rsidR="00AB379C" w:rsidRPr="00D54752" w:rsidRDefault="00AB379C" w:rsidP="007055F6">
            <w:pPr>
              <w:jc w:val="center"/>
              <w:rPr>
                <w:rFonts w:cstheme="minorHAnsi"/>
              </w:rPr>
            </w:pPr>
            <w:r w:rsidRPr="00D54752">
              <w:rPr>
                <w:rFonts w:cstheme="minorHAnsi"/>
              </w:rPr>
              <w:t>N/A</w:t>
            </w:r>
          </w:p>
        </w:tc>
        <w:tc>
          <w:tcPr>
            <w:tcW w:w="374" w:type="pct"/>
            <w:shd w:val="clear" w:color="000000" w:fill="FFFFFF"/>
            <w:noWrap/>
            <w:vAlign w:val="center"/>
          </w:tcPr>
          <w:p w14:paraId="0A532E38" w14:textId="77777777" w:rsidR="00AB379C" w:rsidRPr="00D54752" w:rsidRDefault="00AB379C" w:rsidP="007055F6">
            <w:pPr>
              <w:jc w:val="center"/>
              <w:rPr>
                <w:rFonts w:cstheme="minorHAnsi"/>
              </w:rPr>
            </w:pPr>
            <w:r w:rsidRPr="00D54752">
              <w:rPr>
                <w:rFonts w:cstheme="minorHAnsi"/>
              </w:rPr>
              <w:t>N/A</w:t>
            </w:r>
          </w:p>
        </w:tc>
        <w:tc>
          <w:tcPr>
            <w:tcW w:w="405" w:type="pct"/>
            <w:shd w:val="clear" w:color="000000" w:fill="FFFFFF"/>
            <w:noWrap/>
            <w:vAlign w:val="center"/>
          </w:tcPr>
          <w:p w14:paraId="3420DADC" w14:textId="77777777" w:rsidR="00AB379C" w:rsidRPr="00D54752" w:rsidRDefault="00AB379C" w:rsidP="007055F6">
            <w:pPr>
              <w:jc w:val="center"/>
              <w:rPr>
                <w:rFonts w:cstheme="minorHAnsi"/>
              </w:rPr>
            </w:pPr>
            <w:r w:rsidRPr="00D54752">
              <w:rPr>
                <w:rFonts w:cstheme="minorHAnsi"/>
              </w:rPr>
              <w:t>N/A</w:t>
            </w:r>
          </w:p>
        </w:tc>
        <w:tc>
          <w:tcPr>
            <w:tcW w:w="405" w:type="pct"/>
            <w:shd w:val="clear" w:color="000000" w:fill="FFFFFF"/>
            <w:noWrap/>
            <w:vAlign w:val="center"/>
          </w:tcPr>
          <w:p w14:paraId="6B78EC75" w14:textId="77777777" w:rsidR="00AB379C" w:rsidRPr="00D54752" w:rsidRDefault="00AB379C" w:rsidP="007055F6">
            <w:pPr>
              <w:jc w:val="center"/>
              <w:rPr>
                <w:rFonts w:cstheme="minorHAnsi"/>
              </w:rPr>
            </w:pPr>
            <w:r w:rsidRPr="00D54752">
              <w:rPr>
                <w:rFonts w:cstheme="minorHAnsi"/>
              </w:rPr>
              <w:t>N/A</w:t>
            </w:r>
          </w:p>
        </w:tc>
        <w:tc>
          <w:tcPr>
            <w:tcW w:w="343" w:type="pct"/>
            <w:shd w:val="clear" w:color="000000" w:fill="FFFFFF"/>
            <w:noWrap/>
            <w:vAlign w:val="center"/>
          </w:tcPr>
          <w:p w14:paraId="191429BC" w14:textId="77777777" w:rsidR="00AB379C" w:rsidRPr="00D54752" w:rsidRDefault="00AB379C" w:rsidP="007055F6">
            <w:pPr>
              <w:jc w:val="center"/>
              <w:rPr>
                <w:rFonts w:cstheme="minorHAnsi"/>
              </w:rPr>
            </w:pPr>
            <w:r w:rsidRPr="00D54752">
              <w:rPr>
                <w:rFonts w:cstheme="minorHAnsi"/>
              </w:rPr>
              <w:t>0.0%</w:t>
            </w:r>
          </w:p>
        </w:tc>
        <w:tc>
          <w:tcPr>
            <w:tcW w:w="343" w:type="pct"/>
            <w:shd w:val="clear" w:color="000000" w:fill="FFFFFF"/>
            <w:noWrap/>
            <w:vAlign w:val="center"/>
          </w:tcPr>
          <w:p w14:paraId="3591D40F" w14:textId="77777777" w:rsidR="00AB379C" w:rsidRPr="00D54752" w:rsidRDefault="00AB379C" w:rsidP="007055F6">
            <w:pPr>
              <w:jc w:val="center"/>
              <w:rPr>
                <w:rFonts w:cstheme="minorHAnsi"/>
              </w:rPr>
            </w:pPr>
            <w:r w:rsidRPr="00D54752">
              <w:rPr>
                <w:rFonts w:cstheme="minorHAnsi"/>
              </w:rPr>
              <w:t>N/A</w:t>
            </w:r>
          </w:p>
        </w:tc>
        <w:tc>
          <w:tcPr>
            <w:tcW w:w="535" w:type="pct"/>
            <w:shd w:val="clear" w:color="000000" w:fill="FFFFFF"/>
            <w:vAlign w:val="center"/>
          </w:tcPr>
          <w:p w14:paraId="36811738" w14:textId="77777777" w:rsidR="00AB379C" w:rsidRPr="00D54752" w:rsidRDefault="00AB379C" w:rsidP="007055F6">
            <w:pPr>
              <w:jc w:val="center"/>
              <w:rPr>
                <w:rFonts w:cstheme="minorHAnsi"/>
              </w:rPr>
            </w:pPr>
            <w:r w:rsidRPr="00D54752">
              <w:rPr>
                <w:rFonts w:cstheme="minorHAnsi"/>
              </w:rPr>
              <w:t>NA</w:t>
            </w:r>
          </w:p>
        </w:tc>
      </w:tr>
      <w:tr w:rsidR="00AB379C" w:rsidRPr="00D54752" w14:paraId="046DA938" w14:textId="77777777" w:rsidTr="003A1D77">
        <w:trPr>
          <w:cantSplit/>
          <w:trHeight w:val="69"/>
          <w:tblHeader/>
        </w:trPr>
        <w:tc>
          <w:tcPr>
            <w:tcW w:w="286" w:type="pct"/>
            <w:shd w:val="clear" w:color="auto" w:fill="FFFFFF" w:themeFill="background1"/>
            <w:vAlign w:val="center"/>
            <w:hideMark/>
          </w:tcPr>
          <w:p w14:paraId="5BC2ACD5" w14:textId="77777777" w:rsidR="00AB379C" w:rsidRPr="00D54752" w:rsidRDefault="00AB379C" w:rsidP="007055F6">
            <w:pPr>
              <w:ind w:right="-104"/>
              <w:jc w:val="left"/>
              <w:rPr>
                <w:rFonts w:eastAsia="Times New Roman" w:cstheme="minorHAnsi"/>
                <w:lang w:bidi="ar-SA"/>
              </w:rPr>
            </w:pPr>
            <w:r w:rsidRPr="00D54752">
              <w:rPr>
                <w:rFonts w:eastAsia="Times New Roman" w:cstheme="minorHAnsi"/>
                <w:lang w:bidi="ar-SA"/>
              </w:rPr>
              <w:t>PA EQR</w:t>
            </w:r>
          </w:p>
        </w:tc>
        <w:tc>
          <w:tcPr>
            <w:tcW w:w="1060" w:type="pct"/>
            <w:shd w:val="clear" w:color="auto" w:fill="FFFFFF" w:themeFill="background1"/>
            <w:vAlign w:val="center"/>
            <w:hideMark/>
          </w:tcPr>
          <w:p w14:paraId="566D3D9F" w14:textId="776CAB6E"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Contraceptive Care for Postpartum Women (Age</w:t>
            </w:r>
            <w:r w:rsidR="00FE566F">
              <w:rPr>
                <w:rFonts w:eastAsia="Times New Roman" w:cstheme="minorHAnsi"/>
                <w:lang w:bidi="ar-SA"/>
              </w:rPr>
              <w:t>s</w:t>
            </w:r>
            <w:r w:rsidRPr="00D54752">
              <w:rPr>
                <w:rFonts w:eastAsia="Times New Roman" w:cstheme="minorHAnsi"/>
                <w:lang w:bidi="ar-SA"/>
              </w:rPr>
              <w:t xml:space="preserve"> 15–20 years): LARC—3 days</w:t>
            </w:r>
          </w:p>
        </w:tc>
        <w:tc>
          <w:tcPr>
            <w:tcW w:w="312" w:type="pct"/>
            <w:shd w:val="clear" w:color="000000" w:fill="FFFFFF"/>
            <w:noWrap/>
            <w:vAlign w:val="center"/>
          </w:tcPr>
          <w:p w14:paraId="37E1D939" w14:textId="77777777" w:rsidR="00AB379C" w:rsidRPr="00D54752" w:rsidRDefault="00AB379C" w:rsidP="007055F6">
            <w:pPr>
              <w:jc w:val="center"/>
              <w:rPr>
                <w:rFonts w:cstheme="minorHAnsi"/>
              </w:rPr>
            </w:pPr>
            <w:r w:rsidRPr="00D54752">
              <w:rPr>
                <w:rFonts w:cstheme="minorHAnsi"/>
              </w:rPr>
              <w:t>8</w:t>
            </w:r>
          </w:p>
        </w:tc>
        <w:tc>
          <w:tcPr>
            <w:tcW w:w="281" w:type="pct"/>
            <w:shd w:val="clear" w:color="000000" w:fill="FFFFFF"/>
            <w:vAlign w:val="center"/>
          </w:tcPr>
          <w:p w14:paraId="6E573F17" w14:textId="77777777" w:rsidR="00AB379C" w:rsidRPr="00D54752" w:rsidRDefault="00AB379C" w:rsidP="007055F6">
            <w:pPr>
              <w:jc w:val="center"/>
              <w:rPr>
                <w:rFonts w:cstheme="minorHAnsi"/>
              </w:rPr>
            </w:pPr>
            <w:r w:rsidRPr="00D54752">
              <w:rPr>
                <w:rFonts w:cstheme="minorHAnsi"/>
              </w:rPr>
              <w:t>2</w:t>
            </w:r>
          </w:p>
        </w:tc>
        <w:tc>
          <w:tcPr>
            <w:tcW w:w="312" w:type="pct"/>
            <w:shd w:val="clear" w:color="000000" w:fill="FFFFFF"/>
            <w:vAlign w:val="center"/>
          </w:tcPr>
          <w:p w14:paraId="241C37F7" w14:textId="77777777" w:rsidR="00AB379C" w:rsidRPr="00D54752" w:rsidRDefault="00AB379C" w:rsidP="007055F6">
            <w:pPr>
              <w:jc w:val="center"/>
              <w:rPr>
                <w:rFonts w:cstheme="minorHAnsi"/>
                <w:b/>
                <w:bCs/>
              </w:rPr>
            </w:pPr>
            <w:r w:rsidRPr="00D54752">
              <w:rPr>
                <w:rFonts w:cstheme="minorHAnsi"/>
                <w:b/>
                <w:bCs/>
              </w:rPr>
              <w:t>N/A</w:t>
            </w:r>
          </w:p>
        </w:tc>
        <w:tc>
          <w:tcPr>
            <w:tcW w:w="343" w:type="pct"/>
            <w:shd w:val="clear" w:color="000000" w:fill="FFFFFF"/>
            <w:noWrap/>
            <w:vAlign w:val="center"/>
          </w:tcPr>
          <w:p w14:paraId="699BB3B4" w14:textId="77777777" w:rsidR="00AB379C" w:rsidRPr="00D54752" w:rsidRDefault="00AB379C" w:rsidP="007055F6">
            <w:pPr>
              <w:jc w:val="center"/>
              <w:rPr>
                <w:rFonts w:cstheme="minorHAnsi"/>
              </w:rPr>
            </w:pPr>
            <w:r w:rsidRPr="00D54752">
              <w:rPr>
                <w:rFonts w:cstheme="minorHAnsi"/>
              </w:rPr>
              <w:t>N/A</w:t>
            </w:r>
          </w:p>
        </w:tc>
        <w:tc>
          <w:tcPr>
            <w:tcW w:w="374" w:type="pct"/>
            <w:shd w:val="clear" w:color="000000" w:fill="FFFFFF"/>
            <w:noWrap/>
            <w:vAlign w:val="center"/>
          </w:tcPr>
          <w:p w14:paraId="1549EA58" w14:textId="77777777" w:rsidR="00AB379C" w:rsidRPr="00D54752" w:rsidRDefault="00AB379C" w:rsidP="007055F6">
            <w:pPr>
              <w:jc w:val="center"/>
              <w:rPr>
                <w:rFonts w:cstheme="minorHAnsi"/>
              </w:rPr>
            </w:pPr>
            <w:r w:rsidRPr="00D54752">
              <w:rPr>
                <w:rFonts w:cstheme="minorHAnsi"/>
              </w:rPr>
              <w:t>N/A</w:t>
            </w:r>
          </w:p>
        </w:tc>
        <w:tc>
          <w:tcPr>
            <w:tcW w:w="405" w:type="pct"/>
            <w:shd w:val="clear" w:color="000000" w:fill="FFFFFF"/>
            <w:noWrap/>
            <w:vAlign w:val="center"/>
          </w:tcPr>
          <w:p w14:paraId="4FAFDF4D" w14:textId="77777777" w:rsidR="00AB379C" w:rsidRPr="00D54752" w:rsidRDefault="00AB379C" w:rsidP="007055F6">
            <w:pPr>
              <w:jc w:val="center"/>
              <w:rPr>
                <w:rFonts w:cstheme="minorHAnsi"/>
              </w:rPr>
            </w:pPr>
            <w:r w:rsidRPr="00D54752">
              <w:rPr>
                <w:rFonts w:cstheme="minorHAnsi"/>
              </w:rPr>
              <w:t>N/A</w:t>
            </w:r>
          </w:p>
        </w:tc>
        <w:tc>
          <w:tcPr>
            <w:tcW w:w="405" w:type="pct"/>
            <w:shd w:val="clear" w:color="000000" w:fill="FFFFFF"/>
            <w:noWrap/>
            <w:vAlign w:val="center"/>
          </w:tcPr>
          <w:p w14:paraId="291662B1" w14:textId="77777777" w:rsidR="00AB379C" w:rsidRPr="00D54752" w:rsidRDefault="00AB379C" w:rsidP="007055F6">
            <w:pPr>
              <w:jc w:val="center"/>
              <w:rPr>
                <w:rFonts w:cstheme="minorHAnsi"/>
              </w:rPr>
            </w:pPr>
            <w:r w:rsidRPr="00D54752">
              <w:rPr>
                <w:rFonts w:cstheme="minorHAnsi"/>
              </w:rPr>
              <w:t>N/A</w:t>
            </w:r>
          </w:p>
        </w:tc>
        <w:tc>
          <w:tcPr>
            <w:tcW w:w="343" w:type="pct"/>
            <w:shd w:val="clear" w:color="000000" w:fill="FFFFFF"/>
            <w:noWrap/>
            <w:vAlign w:val="center"/>
          </w:tcPr>
          <w:p w14:paraId="5AD4F259" w14:textId="77777777" w:rsidR="00AB379C" w:rsidRPr="00D54752" w:rsidRDefault="00AB379C" w:rsidP="007055F6">
            <w:pPr>
              <w:jc w:val="center"/>
              <w:rPr>
                <w:rFonts w:cstheme="minorHAnsi"/>
              </w:rPr>
            </w:pPr>
            <w:r w:rsidRPr="00D54752">
              <w:rPr>
                <w:rFonts w:cstheme="minorHAnsi"/>
              </w:rPr>
              <w:t>0.0%</w:t>
            </w:r>
          </w:p>
        </w:tc>
        <w:tc>
          <w:tcPr>
            <w:tcW w:w="343" w:type="pct"/>
            <w:shd w:val="clear" w:color="000000" w:fill="FFFFFF"/>
            <w:noWrap/>
            <w:vAlign w:val="center"/>
          </w:tcPr>
          <w:p w14:paraId="36621633" w14:textId="77777777" w:rsidR="00AB379C" w:rsidRPr="00D54752" w:rsidRDefault="00AB379C" w:rsidP="007055F6">
            <w:pPr>
              <w:jc w:val="center"/>
              <w:rPr>
                <w:rFonts w:cstheme="minorHAnsi"/>
              </w:rPr>
            </w:pPr>
            <w:r w:rsidRPr="00D54752">
              <w:rPr>
                <w:rFonts w:cstheme="minorHAnsi"/>
              </w:rPr>
              <w:t>N/A</w:t>
            </w:r>
          </w:p>
        </w:tc>
        <w:tc>
          <w:tcPr>
            <w:tcW w:w="535" w:type="pct"/>
            <w:shd w:val="clear" w:color="000000" w:fill="FFFFFF"/>
            <w:vAlign w:val="center"/>
          </w:tcPr>
          <w:p w14:paraId="6BFA8282" w14:textId="77777777" w:rsidR="00AB379C" w:rsidRPr="00D54752" w:rsidRDefault="00AB379C" w:rsidP="007055F6">
            <w:pPr>
              <w:jc w:val="center"/>
              <w:rPr>
                <w:rFonts w:cstheme="minorHAnsi"/>
              </w:rPr>
            </w:pPr>
            <w:r w:rsidRPr="00D54752">
              <w:rPr>
                <w:rFonts w:cstheme="minorHAnsi"/>
              </w:rPr>
              <w:t>NA</w:t>
            </w:r>
          </w:p>
        </w:tc>
      </w:tr>
      <w:tr w:rsidR="00AB379C" w:rsidRPr="00D54752" w14:paraId="03AC95D5" w14:textId="77777777" w:rsidTr="003A1D77">
        <w:trPr>
          <w:cantSplit/>
          <w:trHeight w:val="69"/>
          <w:tblHeader/>
        </w:trPr>
        <w:tc>
          <w:tcPr>
            <w:tcW w:w="286" w:type="pct"/>
            <w:shd w:val="clear" w:color="auto" w:fill="FFFFFF" w:themeFill="background1"/>
            <w:vAlign w:val="center"/>
            <w:hideMark/>
          </w:tcPr>
          <w:p w14:paraId="7E0183B6" w14:textId="77777777" w:rsidR="00AB379C" w:rsidRPr="00D54752" w:rsidRDefault="00AB379C" w:rsidP="007055F6">
            <w:pPr>
              <w:ind w:right="-104"/>
              <w:jc w:val="left"/>
              <w:rPr>
                <w:rFonts w:eastAsia="Times New Roman" w:cstheme="minorHAnsi"/>
                <w:lang w:bidi="ar-SA"/>
              </w:rPr>
            </w:pPr>
            <w:r w:rsidRPr="00D54752">
              <w:rPr>
                <w:rFonts w:eastAsia="Times New Roman" w:cstheme="minorHAnsi"/>
                <w:lang w:bidi="ar-SA"/>
              </w:rPr>
              <w:t>PA EQR</w:t>
            </w:r>
          </w:p>
        </w:tc>
        <w:tc>
          <w:tcPr>
            <w:tcW w:w="1060" w:type="pct"/>
            <w:shd w:val="clear" w:color="auto" w:fill="FFFFFF" w:themeFill="background1"/>
            <w:vAlign w:val="center"/>
            <w:hideMark/>
          </w:tcPr>
          <w:p w14:paraId="1B26CA11" w14:textId="1EF995C5"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Contraceptive Care for Postpartum Women (Age</w:t>
            </w:r>
            <w:r w:rsidR="00FE566F">
              <w:rPr>
                <w:rFonts w:eastAsia="Times New Roman" w:cstheme="minorHAnsi"/>
                <w:lang w:bidi="ar-SA"/>
              </w:rPr>
              <w:t>s</w:t>
            </w:r>
            <w:r w:rsidRPr="00D54752">
              <w:rPr>
                <w:rFonts w:eastAsia="Times New Roman" w:cstheme="minorHAnsi"/>
                <w:lang w:bidi="ar-SA"/>
              </w:rPr>
              <w:t xml:space="preserve"> 15–20 years): LARC—60 days</w:t>
            </w:r>
          </w:p>
        </w:tc>
        <w:tc>
          <w:tcPr>
            <w:tcW w:w="312" w:type="pct"/>
            <w:shd w:val="clear" w:color="000000" w:fill="FFFFFF"/>
            <w:noWrap/>
            <w:vAlign w:val="center"/>
          </w:tcPr>
          <w:p w14:paraId="3A22A5D9" w14:textId="77777777" w:rsidR="00AB379C" w:rsidRPr="00D54752" w:rsidRDefault="00AB379C" w:rsidP="007055F6">
            <w:pPr>
              <w:jc w:val="center"/>
              <w:rPr>
                <w:rFonts w:cstheme="minorHAnsi"/>
              </w:rPr>
            </w:pPr>
            <w:r w:rsidRPr="00D54752">
              <w:rPr>
                <w:rFonts w:cstheme="minorHAnsi"/>
              </w:rPr>
              <w:t>8</w:t>
            </w:r>
          </w:p>
        </w:tc>
        <w:tc>
          <w:tcPr>
            <w:tcW w:w="281" w:type="pct"/>
            <w:shd w:val="clear" w:color="000000" w:fill="FFFFFF"/>
            <w:vAlign w:val="center"/>
          </w:tcPr>
          <w:p w14:paraId="5E414E19" w14:textId="77777777" w:rsidR="00AB379C" w:rsidRPr="00D54752" w:rsidRDefault="00AB379C" w:rsidP="007055F6">
            <w:pPr>
              <w:jc w:val="center"/>
              <w:rPr>
                <w:rFonts w:cstheme="minorHAnsi"/>
              </w:rPr>
            </w:pPr>
            <w:r w:rsidRPr="00D54752">
              <w:rPr>
                <w:rFonts w:cstheme="minorHAnsi"/>
              </w:rPr>
              <w:t>2</w:t>
            </w:r>
          </w:p>
        </w:tc>
        <w:tc>
          <w:tcPr>
            <w:tcW w:w="312" w:type="pct"/>
            <w:shd w:val="clear" w:color="000000" w:fill="FFFFFF"/>
            <w:vAlign w:val="center"/>
          </w:tcPr>
          <w:p w14:paraId="0A5DEDE0" w14:textId="77777777" w:rsidR="00AB379C" w:rsidRPr="00D54752" w:rsidRDefault="00AB379C" w:rsidP="007055F6">
            <w:pPr>
              <w:jc w:val="center"/>
              <w:rPr>
                <w:rFonts w:cstheme="minorHAnsi"/>
                <w:b/>
                <w:bCs/>
              </w:rPr>
            </w:pPr>
            <w:r w:rsidRPr="00D54752">
              <w:rPr>
                <w:rFonts w:cstheme="minorHAnsi"/>
                <w:b/>
                <w:bCs/>
              </w:rPr>
              <w:t>N/A</w:t>
            </w:r>
          </w:p>
        </w:tc>
        <w:tc>
          <w:tcPr>
            <w:tcW w:w="343" w:type="pct"/>
            <w:shd w:val="clear" w:color="000000" w:fill="FFFFFF"/>
            <w:noWrap/>
            <w:vAlign w:val="center"/>
          </w:tcPr>
          <w:p w14:paraId="507B6737" w14:textId="77777777" w:rsidR="00AB379C" w:rsidRPr="00D54752" w:rsidRDefault="00AB379C" w:rsidP="007055F6">
            <w:pPr>
              <w:jc w:val="center"/>
              <w:rPr>
                <w:rFonts w:cstheme="minorHAnsi"/>
              </w:rPr>
            </w:pPr>
            <w:r w:rsidRPr="00D54752">
              <w:rPr>
                <w:rFonts w:cstheme="minorHAnsi"/>
              </w:rPr>
              <w:t>N/A</w:t>
            </w:r>
          </w:p>
        </w:tc>
        <w:tc>
          <w:tcPr>
            <w:tcW w:w="374" w:type="pct"/>
            <w:shd w:val="clear" w:color="000000" w:fill="FFFFFF"/>
            <w:noWrap/>
            <w:vAlign w:val="center"/>
          </w:tcPr>
          <w:p w14:paraId="293395B4" w14:textId="77777777" w:rsidR="00AB379C" w:rsidRPr="00D54752" w:rsidRDefault="00AB379C" w:rsidP="007055F6">
            <w:pPr>
              <w:jc w:val="center"/>
              <w:rPr>
                <w:rFonts w:cstheme="minorHAnsi"/>
              </w:rPr>
            </w:pPr>
            <w:r w:rsidRPr="00D54752">
              <w:rPr>
                <w:rFonts w:cstheme="minorHAnsi"/>
              </w:rPr>
              <w:t>N/A</w:t>
            </w:r>
          </w:p>
        </w:tc>
        <w:tc>
          <w:tcPr>
            <w:tcW w:w="405" w:type="pct"/>
            <w:shd w:val="clear" w:color="000000" w:fill="FFFFFF"/>
            <w:noWrap/>
            <w:vAlign w:val="center"/>
          </w:tcPr>
          <w:p w14:paraId="3B02E35F" w14:textId="77777777" w:rsidR="00AB379C" w:rsidRPr="00D54752" w:rsidRDefault="00AB379C" w:rsidP="007055F6">
            <w:pPr>
              <w:jc w:val="center"/>
              <w:rPr>
                <w:rFonts w:cstheme="minorHAnsi"/>
              </w:rPr>
            </w:pPr>
            <w:r w:rsidRPr="00D54752">
              <w:rPr>
                <w:rFonts w:cstheme="minorHAnsi"/>
              </w:rPr>
              <w:t>N/A</w:t>
            </w:r>
          </w:p>
        </w:tc>
        <w:tc>
          <w:tcPr>
            <w:tcW w:w="405" w:type="pct"/>
            <w:shd w:val="clear" w:color="000000" w:fill="FFFFFF"/>
            <w:noWrap/>
            <w:vAlign w:val="center"/>
          </w:tcPr>
          <w:p w14:paraId="78D98A33" w14:textId="77777777" w:rsidR="00AB379C" w:rsidRPr="00D54752" w:rsidRDefault="00AB379C" w:rsidP="007055F6">
            <w:pPr>
              <w:jc w:val="center"/>
              <w:rPr>
                <w:rFonts w:cstheme="minorHAnsi"/>
              </w:rPr>
            </w:pPr>
            <w:r w:rsidRPr="00D54752">
              <w:rPr>
                <w:rFonts w:cstheme="minorHAnsi"/>
              </w:rPr>
              <w:t>N/A</w:t>
            </w:r>
          </w:p>
        </w:tc>
        <w:tc>
          <w:tcPr>
            <w:tcW w:w="343" w:type="pct"/>
            <w:shd w:val="clear" w:color="000000" w:fill="FFFFFF"/>
            <w:noWrap/>
            <w:vAlign w:val="center"/>
          </w:tcPr>
          <w:p w14:paraId="4C97CCCC" w14:textId="77777777" w:rsidR="00AB379C" w:rsidRPr="00D54752" w:rsidRDefault="00AB379C" w:rsidP="007055F6">
            <w:pPr>
              <w:jc w:val="center"/>
              <w:rPr>
                <w:rFonts w:cstheme="minorHAnsi"/>
              </w:rPr>
            </w:pPr>
            <w:r w:rsidRPr="00D54752">
              <w:rPr>
                <w:rFonts w:cstheme="minorHAnsi"/>
              </w:rPr>
              <w:t>0.0%</w:t>
            </w:r>
          </w:p>
        </w:tc>
        <w:tc>
          <w:tcPr>
            <w:tcW w:w="343" w:type="pct"/>
            <w:shd w:val="clear" w:color="000000" w:fill="FFFFFF"/>
            <w:noWrap/>
            <w:vAlign w:val="center"/>
          </w:tcPr>
          <w:p w14:paraId="76989B21" w14:textId="77777777" w:rsidR="00AB379C" w:rsidRPr="00D54752" w:rsidRDefault="00AB379C" w:rsidP="007055F6">
            <w:pPr>
              <w:jc w:val="center"/>
              <w:rPr>
                <w:rFonts w:cstheme="minorHAnsi"/>
              </w:rPr>
            </w:pPr>
            <w:r w:rsidRPr="00D54752">
              <w:rPr>
                <w:rFonts w:cstheme="minorHAnsi"/>
              </w:rPr>
              <w:t>N/A</w:t>
            </w:r>
          </w:p>
        </w:tc>
        <w:tc>
          <w:tcPr>
            <w:tcW w:w="535" w:type="pct"/>
            <w:shd w:val="clear" w:color="000000" w:fill="FFFFFF"/>
            <w:vAlign w:val="center"/>
          </w:tcPr>
          <w:p w14:paraId="578425D7" w14:textId="77777777" w:rsidR="00AB379C" w:rsidRPr="00D54752" w:rsidRDefault="00AB379C" w:rsidP="007055F6">
            <w:pPr>
              <w:jc w:val="center"/>
              <w:rPr>
                <w:rFonts w:cstheme="minorHAnsi"/>
              </w:rPr>
            </w:pPr>
            <w:r w:rsidRPr="00D54752">
              <w:rPr>
                <w:rFonts w:cstheme="minorHAnsi"/>
              </w:rPr>
              <w:t>NA</w:t>
            </w:r>
          </w:p>
        </w:tc>
      </w:tr>
    </w:tbl>
    <w:p w14:paraId="0EFCAF00" w14:textId="77777777" w:rsidR="00AB379C" w:rsidRPr="00F7033D" w:rsidRDefault="00AB379C" w:rsidP="00DA18F1">
      <w:pPr>
        <w:rPr>
          <w:sz w:val="20"/>
          <w:szCs w:val="20"/>
        </w:rPr>
      </w:pPr>
      <w:r w:rsidRPr="00F7033D">
        <w:rPr>
          <w:sz w:val="20"/>
          <w:szCs w:val="20"/>
          <w:vertAlign w:val="superscript"/>
        </w:rPr>
        <w:t>1</w:t>
      </w:r>
      <w:r w:rsidRPr="00F7033D">
        <w:rPr>
          <w:sz w:val="20"/>
          <w:szCs w:val="20"/>
        </w:rPr>
        <w:t xml:space="preserve"> For comparison of MY 202</w:t>
      </w:r>
      <w:r>
        <w:rPr>
          <w:sz w:val="20"/>
          <w:szCs w:val="20"/>
        </w:rPr>
        <w:t>1</w:t>
      </w:r>
      <w:r w:rsidRPr="00F7033D">
        <w:rPr>
          <w:sz w:val="20"/>
          <w:szCs w:val="20"/>
        </w:rPr>
        <w:t xml:space="preserve"> rates to MY 20</w:t>
      </w:r>
      <w:r>
        <w:rPr>
          <w:sz w:val="20"/>
          <w:szCs w:val="20"/>
        </w:rPr>
        <w:t>20</w:t>
      </w:r>
      <w:r w:rsidRPr="00F7033D">
        <w:rPr>
          <w:sz w:val="20"/>
          <w:szCs w:val="20"/>
        </w:rPr>
        <w:t xml:space="preserve"> rates, statistically significant increases are indicated by “+,” statistically significant decreases by “</w:t>
      </w:r>
      <w:r w:rsidRPr="00F7033D">
        <w:rPr>
          <w:rFonts w:cstheme="minorHAnsi"/>
          <w:sz w:val="20"/>
          <w:szCs w:val="20"/>
        </w:rPr>
        <w:t>−</w:t>
      </w:r>
      <w:r w:rsidRPr="00F7033D">
        <w:rPr>
          <w:sz w:val="20"/>
          <w:szCs w:val="20"/>
        </w:rPr>
        <w:t>,” and no statistically significant change by “</w:t>
      </w:r>
      <w:proofErr w:type="spellStart"/>
      <w:r w:rsidRPr="00F7033D">
        <w:rPr>
          <w:sz w:val="20"/>
          <w:szCs w:val="20"/>
        </w:rPr>
        <w:t>n.s</w:t>
      </w:r>
      <w:proofErr w:type="spellEnd"/>
      <w:r w:rsidRPr="00F7033D">
        <w:rPr>
          <w:sz w:val="20"/>
          <w:szCs w:val="20"/>
        </w:rPr>
        <w:t xml:space="preserve">.” </w:t>
      </w:r>
      <w:r w:rsidRPr="00F7033D">
        <w:rPr>
          <w:bCs/>
          <w:sz w:val="20"/>
          <w:szCs w:val="20"/>
        </w:rPr>
        <w:t>For comparison of MY 202</w:t>
      </w:r>
      <w:r>
        <w:rPr>
          <w:bCs/>
          <w:sz w:val="20"/>
          <w:szCs w:val="20"/>
        </w:rPr>
        <w:t>1</w:t>
      </w:r>
      <w:r w:rsidRPr="00F7033D">
        <w:rPr>
          <w:bCs/>
          <w:sz w:val="20"/>
          <w:szCs w:val="20"/>
        </w:rPr>
        <w:t xml:space="preserve"> rates to CHIP MMC rates, the “+” denotes that the plan rate exceeds the CHIP MMC rate, the “</w:t>
      </w:r>
      <w:r w:rsidRPr="00F7033D">
        <w:rPr>
          <w:rFonts w:cstheme="minorHAnsi"/>
          <w:sz w:val="20"/>
          <w:szCs w:val="20"/>
        </w:rPr>
        <w:t>−</w:t>
      </w:r>
      <w:r w:rsidRPr="00F7033D">
        <w:rPr>
          <w:bCs/>
          <w:sz w:val="20"/>
          <w:szCs w:val="20"/>
        </w:rPr>
        <w:t>” denotes that the MMC rate exceeds the plan rate, and “</w:t>
      </w:r>
      <w:proofErr w:type="spellStart"/>
      <w:r w:rsidRPr="00F7033D">
        <w:rPr>
          <w:bCs/>
          <w:sz w:val="20"/>
          <w:szCs w:val="20"/>
        </w:rPr>
        <w:t>n.s</w:t>
      </w:r>
      <w:proofErr w:type="spellEnd"/>
      <w:r w:rsidRPr="00F7033D">
        <w:rPr>
          <w:bCs/>
          <w:sz w:val="20"/>
          <w:szCs w:val="20"/>
        </w:rPr>
        <w:t>.” denotes no statistically significant difference between the two rates. Gray shading indicates IPRO does</w:t>
      </w:r>
      <w:r>
        <w:rPr>
          <w:bCs/>
          <w:sz w:val="20"/>
          <w:szCs w:val="20"/>
        </w:rPr>
        <w:t xml:space="preserve"> </w:t>
      </w:r>
      <w:r w:rsidRPr="00F7033D">
        <w:rPr>
          <w:bCs/>
          <w:sz w:val="20"/>
          <w:szCs w:val="20"/>
        </w:rPr>
        <w:t>n</w:t>
      </w:r>
      <w:r>
        <w:rPr>
          <w:bCs/>
          <w:sz w:val="20"/>
          <w:szCs w:val="20"/>
        </w:rPr>
        <w:t>o</w:t>
      </w:r>
      <w:r w:rsidRPr="00F7033D">
        <w:rPr>
          <w:bCs/>
          <w:sz w:val="20"/>
          <w:szCs w:val="20"/>
        </w:rPr>
        <w:t>t provide or calculate these rates.</w:t>
      </w:r>
    </w:p>
    <w:p w14:paraId="0ED24355" w14:textId="319B9256" w:rsidR="00AB379C" w:rsidRPr="008F2AFA" w:rsidRDefault="00AB379C" w:rsidP="00DA18F1">
      <w:pPr>
        <w:rPr>
          <w:sz w:val="20"/>
          <w:szCs w:val="20"/>
        </w:rPr>
      </w:pPr>
      <w:proofErr w:type="spellStart"/>
      <w:r w:rsidRPr="00F7033D">
        <w:rPr>
          <w:sz w:val="20"/>
          <w:szCs w:val="20"/>
        </w:rPr>
        <w:t>Denom</w:t>
      </w:r>
      <w:proofErr w:type="spellEnd"/>
      <w:r w:rsidRPr="00F7033D">
        <w:rPr>
          <w:sz w:val="20"/>
          <w:szCs w:val="20"/>
        </w:rPr>
        <w:t>: denominator; Num: numerator; MY: measurement year; MMC: Medicaid Managed Care; HEDIS: Healthcare Effectiveness Data and Information Set; PA: Pennsylvania; EQR: external quality review; NA: not available, as no HEDIS percenti</w:t>
      </w:r>
      <w:r>
        <w:rPr>
          <w:sz w:val="20"/>
          <w:szCs w:val="20"/>
        </w:rPr>
        <w:t xml:space="preserve">le is available to compare; </w:t>
      </w:r>
      <w:r w:rsidRPr="002F6375">
        <w:rPr>
          <w:sz w:val="20"/>
          <w:szCs w:val="20"/>
        </w:rPr>
        <w:t>N/A</w:t>
      </w:r>
      <w:r>
        <w:rPr>
          <w:sz w:val="20"/>
          <w:szCs w:val="20"/>
        </w:rPr>
        <w:t>:</w:t>
      </w:r>
      <w:r w:rsidRPr="002F6375">
        <w:rPr>
          <w:sz w:val="20"/>
          <w:szCs w:val="20"/>
        </w:rPr>
        <w:t xml:space="preserve"> not applicable,</w:t>
      </w:r>
      <w:r>
        <w:rPr>
          <w:sz w:val="20"/>
          <w:szCs w:val="20"/>
        </w:rPr>
        <w:t xml:space="preserve"> as denominator is less than 30</w:t>
      </w:r>
      <w:r w:rsidR="00DA18F1">
        <w:rPr>
          <w:sz w:val="20"/>
          <w:szCs w:val="20"/>
        </w:rPr>
        <w:t>.</w:t>
      </w:r>
      <w:r w:rsidRPr="00F7033D">
        <w:br w:type="page"/>
      </w:r>
    </w:p>
    <w:p w14:paraId="336DCD6D" w14:textId="77777777" w:rsidR="00AB379C" w:rsidRPr="00F7033D" w:rsidRDefault="00AB379C" w:rsidP="00AB379C">
      <w:pPr>
        <w:pStyle w:val="Heading3"/>
      </w:pPr>
      <w:bookmarkStart w:id="107" w:name="_Toc98922465"/>
      <w:bookmarkStart w:id="108" w:name="_Toc132641622"/>
      <w:r w:rsidRPr="00F7033D">
        <w:lastRenderedPageBreak/>
        <w:t>Well-Care Visits and Immunizations</w:t>
      </w:r>
      <w:bookmarkEnd w:id="107"/>
      <w:bookmarkEnd w:id="108"/>
    </w:p>
    <w:p w14:paraId="166E9542" w14:textId="77777777" w:rsidR="00AB379C" w:rsidRPr="00F7033D" w:rsidRDefault="00AB379C" w:rsidP="00AB379C">
      <w:r>
        <w:t>S</w:t>
      </w:r>
      <w:r w:rsidRPr="00F7033D">
        <w:t xml:space="preserve">trengths are identified for the </w:t>
      </w:r>
      <w:r>
        <w:t xml:space="preserve">following </w:t>
      </w:r>
      <w:r w:rsidRPr="00F7033D">
        <w:t>202</w:t>
      </w:r>
      <w:r>
        <w:t>2</w:t>
      </w:r>
      <w:r w:rsidRPr="00F7033D">
        <w:t xml:space="preserve"> (MY 202</w:t>
      </w:r>
      <w:r>
        <w:t>1</w:t>
      </w:r>
      <w:r w:rsidRPr="00F7033D">
        <w:t>) Well-Care Visits and Immunizations performance measures</w:t>
      </w:r>
      <w:r>
        <w:t>:</w:t>
      </w:r>
    </w:p>
    <w:p w14:paraId="2B60C378" w14:textId="77777777" w:rsidR="00AB379C" w:rsidRDefault="00AB379C" w:rsidP="00D54752">
      <w:pPr>
        <w:pStyle w:val="ListParagraph"/>
        <w:numPr>
          <w:ilvl w:val="0"/>
          <w:numId w:val="22"/>
        </w:numPr>
      </w:pPr>
      <w:r w:rsidRPr="00F7033D">
        <w:t>The following rates are statistically significantly above/better than the 202</w:t>
      </w:r>
      <w:r>
        <w:t>2</w:t>
      </w:r>
      <w:r w:rsidRPr="00F7033D">
        <w:t xml:space="preserve"> (MY 202</w:t>
      </w:r>
      <w:r>
        <w:t>1</w:t>
      </w:r>
      <w:r w:rsidRPr="00F7033D">
        <w:t>) MMC weighted average:</w:t>
      </w:r>
    </w:p>
    <w:p w14:paraId="3A3798CD" w14:textId="6FFCAF9F" w:rsidR="00AB379C" w:rsidRDefault="00AB379C" w:rsidP="00D54752">
      <w:pPr>
        <w:pStyle w:val="ListParagraph"/>
        <w:numPr>
          <w:ilvl w:val="1"/>
          <w:numId w:val="22"/>
        </w:numPr>
        <w:ind w:left="1080"/>
      </w:pPr>
      <w:r>
        <w:t>Well-Child Visits in the First 30 Months of Life (</w:t>
      </w:r>
      <w:r w:rsidR="00FE566F">
        <w:t xml:space="preserve">Age </w:t>
      </w:r>
      <w:r>
        <w:t>15 months ≥ 6 Visits) – 12.2 percentage points; and</w:t>
      </w:r>
    </w:p>
    <w:p w14:paraId="01EDD1E2" w14:textId="5BBFD242" w:rsidR="00AB379C" w:rsidRDefault="00AB379C" w:rsidP="00D54752">
      <w:pPr>
        <w:pStyle w:val="ListParagraph"/>
        <w:numPr>
          <w:ilvl w:val="1"/>
          <w:numId w:val="22"/>
        </w:numPr>
        <w:ind w:left="1080"/>
      </w:pPr>
      <w:r>
        <w:t>Well-Child Visits in the First 30 Months of Life (</w:t>
      </w:r>
      <w:r w:rsidR="00FE566F">
        <w:t xml:space="preserve">Ages </w:t>
      </w:r>
      <w:r>
        <w:t>15</w:t>
      </w:r>
      <w:r w:rsidR="00FE566F">
        <w:t>–</w:t>
      </w:r>
      <w:r>
        <w:t>30 months ≥ 2 Visits) – 3.6 percentage points.</w:t>
      </w:r>
    </w:p>
    <w:p w14:paraId="1B9983AD" w14:textId="77777777" w:rsidR="00AB379C" w:rsidRPr="00F7033D" w:rsidRDefault="00AB379C" w:rsidP="00AB379C"/>
    <w:p w14:paraId="6B5D3CA5" w14:textId="77777777" w:rsidR="00AB379C" w:rsidRDefault="00AB379C" w:rsidP="00AB379C">
      <w:r>
        <w:t>O</w:t>
      </w:r>
      <w:r w:rsidRPr="00F7033D">
        <w:t>pportunities for improvement are identified for the</w:t>
      </w:r>
      <w:r>
        <w:t xml:space="preserve"> following </w:t>
      </w:r>
      <w:r w:rsidRPr="00F7033D">
        <w:t>202</w:t>
      </w:r>
      <w:r>
        <w:t>2</w:t>
      </w:r>
      <w:r w:rsidRPr="00F7033D">
        <w:t xml:space="preserve"> (MY 202</w:t>
      </w:r>
      <w:r>
        <w:t>1</w:t>
      </w:r>
      <w:r w:rsidRPr="00F7033D">
        <w:t>)</w:t>
      </w:r>
      <w:r>
        <w:t xml:space="preserve"> </w:t>
      </w:r>
      <w:r w:rsidRPr="00F7033D">
        <w:t>Well-Care Visits and Immunizations performance measures</w:t>
      </w:r>
      <w:r>
        <w:t>:</w:t>
      </w:r>
    </w:p>
    <w:p w14:paraId="72EC6AA4" w14:textId="77777777" w:rsidR="00AB379C" w:rsidRDefault="00AB379C" w:rsidP="00D54752">
      <w:pPr>
        <w:pStyle w:val="ListParagraph"/>
        <w:numPr>
          <w:ilvl w:val="0"/>
          <w:numId w:val="22"/>
        </w:numPr>
      </w:pPr>
      <w:r w:rsidRPr="00F7033D">
        <w:t xml:space="preserve">The following rates are statistically significantly </w:t>
      </w:r>
      <w:r>
        <w:t>below</w:t>
      </w:r>
      <w:r w:rsidRPr="00F7033D">
        <w:t>/</w:t>
      </w:r>
      <w:r>
        <w:t>worse</w:t>
      </w:r>
      <w:r w:rsidRPr="00F7033D">
        <w:t xml:space="preserve"> than the 202</w:t>
      </w:r>
      <w:r>
        <w:t>2</w:t>
      </w:r>
      <w:r w:rsidRPr="00F7033D">
        <w:t xml:space="preserve"> (MY 202</w:t>
      </w:r>
      <w:r>
        <w:t>1</w:t>
      </w:r>
      <w:r w:rsidRPr="00F7033D">
        <w:t>) MMC weighted average:</w:t>
      </w:r>
    </w:p>
    <w:p w14:paraId="72C41A93" w14:textId="77777777" w:rsidR="00AB379C" w:rsidRPr="00BC385F" w:rsidRDefault="00AB379C" w:rsidP="00D54752">
      <w:pPr>
        <w:pStyle w:val="ListParagraph"/>
        <w:numPr>
          <w:ilvl w:val="1"/>
          <w:numId w:val="22"/>
        </w:numPr>
        <w:ind w:left="1080"/>
      </w:pPr>
      <w:r>
        <w:t>Weight Assessment and Counseling for Nutrition and Physical Activity for Children/Adolescents—</w:t>
      </w:r>
      <w:r w:rsidRPr="00BC385F">
        <w:t>BMI percentile (Total) – 5.6 percentage points</w:t>
      </w:r>
      <w:r>
        <w:t>;</w:t>
      </w:r>
    </w:p>
    <w:p w14:paraId="683C6320" w14:textId="16C91155" w:rsidR="00AB379C" w:rsidRDefault="00AB379C" w:rsidP="00D54752">
      <w:pPr>
        <w:pStyle w:val="ListParagraph"/>
        <w:numPr>
          <w:ilvl w:val="1"/>
          <w:numId w:val="22"/>
        </w:numPr>
        <w:ind w:left="1080"/>
      </w:pPr>
      <w:r>
        <w:t>Weight Assessment and Counseling for Nutrition and Physical Activity for Children/Adolescents—Counseling for Nutrition (</w:t>
      </w:r>
      <w:r w:rsidR="00FE566F">
        <w:t xml:space="preserve">Ages </w:t>
      </w:r>
      <w:r>
        <w:t>3–11 years) – 7.9 percentage points;</w:t>
      </w:r>
    </w:p>
    <w:p w14:paraId="6FB3A7DA" w14:textId="1C9517C8" w:rsidR="00AB379C" w:rsidRDefault="00AB379C" w:rsidP="00D54752">
      <w:pPr>
        <w:pStyle w:val="ListParagraph"/>
        <w:numPr>
          <w:ilvl w:val="1"/>
          <w:numId w:val="22"/>
        </w:numPr>
        <w:ind w:left="1080"/>
      </w:pPr>
      <w:r>
        <w:t>Weight Assessment and Counseling for Nutrition and Physical Activity for Children/Adolescents—Counseling for Nutrition (</w:t>
      </w:r>
      <w:r w:rsidR="00FE566F">
        <w:t xml:space="preserve">Ages </w:t>
      </w:r>
      <w:r>
        <w:t>12–17 years) – 10.5 percentage points;</w:t>
      </w:r>
    </w:p>
    <w:p w14:paraId="5A3B3F3E" w14:textId="77777777" w:rsidR="00AB379C" w:rsidRDefault="00AB379C" w:rsidP="00D54752">
      <w:pPr>
        <w:pStyle w:val="ListParagraph"/>
        <w:numPr>
          <w:ilvl w:val="1"/>
          <w:numId w:val="22"/>
        </w:numPr>
        <w:ind w:left="1080"/>
      </w:pPr>
      <w:r>
        <w:t>Weight Assessment and Counseling for Nutrition and Physical Activity for Children/Adolescents—Counseling for Nutrition (Total) – 8.9 percentage points;</w:t>
      </w:r>
    </w:p>
    <w:p w14:paraId="2DF620D7" w14:textId="1291AFCB" w:rsidR="00AB379C" w:rsidRDefault="00AB379C" w:rsidP="00D54752">
      <w:pPr>
        <w:pStyle w:val="ListParagraph"/>
        <w:numPr>
          <w:ilvl w:val="1"/>
          <w:numId w:val="22"/>
        </w:numPr>
        <w:ind w:left="1080"/>
      </w:pPr>
      <w:r>
        <w:t>Weight Assessment and Counseling for Nutrition and Physical Activity for Children/Adolescents—Counseling for Physical Activity (</w:t>
      </w:r>
      <w:r w:rsidR="00FE566F">
        <w:t xml:space="preserve">Ages </w:t>
      </w:r>
      <w:r>
        <w:t>12–17 years) – 11.3 percentage points; and</w:t>
      </w:r>
    </w:p>
    <w:p w14:paraId="5656A07C" w14:textId="77777777" w:rsidR="00AB379C" w:rsidRDefault="00AB379C" w:rsidP="00D54752">
      <w:pPr>
        <w:pStyle w:val="ListParagraph"/>
        <w:numPr>
          <w:ilvl w:val="1"/>
          <w:numId w:val="22"/>
        </w:numPr>
        <w:ind w:left="1080"/>
      </w:pPr>
      <w:r>
        <w:t>Weight Assessment and Counseling for Nutrition and Physical Activity for Children/Adolescents—Counseling for Physical Activity (Total) – 7.1 percentage points.</w:t>
      </w:r>
    </w:p>
    <w:p w14:paraId="5457A0B8" w14:textId="77777777" w:rsidR="00AB379C" w:rsidRDefault="00AB379C" w:rsidP="00AB379C"/>
    <w:p w14:paraId="40BD8D5B" w14:textId="77777777" w:rsidR="00AB379C" w:rsidRPr="00F7033D" w:rsidRDefault="00AB379C" w:rsidP="00AB379C">
      <w:pPr>
        <w:pStyle w:val="tableheading"/>
      </w:pPr>
      <w:bookmarkStart w:id="109" w:name="_Toc478563553"/>
      <w:bookmarkStart w:id="110" w:name="_Toc512521052"/>
      <w:bookmarkStart w:id="111" w:name="_Toc98922501"/>
      <w:bookmarkStart w:id="112" w:name="_Toc132641663"/>
      <w:r w:rsidRPr="00F7033D">
        <w:t>Table 2.3: Well-Care Visits and Immunizations</w:t>
      </w:r>
      <w:bookmarkEnd w:id="109"/>
      <w:bookmarkEnd w:id="110"/>
      <w:bookmarkEnd w:id="111"/>
      <w:bookmarkEnd w:id="11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823"/>
        <w:gridCol w:w="3859"/>
        <w:gridCol w:w="720"/>
        <w:gridCol w:w="720"/>
        <w:gridCol w:w="717"/>
        <w:gridCol w:w="1076"/>
        <w:gridCol w:w="1168"/>
        <w:gridCol w:w="987"/>
        <w:gridCol w:w="987"/>
        <w:gridCol w:w="826"/>
        <w:gridCol w:w="976"/>
        <w:gridCol w:w="1531"/>
      </w:tblGrid>
      <w:tr w:rsidR="00AB379C" w:rsidRPr="00D54752" w14:paraId="4FB624E4" w14:textId="77777777" w:rsidTr="003B58F7">
        <w:trPr>
          <w:cantSplit/>
          <w:trHeight w:val="287"/>
          <w:tblHeader/>
        </w:trPr>
        <w:tc>
          <w:tcPr>
            <w:tcW w:w="1626" w:type="pct"/>
            <w:gridSpan w:val="2"/>
            <w:shd w:val="clear" w:color="000000" w:fill="5F497A"/>
            <w:vAlign w:val="bottom"/>
            <w:hideMark/>
          </w:tcPr>
          <w:p w14:paraId="42E4C615"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Indicator</w:t>
            </w:r>
          </w:p>
        </w:tc>
        <w:tc>
          <w:tcPr>
            <w:tcW w:w="1528" w:type="pct"/>
            <w:gridSpan w:val="5"/>
            <w:shd w:val="clear" w:color="000000" w:fill="5F497A"/>
            <w:vAlign w:val="bottom"/>
            <w:hideMark/>
          </w:tcPr>
          <w:p w14:paraId="5D8FEE4A"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2022 (MY 2021)</w:t>
            </w:r>
          </w:p>
        </w:tc>
        <w:tc>
          <w:tcPr>
            <w:tcW w:w="1846" w:type="pct"/>
            <w:gridSpan w:val="5"/>
            <w:shd w:val="clear" w:color="000000" w:fill="5F497A"/>
            <w:vAlign w:val="bottom"/>
            <w:hideMark/>
          </w:tcPr>
          <w:p w14:paraId="75B584D7" w14:textId="77777777" w:rsidR="00AB379C" w:rsidRPr="00D54752" w:rsidRDefault="00AB379C" w:rsidP="007055F6">
            <w:pPr>
              <w:jc w:val="center"/>
              <w:rPr>
                <w:rFonts w:eastAsia="Times New Roman" w:cstheme="minorHAnsi"/>
                <w:b/>
                <w:color w:val="FFFFFF"/>
                <w:vertAlign w:val="superscript"/>
                <w:lang w:bidi="ar-SA"/>
              </w:rPr>
            </w:pPr>
            <w:r w:rsidRPr="00D54752">
              <w:rPr>
                <w:rFonts w:eastAsia="Times New Roman" w:cstheme="minorHAnsi"/>
                <w:b/>
                <w:color w:val="FFFFFF"/>
                <w:lang w:bidi="ar-SA"/>
              </w:rPr>
              <w:t>Rate Comparison</w:t>
            </w:r>
            <w:r w:rsidRPr="00D54752">
              <w:rPr>
                <w:rFonts w:eastAsia="Times New Roman" w:cstheme="minorHAnsi"/>
                <w:b/>
                <w:color w:val="FFFFFF"/>
                <w:vertAlign w:val="superscript"/>
                <w:lang w:bidi="ar-SA"/>
              </w:rPr>
              <w:t>1</w:t>
            </w:r>
          </w:p>
        </w:tc>
      </w:tr>
      <w:tr w:rsidR="00AB379C" w:rsidRPr="00D54752" w14:paraId="5AC9550E" w14:textId="77777777" w:rsidTr="003B58F7">
        <w:trPr>
          <w:cantSplit/>
          <w:trHeight w:val="67"/>
          <w:tblHeader/>
        </w:trPr>
        <w:tc>
          <w:tcPr>
            <w:tcW w:w="286" w:type="pct"/>
            <w:shd w:val="clear" w:color="000000" w:fill="5F497A"/>
            <w:vAlign w:val="bottom"/>
            <w:hideMark/>
          </w:tcPr>
          <w:p w14:paraId="19B2112D"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Source</w:t>
            </w:r>
          </w:p>
        </w:tc>
        <w:tc>
          <w:tcPr>
            <w:tcW w:w="1341" w:type="pct"/>
            <w:shd w:val="clear" w:color="000000" w:fill="5F497A"/>
            <w:vAlign w:val="bottom"/>
            <w:hideMark/>
          </w:tcPr>
          <w:p w14:paraId="5F49B6B9"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Name</w:t>
            </w:r>
          </w:p>
        </w:tc>
        <w:tc>
          <w:tcPr>
            <w:tcW w:w="250" w:type="pct"/>
            <w:shd w:val="clear" w:color="000000" w:fill="5F497A"/>
            <w:vAlign w:val="bottom"/>
            <w:hideMark/>
          </w:tcPr>
          <w:p w14:paraId="29F3CD12" w14:textId="77777777" w:rsidR="00AB379C" w:rsidRPr="00D54752" w:rsidRDefault="00AB379C" w:rsidP="007055F6">
            <w:pPr>
              <w:jc w:val="center"/>
              <w:rPr>
                <w:rFonts w:eastAsia="Times New Roman" w:cstheme="minorHAnsi"/>
                <w:b/>
                <w:color w:val="FFFFFF"/>
                <w:lang w:bidi="ar-SA"/>
              </w:rPr>
            </w:pPr>
            <w:proofErr w:type="spellStart"/>
            <w:r w:rsidRPr="00D54752">
              <w:rPr>
                <w:rFonts w:eastAsia="Times New Roman" w:cstheme="minorHAnsi"/>
                <w:b/>
                <w:color w:val="FFFFFF"/>
                <w:lang w:bidi="ar-SA"/>
              </w:rPr>
              <w:t>Denom</w:t>
            </w:r>
            <w:proofErr w:type="spellEnd"/>
          </w:p>
        </w:tc>
        <w:tc>
          <w:tcPr>
            <w:tcW w:w="250" w:type="pct"/>
            <w:shd w:val="clear" w:color="000000" w:fill="5F497A"/>
            <w:vAlign w:val="bottom"/>
            <w:hideMark/>
          </w:tcPr>
          <w:p w14:paraId="090EFAAB"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Num</w:t>
            </w:r>
          </w:p>
        </w:tc>
        <w:tc>
          <w:tcPr>
            <w:tcW w:w="249" w:type="pct"/>
            <w:shd w:val="clear" w:color="000000" w:fill="5F497A"/>
            <w:vAlign w:val="bottom"/>
            <w:hideMark/>
          </w:tcPr>
          <w:p w14:paraId="1EB31E68"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Rate</w:t>
            </w:r>
          </w:p>
        </w:tc>
        <w:tc>
          <w:tcPr>
            <w:tcW w:w="374" w:type="pct"/>
            <w:shd w:val="clear" w:color="000000" w:fill="5F497A"/>
            <w:vAlign w:val="bottom"/>
            <w:hideMark/>
          </w:tcPr>
          <w:p w14:paraId="58A23CAB"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Lower 95% Confidence Limit</w:t>
            </w:r>
          </w:p>
        </w:tc>
        <w:tc>
          <w:tcPr>
            <w:tcW w:w="406" w:type="pct"/>
            <w:shd w:val="clear" w:color="000000" w:fill="5F497A"/>
            <w:vAlign w:val="bottom"/>
            <w:hideMark/>
          </w:tcPr>
          <w:p w14:paraId="62FE517F"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Upper 95% Confidence Limit</w:t>
            </w:r>
          </w:p>
        </w:tc>
        <w:tc>
          <w:tcPr>
            <w:tcW w:w="343" w:type="pct"/>
            <w:shd w:val="clear" w:color="000000" w:fill="5F497A"/>
            <w:vAlign w:val="bottom"/>
            <w:hideMark/>
          </w:tcPr>
          <w:p w14:paraId="51896C1F"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2021 (MY 2020) Rate</w:t>
            </w:r>
          </w:p>
        </w:tc>
        <w:tc>
          <w:tcPr>
            <w:tcW w:w="343" w:type="pct"/>
            <w:shd w:val="clear" w:color="000000" w:fill="5F497A"/>
            <w:vAlign w:val="bottom"/>
            <w:hideMark/>
          </w:tcPr>
          <w:p w14:paraId="2005CC30"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2021</w:t>
            </w:r>
          </w:p>
        </w:tc>
        <w:tc>
          <w:tcPr>
            <w:tcW w:w="287" w:type="pct"/>
            <w:shd w:val="clear" w:color="000000" w:fill="5F497A"/>
            <w:vAlign w:val="bottom"/>
            <w:hideMark/>
          </w:tcPr>
          <w:p w14:paraId="197708A2"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MMC</w:t>
            </w:r>
          </w:p>
        </w:tc>
        <w:tc>
          <w:tcPr>
            <w:tcW w:w="339" w:type="pct"/>
            <w:shd w:val="clear" w:color="000000" w:fill="5F497A"/>
            <w:vAlign w:val="bottom"/>
            <w:hideMark/>
          </w:tcPr>
          <w:p w14:paraId="0692F55D"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MMC</w:t>
            </w:r>
          </w:p>
        </w:tc>
        <w:tc>
          <w:tcPr>
            <w:tcW w:w="534" w:type="pct"/>
            <w:shd w:val="clear" w:color="000000" w:fill="5F497A"/>
            <w:vAlign w:val="bottom"/>
            <w:hideMark/>
          </w:tcPr>
          <w:p w14:paraId="4EDBA157"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HEDIS 2022 Percentile</w:t>
            </w:r>
          </w:p>
        </w:tc>
      </w:tr>
      <w:tr w:rsidR="00AB379C" w:rsidRPr="00D54752" w14:paraId="264C3EFC" w14:textId="77777777" w:rsidTr="003B58F7">
        <w:trPr>
          <w:cantSplit/>
          <w:trHeight w:val="67"/>
        </w:trPr>
        <w:tc>
          <w:tcPr>
            <w:tcW w:w="286" w:type="pct"/>
            <w:shd w:val="clear" w:color="auto" w:fill="FFFFFF" w:themeFill="background1"/>
            <w:vAlign w:val="center"/>
            <w:hideMark/>
          </w:tcPr>
          <w:p w14:paraId="78D0DABE"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7F6490FF" w14:textId="5C7CE4F5"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Weight Assessment and Counseling for Nutrition and Physical Activity for Children/Adolescents—</w:t>
            </w:r>
            <w:r w:rsidRPr="00D54752">
              <w:rPr>
                <w:rFonts w:eastAsia="Times New Roman" w:cstheme="minorHAnsi"/>
                <w:lang w:bidi="ar-SA"/>
              </w:rPr>
              <w:br/>
              <w:t>BMI percentile (</w:t>
            </w:r>
            <w:r w:rsidR="00FE566F">
              <w:rPr>
                <w:rFonts w:eastAsia="Times New Roman" w:cstheme="minorHAnsi"/>
                <w:lang w:bidi="ar-SA"/>
              </w:rPr>
              <w:t xml:space="preserve">Ages </w:t>
            </w:r>
            <w:r w:rsidRPr="00D54752">
              <w:rPr>
                <w:rFonts w:eastAsia="Times New Roman" w:cstheme="minorHAnsi"/>
                <w:lang w:bidi="ar-SA"/>
              </w:rPr>
              <w:t>3–11 years)</w:t>
            </w:r>
          </w:p>
        </w:tc>
        <w:tc>
          <w:tcPr>
            <w:tcW w:w="250" w:type="pct"/>
            <w:shd w:val="clear" w:color="000000" w:fill="FFFFFF"/>
            <w:noWrap/>
            <w:vAlign w:val="center"/>
          </w:tcPr>
          <w:p w14:paraId="501B8F15" w14:textId="77777777" w:rsidR="00AB379C" w:rsidRPr="00D54752" w:rsidRDefault="00AB379C" w:rsidP="007055F6">
            <w:pPr>
              <w:ind w:left="76"/>
              <w:jc w:val="center"/>
              <w:rPr>
                <w:rFonts w:eastAsia="Times New Roman" w:cstheme="minorHAnsi"/>
                <w:lang w:bidi="ar-SA"/>
              </w:rPr>
            </w:pPr>
            <w:r w:rsidRPr="00D54752">
              <w:rPr>
                <w:rFonts w:cstheme="minorHAnsi"/>
              </w:rPr>
              <w:t>175</w:t>
            </w:r>
          </w:p>
        </w:tc>
        <w:tc>
          <w:tcPr>
            <w:tcW w:w="250" w:type="pct"/>
            <w:shd w:val="clear" w:color="000000" w:fill="FFFFFF"/>
            <w:vAlign w:val="center"/>
          </w:tcPr>
          <w:p w14:paraId="4C4CE9A0" w14:textId="77777777" w:rsidR="00AB379C" w:rsidRPr="00D54752" w:rsidRDefault="00AB379C" w:rsidP="007055F6">
            <w:pPr>
              <w:ind w:left="76"/>
              <w:jc w:val="center"/>
              <w:rPr>
                <w:rFonts w:eastAsia="Times New Roman" w:cstheme="minorHAnsi"/>
                <w:lang w:bidi="ar-SA"/>
              </w:rPr>
            </w:pPr>
            <w:r w:rsidRPr="00D54752">
              <w:rPr>
                <w:rFonts w:cstheme="minorHAnsi"/>
              </w:rPr>
              <w:t>138</w:t>
            </w:r>
          </w:p>
        </w:tc>
        <w:tc>
          <w:tcPr>
            <w:tcW w:w="249" w:type="pct"/>
            <w:shd w:val="clear" w:color="000000" w:fill="FFFFFF"/>
            <w:vAlign w:val="center"/>
          </w:tcPr>
          <w:p w14:paraId="3DAB8687" w14:textId="77777777" w:rsidR="00AB379C" w:rsidRPr="00D54752" w:rsidRDefault="00AB379C" w:rsidP="007055F6">
            <w:pPr>
              <w:ind w:left="76"/>
              <w:jc w:val="center"/>
              <w:rPr>
                <w:rFonts w:eastAsia="Times New Roman" w:cstheme="minorHAnsi"/>
                <w:b/>
                <w:bCs/>
                <w:lang w:bidi="ar-SA"/>
              </w:rPr>
            </w:pPr>
            <w:r w:rsidRPr="00D54752">
              <w:rPr>
                <w:rFonts w:cstheme="minorHAnsi"/>
                <w:b/>
                <w:bCs/>
              </w:rPr>
              <w:t>78.9%</w:t>
            </w:r>
          </w:p>
        </w:tc>
        <w:tc>
          <w:tcPr>
            <w:tcW w:w="374" w:type="pct"/>
            <w:shd w:val="clear" w:color="000000" w:fill="FFFFFF"/>
            <w:noWrap/>
            <w:vAlign w:val="center"/>
          </w:tcPr>
          <w:p w14:paraId="7854B5FE" w14:textId="77777777" w:rsidR="00AB379C" w:rsidRPr="00D54752" w:rsidRDefault="00AB379C" w:rsidP="007055F6">
            <w:pPr>
              <w:ind w:left="76"/>
              <w:jc w:val="center"/>
              <w:rPr>
                <w:rFonts w:eastAsia="Times New Roman" w:cstheme="minorHAnsi"/>
                <w:lang w:bidi="ar-SA"/>
              </w:rPr>
            </w:pPr>
            <w:r w:rsidRPr="00D54752">
              <w:rPr>
                <w:rFonts w:cstheme="minorHAnsi"/>
              </w:rPr>
              <w:t>72.5%</w:t>
            </w:r>
          </w:p>
        </w:tc>
        <w:tc>
          <w:tcPr>
            <w:tcW w:w="406" w:type="pct"/>
            <w:shd w:val="clear" w:color="000000" w:fill="FFFFFF"/>
            <w:noWrap/>
            <w:vAlign w:val="center"/>
          </w:tcPr>
          <w:p w14:paraId="64D6C004" w14:textId="77777777" w:rsidR="00AB379C" w:rsidRPr="00D54752" w:rsidRDefault="00AB379C" w:rsidP="007055F6">
            <w:pPr>
              <w:ind w:left="76"/>
              <w:jc w:val="center"/>
              <w:rPr>
                <w:rFonts w:eastAsia="Times New Roman" w:cstheme="minorHAnsi"/>
                <w:lang w:bidi="ar-SA"/>
              </w:rPr>
            </w:pPr>
            <w:r w:rsidRPr="00D54752">
              <w:rPr>
                <w:rFonts w:cstheme="minorHAnsi"/>
              </w:rPr>
              <w:t>85.2%</w:t>
            </w:r>
          </w:p>
        </w:tc>
        <w:tc>
          <w:tcPr>
            <w:tcW w:w="343" w:type="pct"/>
            <w:shd w:val="clear" w:color="000000" w:fill="FFFFFF"/>
            <w:noWrap/>
            <w:vAlign w:val="center"/>
          </w:tcPr>
          <w:p w14:paraId="1D914547" w14:textId="77777777" w:rsidR="00AB379C" w:rsidRPr="00D54752" w:rsidRDefault="00AB379C" w:rsidP="007055F6">
            <w:pPr>
              <w:ind w:left="76"/>
              <w:jc w:val="center"/>
              <w:rPr>
                <w:rFonts w:eastAsia="Times New Roman" w:cstheme="minorHAnsi"/>
                <w:lang w:bidi="ar-SA"/>
              </w:rPr>
            </w:pPr>
            <w:r w:rsidRPr="00D54752">
              <w:rPr>
                <w:rFonts w:cstheme="minorHAnsi"/>
              </w:rPr>
              <w:t>80.9%</w:t>
            </w:r>
          </w:p>
        </w:tc>
        <w:tc>
          <w:tcPr>
            <w:tcW w:w="343" w:type="pct"/>
            <w:shd w:val="clear" w:color="000000" w:fill="FFFFFF"/>
            <w:noWrap/>
            <w:vAlign w:val="center"/>
          </w:tcPr>
          <w:p w14:paraId="691B76E1"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5DAC7785" w14:textId="77777777" w:rsidR="00AB379C" w:rsidRPr="00D54752" w:rsidRDefault="00AB379C" w:rsidP="007055F6">
            <w:pPr>
              <w:ind w:left="76"/>
              <w:jc w:val="center"/>
              <w:rPr>
                <w:rFonts w:eastAsia="Times New Roman" w:cstheme="minorHAnsi"/>
                <w:lang w:bidi="ar-SA"/>
              </w:rPr>
            </w:pPr>
            <w:r w:rsidRPr="00D54752">
              <w:rPr>
                <w:rFonts w:cstheme="minorHAnsi"/>
              </w:rPr>
              <w:t>84.5%</w:t>
            </w:r>
          </w:p>
        </w:tc>
        <w:tc>
          <w:tcPr>
            <w:tcW w:w="339" w:type="pct"/>
            <w:shd w:val="clear" w:color="000000" w:fill="FFFFFF"/>
            <w:noWrap/>
            <w:vAlign w:val="center"/>
          </w:tcPr>
          <w:p w14:paraId="3C7204BB"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7D2C447C" w14:textId="055D26DD"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25th and &lt; 50th percentile </w:t>
            </w:r>
          </w:p>
        </w:tc>
      </w:tr>
      <w:tr w:rsidR="00AB379C" w:rsidRPr="00D54752" w14:paraId="1427AB0E" w14:textId="77777777" w:rsidTr="003B58F7">
        <w:trPr>
          <w:cantSplit/>
          <w:trHeight w:val="67"/>
        </w:trPr>
        <w:tc>
          <w:tcPr>
            <w:tcW w:w="286" w:type="pct"/>
            <w:shd w:val="clear" w:color="auto" w:fill="FFFFFF" w:themeFill="background1"/>
            <w:vAlign w:val="center"/>
            <w:hideMark/>
          </w:tcPr>
          <w:p w14:paraId="56191FCA"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1CE564D9" w14:textId="68D4052E"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Weight Assessment and Counseling for Nutrition and Physical Activity for Children/Adolescents—</w:t>
            </w:r>
            <w:r w:rsidRPr="00D54752">
              <w:rPr>
                <w:rFonts w:eastAsia="Times New Roman" w:cstheme="minorHAnsi"/>
                <w:lang w:bidi="ar-SA"/>
              </w:rPr>
              <w:br/>
              <w:t>BMI percentile (</w:t>
            </w:r>
            <w:r w:rsidR="00FE566F">
              <w:rPr>
                <w:rFonts w:eastAsia="Times New Roman" w:cstheme="minorHAnsi"/>
                <w:lang w:bidi="ar-SA"/>
              </w:rPr>
              <w:t xml:space="preserve">Ages </w:t>
            </w:r>
            <w:r w:rsidRPr="00D54752">
              <w:rPr>
                <w:rFonts w:eastAsia="Times New Roman" w:cstheme="minorHAnsi"/>
                <w:lang w:bidi="ar-SA"/>
              </w:rPr>
              <w:t>12–17 years)</w:t>
            </w:r>
          </w:p>
        </w:tc>
        <w:tc>
          <w:tcPr>
            <w:tcW w:w="250" w:type="pct"/>
            <w:shd w:val="clear" w:color="000000" w:fill="FFFFFF"/>
            <w:noWrap/>
            <w:vAlign w:val="center"/>
          </w:tcPr>
          <w:p w14:paraId="275A91DB" w14:textId="77777777" w:rsidR="00AB379C" w:rsidRPr="00D54752" w:rsidRDefault="00AB379C" w:rsidP="007055F6">
            <w:pPr>
              <w:ind w:left="76"/>
              <w:jc w:val="center"/>
              <w:rPr>
                <w:rFonts w:eastAsia="Times New Roman" w:cstheme="minorHAnsi"/>
                <w:lang w:bidi="ar-SA"/>
              </w:rPr>
            </w:pPr>
            <w:r w:rsidRPr="00D54752">
              <w:rPr>
                <w:rFonts w:cstheme="minorHAnsi"/>
              </w:rPr>
              <w:t>130</w:t>
            </w:r>
          </w:p>
        </w:tc>
        <w:tc>
          <w:tcPr>
            <w:tcW w:w="250" w:type="pct"/>
            <w:shd w:val="clear" w:color="000000" w:fill="FFFFFF"/>
            <w:vAlign w:val="center"/>
          </w:tcPr>
          <w:p w14:paraId="589A3ACD" w14:textId="77777777" w:rsidR="00AB379C" w:rsidRPr="00D54752" w:rsidRDefault="00AB379C" w:rsidP="007055F6">
            <w:pPr>
              <w:ind w:left="76"/>
              <w:jc w:val="center"/>
              <w:rPr>
                <w:rFonts w:eastAsia="Times New Roman" w:cstheme="minorHAnsi"/>
                <w:lang w:bidi="ar-SA"/>
              </w:rPr>
            </w:pPr>
            <w:r w:rsidRPr="00D54752">
              <w:rPr>
                <w:rFonts w:cstheme="minorHAnsi"/>
              </w:rPr>
              <w:t>98</w:t>
            </w:r>
          </w:p>
        </w:tc>
        <w:tc>
          <w:tcPr>
            <w:tcW w:w="249" w:type="pct"/>
            <w:shd w:val="clear" w:color="000000" w:fill="FFFFFF"/>
            <w:vAlign w:val="center"/>
          </w:tcPr>
          <w:p w14:paraId="2FCEA5D0" w14:textId="77777777" w:rsidR="00AB379C" w:rsidRPr="00D54752" w:rsidRDefault="00AB379C" w:rsidP="007055F6">
            <w:pPr>
              <w:ind w:left="76"/>
              <w:jc w:val="center"/>
              <w:rPr>
                <w:rFonts w:eastAsia="Times New Roman" w:cstheme="minorHAnsi"/>
                <w:b/>
                <w:bCs/>
                <w:lang w:bidi="ar-SA"/>
              </w:rPr>
            </w:pPr>
            <w:r w:rsidRPr="00D54752">
              <w:rPr>
                <w:rFonts w:cstheme="minorHAnsi"/>
                <w:b/>
                <w:bCs/>
              </w:rPr>
              <w:t>75.4%</w:t>
            </w:r>
          </w:p>
        </w:tc>
        <w:tc>
          <w:tcPr>
            <w:tcW w:w="374" w:type="pct"/>
            <w:shd w:val="clear" w:color="000000" w:fill="FFFFFF"/>
            <w:noWrap/>
            <w:vAlign w:val="center"/>
          </w:tcPr>
          <w:p w14:paraId="25BBE026" w14:textId="77777777" w:rsidR="00AB379C" w:rsidRPr="00D54752" w:rsidRDefault="00AB379C" w:rsidP="007055F6">
            <w:pPr>
              <w:ind w:left="76"/>
              <w:jc w:val="center"/>
              <w:rPr>
                <w:rFonts w:eastAsia="Times New Roman" w:cstheme="minorHAnsi"/>
                <w:lang w:bidi="ar-SA"/>
              </w:rPr>
            </w:pPr>
            <w:r w:rsidRPr="00D54752">
              <w:rPr>
                <w:rFonts w:cstheme="minorHAnsi"/>
              </w:rPr>
              <w:t>67.6%</w:t>
            </w:r>
          </w:p>
        </w:tc>
        <w:tc>
          <w:tcPr>
            <w:tcW w:w="406" w:type="pct"/>
            <w:shd w:val="clear" w:color="000000" w:fill="FFFFFF"/>
            <w:noWrap/>
            <w:vAlign w:val="center"/>
          </w:tcPr>
          <w:p w14:paraId="3392E580" w14:textId="77777777" w:rsidR="00AB379C" w:rsidRPr="00D54752" w:rsidRDefault="00AB379C" w:rsidP="007055F6">
            <w:pPr>
              <w:ind w:left="76"/>
              <w:jc w:val="center"/>
              <w:rPr>
                <w:rFonts w:eastAsia="Times New Roman" w:cstheme="minorHAnsi"/>
                <w:lang w:bidi="ar-SA"/>
              </w:rPr>
            </w:pPr>
            <w:r w:rsidRPr="00D54752">
              <w:rPr>
                <w:rFonts w:cstheme="minorHAnsi"/>
              </w:rPr>
              <w:t>83.2%</w:t>
            </w:r>
          </w:p>
        </w:tc>
        <w:tc>
          <w:tcPr>
            <w:tcW w:w="343" w:type="pct"/>
            <w:shd w:val="clear" w:color="000000" w:fill="FFFFFF"/>
            <w:noWrap/>
            <w:vAlign w:val="center"/>
          </w:tcPr>
          <w:p w14:paraId="257B3538" w14:textId="77777777" w:rsidR="00AB379C" w:rsidRPr="00D54752" w:rsidRDefault="00AB379C" w:rsidP="007055F6">
            <w:pPr>
              <w:ind w:left="76"/>
              <w:jc w:val="center"/>
              <w:rPr>
                <w:rFonts w:eastAsia="Times New Roman" w:cstheme="minorHAnsi"/>
                <w:lang w:bidi="ar-SA"/>
              </w:rPr>
            </w:pPr>
            <w:r w:rsidRPr="00D54752">
              <w:rPr>
                <w:rFonts w:cstheme="minorHAnsi"/>
              </w:rPr>
              <w:t>78.0%</w:t>
            </w:r>
          </w:p>
        </w:tc>
        <w:tc>
          <w:tcPr>
            <w:tcW w:w="343" w:type="pct"/>
            <w:shd w:val="clear" w:color="000000" w:fill="FFFFFF"/>
            <w:noWrap/>
            <w:vAlign w:val="center"/>
          </w:tcPr>
          <w:p w14:paraId="02B57765"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06B20D33" w14:textId="77777777" w:rsidR="00AB379C" w:rsidRPr="00D54752" w:rsidRDefault="00AB379C" w:rsidP="007055F6">
            <w:pPr>
              <w:ind w:left="76"/>
              <w:jc w:val="center"/>
              <w:rPr>
                <w:rFonts w:eastAsia="Times New Roman" w:cstheme="minorHAnsi"/>
                <w:lang w:bidi="ar-SA"/>
              </w:rPr>
            </w:pPr>
            <w:r w:rsidRPr="00D54752">
              <w:rPr>
                <w:rFonts w:cstheme="minorHAnsi"/>
              </w:rPr>
              <w:t>81.2%</w:t>
            </w:r>
          </w:p>
        </w:tc>
        <w:tc>
          <w:tcPr>
            <w:tcW w:w="339" w:type="pct"/>
            <w:shd w:val="clear" w:color="000000" w:fill="FFFFFF"/>
            <w:noWrap/>
            <w:vAlign w:val="center"/>
          </w:tcPr>
          <w:p w14:paraId="77B11725"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5FD1F16C" w14:textId="1CCC501A"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25th and &lt; 50th percentile </w:t>
            </w:r>
          </w:p>
        </w:tc>
      </w:tr>
      <w:tr w:rsidR="00AB379C" w:rsidRPr="00D54752" w14:paraId="1930E8C6" w14:textId="77777777" w:rsidTr="003B58F7">
        <w:trPr>
          <w:cantSplit/>
          <w:trHeight w:val="67"/>
        </w:trPr>
        <w:tc>
          <w:tcPr>
            <w:tcW w:w="286" w:type="pct"/>
            <w:shd w:val="clear" w:color="auto" w:fill="FFFFFF" w:themeFill="background1"/>
            <w:vAlign w:val="center"/>
            <w:hideMark/>
          </w:tcPr>
          <w:p w14:paraId="50DA045D"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56E63A2D"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Weight Assessment and Counseling for Nutrition and Physical Activity for Children/Adolescents—</w:t>
            </w:r>
            <w:r w:rsidRPr="00D54752">
              <w:rPr>
                <w:rFonts w:eastAsia="Times New Roman" w:cstheme="minorHAnsi"/>
                <w:lang w:bidi="ar-SA"/>
              </w:rPr>
              <w:br/>
              <w:t>BMI percentile (Total)</w:t>
            </w:r>
          </w:p>
        </w:tc>
        <w:tc>
          <w:tcPr>
            <w:tcW w:w="250" w:type="pct"/>
            <w:shd w:val="clear" w:color="000000" w:fill="FFFFFF"/>
            <w:noWrap/>
            <w:vAlign w:val="center"/>
          </w:tcPr>
          <w:p w14:paraId="5952BABF" w14:textId="77777777" w:rsidR="00AB379C" w:rsidRPr="00D54752" w:rsidRDefault="00AB379C" w:rsidP="007055F6">
            <w:pPr>
              <w:ind w:left="76"/>
              <w:jc w:val="center"/>
              <w:rPr>
                <w:rFonts w:eastAsia="Times New Roman" w:cstheme="minorHAnsi"/>
                <w:lang w:bidi="ar-SA"/>
              </w:rPr>
            </w:pPr>
            <w:r w:rsidRPr="00D54752">
              <w:rPr>
                <w:rFonts w:cstheme="minorHAnsi"/>
              </w:rPr>
              <w:t>305</w:t>
            </w:r>
          </w:p>
        </w:tc>
        <w:tc>
          <w:tcPr>
            <w:tcW w:w="250" w:type="pct"/>
            <w:shd w:val="clear" w:color="000000" w:fill="FFFFFF"/>
            <w:vAlign w:val="center"/>
          </w:tcPr>
          <w:p w14:paraId="55D30887" w14:textId="77777777" w:rsidR="00AB379C" w:rsidRPr="00D54752" w:rsidRDefault="00AB379C" w:rsidP="007055F6">
            <w:pPr>
              <w:ind w:left="76"/>
              <w:jc w:val="center"/>
              <w:rPr>
                <w:rFonts w:eastAsia="Times New Roman" w:cstheme="minorHAnsi"/>
                <w:lang w:bidi="ar-SA"/>
              </w:rPr>
            </w:pPr>
            <w:r w:rsidRPr="00D54752">
              <w:rPr>
                <w:rFonts w:cstheme="minorHAnsi"/>
              </w:rPr>
              <w:t>236</w:t>
            </w:r>
          </w:p>
        </w:tc>
        <w:tc>
          <w:tcPr>
            <w:tcW w:w="249" w:type="pct"/>
            <w:shd w:val="clear" w:color="000000" w:fill="FFFFFF"/>
            <w:vAlign w:val="center"/>
          </w:tcPr>
          <w:p w14:paraId="1BFB0667" w14:textId="77777777" w:rsidR="00AB379C" w:rsidRPr="00D54752" w:rsidRDefault="00AB379C" w:rsidP="007055F6">
            <w:pPr>
              <w:ind w:left="76"/>
              <w:jc w:val="center"/>
              <w:rPr>
                <w:rFonts w:eastAsia="Times New Roman" w:cstheme="minorHAnsi"/>
                <w:b/>
                <w:bCs/>
                <w:lang w:bidi="ar-SA"/>
              </w:rPr>
            </w:pPr>
            <w:r w:rsidRPr="00D54752">
              <w:rPr>
                <w:rFonts w:cstheme="minorHAnsi"/>
                <w:b/>
                <w:bCs/>
              </w:rPr>
              <w:t>77.4%</w:t>
            </w:r>
          </w:p>
        </w:tc>
        <w:tc>
          <w:tcPr>
            <w:tcW w:w="374" w:type="pct"/>
            <w:shd w:val="clear" w:color="000000" w:fill="FFFFFF"/>
            <w:noWrap/>
            <w:vAlign w:val="center"/>
          </w:tcPr>
          <w:p w14:paraId="08314B5A" w14:textId="77777777" w:rsidR="00AB379C" w:rsidRPr="00D54752" w:rsidRDefault="00AB379C" w:rsidP="007055F6">
            <w:pPr>
              <w:ind w:left="76"/>
              <w:jc w:val="center"/>
              <w:rPr>
                <w:rFonts w:eastAsia="Times New Roman" w:cstheme="minorHAnsi"/>
                <w:lang w:bidi="ar-SA"/>
              </w:rPr>
            </w:pPr>
            <w:r w:rsidRPr="00D54752">
              <w:rPr>
                <w:rFonts w:cstheme="minorHAnsi"/>
              </w:rPr>
              <w:t>72.5%</w:t>
            </w:r>
          </w:p>
        </w:tc>
        <w:tc>
          <w:tcPr>
            <w:tcW w:w="406" w:type="pct"/>
            <w:shd w:val="clear" w:color="000000" w:fill="FFFFFF"/>
            <w:noWrap/>
            <w:vAlign w:val="center"/>
          </w:tcPr>
          <w:p w14:paraId="66247C6E" w14:textId="77777777" w:rsidR="00AB379C" w:rsidRPr="00D54752" w:rsidRDefault="00AB379C" w:rsidP="007055F6">
            <w:pPr>
              <w:ind w:left="76"/>
              <w:jc w:val="center"/>
              <w:rPr>
                <w:rFonts w:eastAsia="Times New Roman" w:cstheme="minorHAnsi"/>
                <w:lang w:bidi="ar-SA"/>
              </w:rPr>
            </w:pPr>
            <w:r w:rsidRPr="00D54752">
              <w:rPr>
                <w:rFonts w:cstheme="minorHAnsi"/>
              </w:rPr>
              <w:t>82.2%</w:t>
            </w:r>
          </w:p>
        </w:tc>
        <w:tc>
          <w:tcPr>
            <w:tcW w:w="343" w:type="pct"/>
            <w:shd w:val="clear" w:color="000000" w:fill="FFFFFF"/>
            <w:noWrap/>
            <w:vAlign w:val="center"/>
          </w:tcPr>
          <w:p w14:paraId="20C685C5" w14:textId="77777777" w:rsidR="00AB379C" w:rsidRPr="00D54752" w:rsidRDefault="00AB379C" w:rsidP="007055F6">
            <w:pPr>
              <w:ind w:left="76"/>
              <w:jc w:val="center"/>
              <w:rPr>
                <w:rFonts w:eastAsia="Times New Roman" w:cstheme="minorHAnsi"/>
                <w:lang w:bidi="ar-SA"/>
              </w:rPr>
            </w:pPr>
            <w:r w:rsidRPr="00D54752">
              <w:rPr>
                <w:rFonts w:cstheme="minorHAnsi"/>
              </w:rPr>
              <w:t>79.8%</w:t>
            </w:r>
          </w:p>
        </w:tc>
        <w:tc>
          <w:tcPr>
            <w:tcW w:w="343" w:type="pct"/>
            <w:shd w:val="clear" w:color="000000" w:fill="FFFFFF"/>
            <w:noWrap/>
            <w:vAlign w:val="center"/>
          </w:tcPr>
          <w:p w14:paraId="7B068911"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44C53B59" w14:textId="77777777" w:rsidR="00AB379C" w:rsidRPr="00D54752" w:rsidRDefault="00AB379C" w:rsidP="007055F6">
            <w:pPr>
              <w:ind w:left="76"/>
              <w:jc w:val="center"/>
              <w:rPr>
                <w:rFonts w:eastAsia="Times New Roman" w:cstheme="minorHAnsi"/>
                <w:lang w:bidi="ar-SA"/>
              </w:rPr>
            </w:pPr>
            <w:r w:rsidRPr="00D54752">
              <w:rPr>
                <w:rFonts w:cstheme="minorHAnsi"/>
              </w:rPr>
              <w:t>83.0%</w:t>
            </w:r>
          </w:p>
        </w:tc>
        <w:tc>
          <w:tcPr>
            <w:tcW w:w="339" w:type="pct"/>
            <w:shd w:val="clear" w:color="000000" w:fill="FFFFFF"/>
            <w:noWrap/>
            <w:vAlign w:val="center"/>
          </w:tcPr>
          <w:p w14:paraId="5D82AE01"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795A530C" w14:textId="0B0B6E5B"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25th and &lt; 50th percentile </w:t>
            </w:r>
          </w:p>
        </w:tc>
      </w:tr>
      <w:tr w:rsidR="00AB379C" w:rsidRPr="00D54752" w14:paraId="41A12AFA" w14:textId="77777777" w:rsidTr="003B58F7">
        <w:trPr>
          <w:cantSplit/>
          <w:trHeight w:val="67"/>
        </w:trPr>
        <w:tc>
          <w:tcPr>
            <w:tcW w:w="286" w:type="pct"/>
            <w:shd w:val="clear" w:color="auto" w:fill="FFFFFF" w:themeFill="background1"/>
            <w:vAlign w:val="center"/>
            <w:hideMark/>
          </w:tcPr>
          <w:p w14:paraId="045EBFB0"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lastRenderedPageBreak/>
              <w:t>HEDIS</w:t>
            </w:r>
          </w:p>
        </w:tc>
        <w:tc>
          <w:tcPr>
            <w:tcW w:w="1341" w:type="pct"/>
            <w:shd w:val="clear" w:color="auto" w:fill="FFFFFF" w:themeFill="background1"/>
            <w:vAlign w:val="center"/>
            <w:hideMark/>
          </w:tcPr>
          <w:p w14:paraId="41EC688D" w14:textId="19C3BEAC"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Weight Assessment and Counseling for Nutrition and Physical Activity for Children/Adolescents—</w:t>
            </w:r>
            <w:r w:rsidRPr="00D54752">
              <w:rPr>
                <w:rFonts w:eastAsia="Times New Roman" w:cstheme="minorHAnsi"/>
                <w:lang w:bidi="ar-SA"/>
              </w:rPr>
              <w:br/>
              <w:t>Counseling for Nutrition (</w:t>
            </w:r>
            <w:r w:rsidR="00FE566F">
              <w:rPr>
                <w:rFonts w:eastAsia="Times New Roman" w:cstheme="minorHAnsi"/>
                <w:lang w:bidi="ar-SA"/>
              </w:rPr>
              <w:t xml:space="preserve">Ages </w:t>
            </w:r>
            <w:r w:rsidRPr="00D54752">
              <w:rPr>
                <w:rFonts w:eastAsia="Times New Roman" w:cstheme="minorHAnsi"/>
                <w:lang w:bidi="ar-SA"/>
              </w:rPr>
              <w:t>3–11 years)</w:t>
            </w:r>
          </w:p>
        </w:tc>
        <w:tc>
          <w:tcPr>
            <w:tcW w:w="250" w:type="pct"/>
            <w:shd w:val="clear" w:color="000000" w:fill="FFFFFF"/>
            <w:noWrap/>
            <w:vAlign w:val="center"/>
          </w:tcPr>
          <w:p w14:paraId="2573CA1B" w14:textId="77777777" w:rsidR="00AB379C" w:rsidRPr="00D54752" w:rsidRDefault="00AB379C" w:rsidP="007055F6">
            <w:pPr>
              <w:ind w:left="76"/>
              <w:jc w:val="center"/>
              <w:rPr>
                <w:rFonts w:eastAsia="Times New Roman" w:cstheme="minorHAnsi"/>
                <w:lang w:bidi="ar-SA"/>
              </w:rPr>
            </w:pPr>
            <w:r w:rsidRPr="00D54752">
              <w:rPr>
                <w:rFonts w:cstheme="minorHAnsi"/>
              </w:rPr>
              <w:t>175</w:t>
            </w:r>
          </w:p>
        </w:tc>
        <w:tc>
          <w:tcPr>
            <w:tcW w:w="250" w:type="pct"/>
            <w:shd w:val="clear" w:color="000000" w:fill="FFFFFF"/>
            <w:vAlign w:val="center"/>
          </w:tcPr>
          <w:p w14:paraId="661D4253" w14:textId="77777777" w:rsidR="00AB379C" w:rsidRPr="00D54752" w:rsidRDefault="00AB379C" w:rsidP="007055F6">
            <w:pPr>
              <w:ind w:left="76"/>
              <w:jc w:val="center"/>
              <w:rPr>
                <w:rFonts w:eastAsia="Times New Roman" w:cstheme="minorHAnsi"/>
                <w:lang w:bidi="ar-SA"/>
              </w:rPr>
            </w:pPr>
            <w:r w:rsidRPr="00D54752">
              <w:rPr>
                <w:rFonts w:cstheme="minorHAnsi"/>
              </w:rPr>
              <w:t>124</w:t>
            </w:r>
          </w:p>
        </w:tc>
        <w:tc>
          <w:tcPr>
            <w:tcW w:w="249" w:type="pct"/>
            <w:shd w:val="clear" w:color="000000" w:fill="FFFFFF"/>
            <w:vAlign w:val="center"/>
          </w:tcPr>
          <w:p w14:paraId="0B86662A" w14:textId="77777777" w:rsidR="00AB379C" w:rsidRPr="00D54752" w:rsidRDefault="00AB379C" w:rsidP="007055F6">
            <w:pPr>
              <w:ind w:left="76"/>
              <w:jc w:val="center"/>
              <w:rPr>
                <w:rFonts w:eastAsia="Times New Roman" w:cstheme="minorHAnsi"/>
                <w:b/>
                <w:bCs/>
                <w:lang w:bidi="ar-SA"/>
              </w:rPr>
            </w:pPr>
            <w:r w:rsidRPr="00D54752">
              <w:rPr>
                <w:rFonts w:cstheme="minorHAnsi"/>
                <w:b/>
                <w:bCs/>
              </w:rPr>
              <w:t>70.9%</w:t>
            </w:r>
          </w:p>
        </w:tc>
        <w:tc>
          <w:tcPr>
            <w:tcW w:w="374" w:type="pct"/>
            <w:shd w:val="clear" w:color="000000" w:fill="FFFFFF"/>
            <w:noWrap/>
            <w:vAlign w:val="center"/>
          </w:tcPr>
          <w:p w14:paraId="3E09FDF9" w14:textId="77777777" w:rsidR="00AB379C" w:rsidRPr="00D54752" w:rsidRDefault="00AB379C" w:rsidP="007055F6">
            <w:pPr>
              <w:ind w:left="76"/>
              <w:jc w:val="center"/>
              <w:rPr>
                <w:rFonts w:eastAsia="Times New Roman" w:cstheme="minorHAnsi"/>
                <w:lang w:bidi="ar-SA"/>
              </w:rPr>
            </w:pPr>
            <w:r w:rsidRPr="00D54752">
              <w:rPr>
                <w:rFonts w:cstheme="minorHAnsi"/>
              </w:rPr>
              <w:t>63.8%</w:t>
            </w:r>
          </w:p>
        </w:tc>
        <w:tc>
          <w:tcPr>
            <w:tcW w:w="406" w:type="pct"/>
            <w:shd w:val="clear" w:color="000000" w:fill="FFFFFF"/>
            <w:noWrap/>
            <w:vAlign w:val="center"/>
          </w:tcPr>
          <w:p w14:paraId="20611373" w14:textId="77777777" w:rsidR="00AB379C" w:rsidRPr="00D54752" w:rsidRDefault="00AB379C" w:rsidP="007055F6">
            <w:pPr>
              <w:ind w:left="76"/>
              <w:jc w:val="center"/>
              <w:rPr>
                <w:rFonts w:eastAsia="Times New Roman" w:cstheme="minorHAnsi"/>
                <w:lang w:bidi="ar-SA"/>
              </w:rPr>
            </w:pPr>
            <w:r w:rsidRPr="00D54752">
              <w:rPr>
                <w:rFonts w:cstheme="minorHAnsi"/>
              </w:rPr>
              <w:t>77.9%</w:t>
            </w:r>
          </w:p>
        </w:tc>
        <w:tc>
          <w:tcPr>
            <w:tcW w:w="343" w:type="pct"/>
            <w:shd w:val="clear" w:color="000000" w:fill="FFFFFF"/>
            <w:noWrap/>
            <w:vAlign w:val="center"/>
          </w:tcPr>
          <w:p w14:paraId="4733DC06" w14:textId="77777777" w:rsidR="00AB379C" w:rsidRPr="00D54752" w:rsidRDefault="00AB379C" w:rsidP="007055F6">
            <w:pPr>
              <w:ind w:left="76"/>
              <w:jc w:val="center"/>
              <w:rPr>
                <w:rFonts w:eastAsia="Times New Roman" w:cstheme="minorHAnsi"/>
                <w:lang w:bidi="ar-SA"/>
              </w:rPr>
            </w:pPr>
            <w:r w:rsidRPr="00D54752">
              <w:rPr>
                <w:rFonts w:cstheme="minorHAnsi"/>
              </w:rPr>
              <w:t>78.4%</w:t>
            </w:r>
          </w:p>
        </w:tc>
        <w:tc>
          <w:tcPr>
            <w:tcW w:w="343" w:type="pct"/>
            <w:shd w:val="clear" w:color="000000" w:fill="FFFFFF"/>
            <w:noWrap/>
            <w:vAlign w:val="center"/>
          </w:tcPr>
          <w:p w14:paraId="2B8CA354"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4D629C7D" w14:textId="77777777" w:rsidR="00AB379C" w:rsidRPr="00D54752" w:rsidRDefault="00AB379C" w:rsidP="007055F6">
            <w:pPr>
              <w:ind w:left="76"/>
              <w:jc w:val="center"/>
              <w:rPr>
                <w:rFonts w:eastAsia="Times New Roman" w:cstheme="minorHAnsi"/>
                <w:lang w:bidi="ar-SA"/>
              </w:rPr>
            </w:pPr>
            <w:r w:rsidRPr="00D54752">
              <w:rPr>
                <w:rFonts w:cstheme="minorHAnsi"/>
              </w:rPr>
              <w:t>78.7%</w:t>
            </w:r>
          </w:p>
        </w:tc>
        <w:tc>
          <w:tcPr>
            <w:tcW w:w="339" w:type="pct"/>
            <w:shd w:val="clear" w:color="000000" w:fill="FFFFFF"/>
            <w:noWrap/>
            <w:vAlign w:val="center"/>
          </w:tcPr>
          <w:p w14:paraId="5B1A527B"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1BDB282E" w14:textId="0D57D668"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25th and &lt; 50th percentile </w:t>
            </w:r>
          </w:p>
        </w:tc>
      </w:tr>
      <w:tr w:rsidR="00AB379C" w:rsidRPr="00D54752" w14:paraId="75BBE8EB" w14:textId="77777777" w:rsidTr="003B58F7">
        <w:trPr>
          <w:cantSplit/>
          <w:trHeight w:val="67"/>
        </w:trPr>
        <w:tc>
          <w:tcPr>
            <w:tcW w:w="286" w:type="pct"/>
            <w:shd w:val="clear" w:color="auto" w:fill="FFFFFF" w:themeFill="background1"/>
            <w:vAlign w:val="center"/>
            <w:hideMark/>
          </w:tcPr>
          <w:p w14:paraId="5EFA907C"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4D85D2D1" w14:textId="6493ACFC"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Weight Assessment and Counseling for Nutrition and Physical Activity for Children/Adolescents—</w:t>
            </w:r>
            <w:r w:rsidRPr="00D54752">
              <w:rPr>
                <w:rFonts w:eastAsia="Times New Roman" w:cstheme="minorHAnsi"/>
                <w:lang w:bidi="ar-SA"/>
              </w:rPr>
              <w:br/>
              <w:t>Counseling for Nutrition (</w:t>
            </w:r>
            <w:r w:rsidR="00FE566F">
              <w:rPr>
                <w:rFonts w:eastAsia="Times New Roman" w:cstheme="minorHAnsi"/>
                <w:lang w:bidi="ar-SA"/>
              </w:rPr>
              <w:t xml:space="preserve">Ages </w:t>
            </w:r>
            <w:r w:rsidRPr="00D54752">
              <w:rPr>
                <w:rFonts w:eastAsia="Times New Roman" w:cstheme="minorHAnsi"/>
                <w:lang w:bidi="ar-SA"/>
              </w:rPr>
              <w:t>12–17 years)</w:t>
            </w:r>
          </w:p>
        </w:tc>
        <w:tc>
          <w:tcPr>
            <w:tcW w:w="250" w:type="pct"/>
            <w:shd w:val="clear" w:color="000000" w:fill="FFFFFF"/>
            <w:noWrap/>
            <w:vAlign w:val="center"/>
          </w:tcPr>
          <w:p w14:paraId="21F579BD" w14:textId="77777777" w:rsidR="00AB379C" w:rsidRPr="00D54752" w:rsidRDefault="00AB379C" w:rsidP="007055F6">
            <w:pPr>
              <w:ind w:left="76"/>
              <w:jc w:val="center"/>
              <w:rPr>
                <w:rFonts w:eastAsia="Times New Roman" w:cstheme="minorHAnsi"/>
                <w:lang w:bidi="ar-SA"/>
              </w:rPr>
            </w:pPr>
            <w:r w:rsidRPr="00D54752">
              <w:rPr>
                <w:rFonts w:cstheme="minorHAnsi"/>
              </w:rPr>
              <w:t>130</w:t>
            </w:r>
          </w:p>
        </w:tc>
        <w:tc>
          <w:tcPr>
            <w:tcW w:w="250" w:type="pct"/>
            <w:shd w:val="clear" w:color="000000" w:fill="FFFFFF"/>
            <w:vAlign w:val="center"/>
          </w:tcPr>
          <w:p w14:paraId="614C0B05" w14:textId="77777777" w:rsidR="00AB379C" w:rsidRPr="00D54752" w:rsidRDefault="00AB379C" w:rsidP="007055F6">
            <w:pPr>
              <w:ind w:left="76"/>
              <w:jc w:val="center"/>
              <w:rPr>
                <w:rFonts w:eastAsia="Times New Roman" w:cstheme="minorHAnsi"/>
                <w:lang w:bidi="ar-SA"/>
              </w:rPr>
            </w:pPr>
            <w:r w:rsidRPr="00D54752">
              <w:rPr>
                <w:rFonts w:cstheme="minorHAnsi"/>
              </w:rPr>
              <w:t>83</w:t>
            </w:r>
          </w:p>
        </w:tc>
        <w:tc>
          <w:tcPr>
            <w:tcW w:w="249" w:type="pct"/>
            <w:shd w:val="clear" w:color="000000" w:fill="FFFFFF"/>
            <w:vAlign w:val="center"/>
          </w:tcPr>
          <w:p w14:paraId="3D4FA3F8" w14:textId="77777777" w:rsidR="00AB379C" w:rsidRPr="00D54752" w:rsidRDefault="00AB379C" w:rsidP="007055F6">
            <w:pPr>
              <w:ind w:left="76"/>
              <w:jc w:val="center"/>
              <w:rPr>
                <w:rFonts w:eastAsia="Times New Roman" w:cstheme="minorHAnsi"/>
                <w:b/>
                <w:bCs/>
                <w:lang w:bidi="ar-SA"/>
              </w:rPr>
            </w:pPr>
            <w:r w:rsidRPr="00D54752">
              <w:rPr>
                <w:rFonts w:cstheme="minorHAnsi"/>
                <w:b/>
                <w:bCs/>
              </w:rPr>
              <w:t>63.9%</w:t>
            </w:r>
          </w:p>
        </w:tc>
        <w:tc>
          <w:tcPr>
            <w:tcW w:w="374" w:type="pct"/>
            <w:shd w:val="clear" w:color="000000" w:fill="FFFFFF"/>
            <w:noWrap/>
            <w:vAlign w:val="center"/>
          </w:tcPr>
          <w:p w14:paraId="3352432D" w14:textId="77777777" w:rsidR="00AB379C" w:rsidRPr="00D54752" w:rsidRDefault="00AB379C" w:rsidP="007055F6">
            <w:pPr>
              <w:ind w:left="76"/>
              <w:jc w:val="center"/>
              <w:rPr>
                <w:rFonts w:eastAsia="Times New Roman" w:cstheme="minorHAnsi"/>
                <w:lang w:bidi="ar-SA"/>
              </w:rPr>
            </w:pPr>
            <w:r w:rsidRPr="00D54752">
              <w:rPr>
                <w:rFonts w:cstheme="minorHAnsi"/>
              </w:rPr>
              <w:t>55.2%</w:t>
            </w:r>
          </w:p>
        </w:tc>
        <w:tc>
          <w:tcPr>
            <w:tcW w:w="406" w:type="pct"/>
            <w:shd w:val="clear" w:color="000000" w:fill="FFFFFF"/>
            <w:noWrap/>
            <w:vAlign w:val="center"/>
          </w:tcPr>
          <w:p w14:paraId="75E7E644" w14:textId="77777777" w:rsidR="00AB379C" w:rsidRPr="00D54752" w:rsidRDefault="00AB379C" w:rsidP="007055F6">
            <w:pPr>
              <w:ind w:left="76"/>
              <w:jc w:val="center"/>
              <w:rPr>
                <w:rFonts w:eastAsia="Times New Roman" w:cstheme="minorHAnsi"/>
                <w:lang w:bidi="ar-SA"/>
              </w:rPr>
            </w:pPr>
            <w:r w:rsidRPr="00D54752">
              <w:rPr>
                <w:rFonts w:cstheme="minorHAnsi"/>
              </w:rPr>
              <w:t>72.5%</w:t>
            </w:r>
          </w:p>
        </w:tc>
        <w:tc>
          <w:tcPr>
            <w:tcW w:w="343" w:type="pct"/>
            <w:shd w:val="clear" w:color="000000" w:fill="FFFFFF"/>
            <w:noWrap/>
            <w:vAlign w:val="center"/>
          </w:tcPr>
          <w:p w14:paraId="5C79C57F" w14:textId="77777777" w:rsidR="00AB379C" w:rsidRPr="00D54752" w:rsidRDefault="00AB379C" w:rsidP="007055F6">
            <w:pPr>
              <w:ind w:left="76"/>
              <w:jc w:val="center"/>
              <w:rPr>
                <w:rFonts w:eastAsia="Times New Roman" w:cstheme="minorHAnsi"/>
                <w:lang w:bidi="ar-SA"/>
              </w:rPr>
            </w:pPr>
            <w:r w:rsidRPr="00D54752">
              <w:rPr>
                <w:rFonts w:cstheme="minorHAnsi"/>
              </w:rPr>
              <w:t>78.0%</w:t>
            </w:r>
          </w:p>
        </w:tc>
        <w:tc>
          <w:tcPr>
            <w:tcW w:w="343" w:type="pct"/>
            <w:shd w:val="clear" w:color="000000" w:fill="FFFFFF"/>
            <w:noWrap/>
            <w:vAlign w:val="center"/>
          </w:tcPr>
          <w:p w14:paraId="469A90A6"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287" w:type="pct"/>
            <w:shd w:val="clear" w:color="000000" w:fill="FFFFFF"/>
            <w:noWrap/>
            <w:vAlign w:val="center"/>
          </w:tcPr>
          <w:p w14:paraId="32ABFF48" w14:textId="77777777" w:rsidR="00AB379C" w:rsidRPr="00D54752" w:rsidRDefault="00AB379C" w:rsidP="007055F6">
            <w:pPr>
              <w:ind w:left="76"/>
              <w:jc w:val="center"/>
              <w:rPr>
                <w:rFonts w:eastAsia="Times New Roman" w:cstheme="minorHAnsi"/>
                <w:lang w:bidi="ar-SA"/>
              </w:rPr>
            </w:pPr>
            <w:r w:rsidRPr="00D54752">
              <w:rPr>
                <w:rFonts w:cstheme="minorHAnsi"/>
              </w:rPr>
              <w:t>74.3%</w:t>
            </w:r>
          </w:p>
        </w:tc>
        <w:tc>
          <w:tcPr>
            <w:tcW w:w="339" w:type="pct"/>
            <w:shd w:val="clear" w:color="000000" w:fill="FFFFFF"/>
            <w:noWrap/>
            <w:vAlign w:val="center"/>
          </w:tcPr>
          <w:p w14:paraId="0B6D31DE"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771EDAC7" w14:textId="2558F2F1"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25th and &lt; 50th percentile </w:t>
            </w:r>
          </w:p>
        </w:tc>
      </w:tr>
      <w:tr w:rsidR="00AB379C" w:rsidRPr="00D54752" w14:paraId="397CDA4B" w14:textId="77777777" w:rsidTr="003B58F7">
        <w:trPr>
          <w:cantSplit/>
          <w:trHeight w:val="67"/>
        </w:trPr>
        <w:tc>
          <w:tcPr>
            <w:tcW w:w="286" w:type="pct"/>
            <w:shd w:val="clear" w:color="auto" w:fill="FFFFFF" w:themeFill="background1"/>
            <w:vAlign w:val="center"/>
            <w:hideMark/>
          </w:tcPr>
          <w:p w14:paraId="44E37D7A"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66517FC5"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Weight Assessment and Counseling for Nutrition and Physical Activity for Children/Adolescents—</w:t>
            </w:r>
            <w:r w:rsidRPr="00D54752">
              <w:rPr>
                <w:rFonts w:eastAsia="Times New Roman" w:cstheme="minorHAnsi"/>
                <w:lang w:bidi="ar-SA"/>
              </w:rPr>
              <w:br/>
              <w:t>Counseling for Nutrition (Total)</w:t>
            </w:r>
          </w:p>
        </w:tc>
        <w:tc>
          <w:tcPr>
            <w:tcW w:w="250" w:type="pct"/>
            <w:shd w:val="clear" w:color="000000" w:fill="FFFFFF"/>
            <w:noWrap/>
            <w:vAlign w:val="center"/>
          </w:tcPr>
          <w:p w14:paraId="5F9F8939" w14:textId="77777777" w:rsidR="00AB379C" w:rsidRPr="00D54752" w:rsidRDefault="00AB379C" w:rsidP="007055F6">
            <w:pPr>
              <w:ind w:left="76"/>
              <w:jc w:val="center"/>
              <w:rPr>
                <w:rFonts w:eastAsia="Times New Roman" w:cstheme="minorHAnsi"/>
                <w:lang w:bidi="ar-SA"/>
              </w:rPr>
            </w:pPr>
            <w:r w:rsidRPr="00D54752">
              <w:rPr>
                <w:rFonts w:cstheme="minorHAnsi"/>
              </w:rPr>
              <w:t>305</w:t>
            </w:r>
          </w:p>
        </w:tc>
        <w:tc>
          <w:tcPr>
            <w:tcW w:w="250" w:type="pct"/>
            <w:shd w:val="clear" w:color="000000" w:fill="FFFFFF"/>
            <w:vAlign w:val="center"/>
          </w:tcPr>
          <w:p w14:paraId="066035B0" w14:textId="77777777" w:rsidR="00AB379C" w:rsidRPr="00D54752" w:rsidRDefault="00AB379C" w:rsidP="007055F6">
            <w:pPr>
              <w:ind w:left="76"/>
              <w:jc w:val="center"/>
              <w:rPr>
                <w:rFonts w:eastAsia="Times New Roman" w:cstheme="minorHAnsi"/>
                <w:lang w:bidi="ar-SA"/>
              </w:rPr>
            </w:pPr>
            <w:r w:rsidRPr="00D54752">
              <w:rPr>
                <w:rFonts w:cstheme="minorHAnsi"/>
              </w:rPr>
              <w:t>207</w:t>
            </w:r>
          </w:p>
        </w:tc>
        <w:tc>
          <w:tcPr>
            <w:tcW w:w="249" w:type="pct"/>
            <w:shd w:val="clear" w:color="000000" w:fill="FFFFFF"/>
            <w:vAlign w:val="center"/>
          </w:tcPr>
          <w:p w14:paraId="33F85C95" w14:textId="77777777" w:rsidR="00AB379C" w:rsidRPr="00D54752" w:rsidRDefault="00AB379C" w:rsidP="007055F6">
            <w:pPr>
              <w:ind w:left="76"/>
              <w:jc w:val="center"/>
              <w:rPr>
                <w:rFonts w:eastAsia="Times New Roman" w:cstheme="minorHAnsi"/>
                <w:b/>
                <w:bCs/>
                <w:lang w:bidi="ar-SA"/>
              </w:rPr>
            </w:pPr>
            <w:r w:rsidRPr="00D54752">
              <w:rPr>
                <w:rFonts w:cstheme="minorHAnsi"/>
                <w:b/>
                <w:bCs/>
              </w:rPr>
              <w:t>67.9%</w:t>
            </w:r>
          </w:p>
        </w:tc>
        <w:tc>
          <w:tcPr>
            <w:tcW w:w="374" w:type="pct"/>
            <w:shd w:val="clear" w:color="000000" w:fill="FFFFFF"/>
            <w:noWrap/>
            <w:vAlign w:val="center"/>
          </w:tcPr>
          <w:p w14:paraId="5A048A15" w14:textId="77777777" w:rsidR="00AB379C" w:rsidRPr="00D54752" w:rsidRDefault="00AB379C" w:rsidP="007055F6">
            <w:pPr>
              <w:ind w:left="76"/>
              <w:jc w:val="center"/>
              <w:rPr>
                <w:rFonts w:eastAsia="Times New Roman" w:cstheme="minorHAnsi"/>
                <w:lang w:bidi="ar-SA"/>
              </w:rPr>
            </w:pPr>
            <w:r w:rsidRPr="00D54752">
              <w:rPr>
                <w:rFonts w:cstheme="minorHAnsi"/>
              </w:rPr>
              <w:t>62.5%</w:t>
            </w:r>
          </w:p>
        </w:tc>
        <w:tc>
          <w:tcPr>
            <w:tcW w:w="406" w:type="pct"/>
            <w:shd w:val="clear" w:color="000000" w:fill="FFFFFF"/>
            <w:noWrap/>
            <w:vAlign w:val="center"/>
          </w:tcPr>
          <w:p w14:paraId="7B322C2E" w14:textId="77777777" w:rsidR="00AB379C" w:rsidRPr="00D54752" w:rsidRDefault="00AB379C" w:rsidP="007055F6">
            <w:pPr>
              <w:ind w:left="76"/>
              <w:jc w:val="center"/>
              <w:rPr>
                <w:rFonts w:eastAsia="Times New Roman" w:cstheme="minorHAnsi"/>
                <w:lang w:bidi="ar-SA"/>
              </w:rPr>
            </w:pPr>
            <w:r w:rsidRPr="00D54752">
              <w:rPr>
                <w:rFonts w:cstheme="minorHAnsi"/>
              </w:rPr>
              <w:t>73.3%</w:t>
            </w:r>
          </w:p>
        </w:tc>
        <w:tc>
          <w:tcPr>
            <w:tcW w:w="343" w:type="pct"/>
            <w:shd w:val="clear" w:color="000000" w:fill="FFFFFF"/>
            <w:noWrap/>
            <w:vAlign w:val="center"/>
          </w:tcPr>
          <w:p w14:paraId="4ED5D7C5" w14:textId="77777777" w:rsidR="00AB379C" w:rsidRPr="00D54752" w:rsidRDefault="00AB379C" w:rsidP="007055F6">
            <w:pPr>
              <w:ind w:left="76"/>
              <w:jc w:val="center"/>
              <w:rPr>
                <w:rFonts w:eastAsia="Times New Roman" w:cstheme="minorHAnsi"/>
                <w:lang w:bidi="ar-SA"/>
              </w:rPr>
            </w:pPr>
            <w:r w:rsidRPr="00D54752">
              <w:rPr>
                <w:rFonts w:cstheme="minorHAnsi"/>
              </w:rPr>
              <w:t>78.2%</w:t>
            </w:r>
          </w:p>
        </w:tc>
        <w:tc>
          <w:tcPr>
            <w:tcW w:w="343" w:type="pct"/>
            <w:shd w:val="clear" w:color="000000" w:fill="FFFFFF"/>
            <w:noWrap/>
            <w:vAlign w:val="center"/>
          </w:tcPr>
          <w:p w14:paraId="7CC39287"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287" w:type="pct"/>
            <w:shd w:val="clear" w:color="000000" w:fill="FFFFFF"/>
            <w:noWrap/>
            <w:vAlign w:val="center"/>
          </w:tcPr>
          <w:p w14:paraId="75D94FCF" w14:textId="77777777" w:rsidR="00AB379C" w:rsidRPr="00D54752" w:rsidRDefault="00AB379C" w:rsidP="007055F6">
            <w:pPr>
              <w:ind w:left="76"/>
              <w:jc w:val="center"/>
              <w:rPr>
                <w:rFonts w:eastAsia="Times New Roman" w:cstheme="minorHAnsi"/>
                <w:lang w:bidi="ar-SA"/>
              </w:rPr>
            </w:pPr>
            <w:r w:rsidRPr="00D54752">
              <w:rPr>
                <w:rFonts w:cstheme="minorHAnsi"/>
              </w:rPr>
              <w:t>76.7%</w:t>
            </w:r>
          </w:p>
        </w:tc>
        <w:tc>
          <w:tcPr>
            <w:tcW w:w="339" w:type="pct"/>
            <w:shd w:val="clear" w:color="000000" w:fill="FFFFFF"/>
            <w:noWrap/>
            <w:vAlign w:val="center"/>
          </w:tcPr>
          <w:p w14:paraId="2CD7A153"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6754C0FF" w14:textId="49C52562"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25th and &lt; 50th percentile </w:t>
            </w:r>
          </w:p>
        </w:tc>
      </w:tr>
      <w:tr w:rsidR="00AB379C" w:rsidRPr="00D54752" w14:paraId="7B6A4105" w14:textId="77777777" w:rsidTr="003B58F7">
        <w:trPr>
          <w:cantSplit/>
          <w:trHeight w:val="67"/>
        </w:trPr>
        <w:tc>
          <w:tcPr>
            <w:tcW w:w="286" w:type="pct"/>
            <w:shd w:val="clear" w:color="auto" w:fill="FFFFFF" w:themeFill="background1"/>
            <w:vAlign w:val="center"/>
            <w:hideMark/>
          </w:tcPr>
          <w:p w14:paraId="05CF390E"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79CC7E56" w14:textId="257B98B9"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Weight Assessment and Counseling for Nutrition and Physical Activity for Children/Adolescents—</w:t>
            </w:r>
            <w:r w:rsidRPr="00D54752">
              <w:rPr>
                <w:rFonts w:eastAsia="Times New Roman" w:cstheme="minorHAnsi"/>
                <w:lang w:bidi="ar-SA"/>
              </w:rPr>
              <w:br/>
              <w:t>Counseling for Physical Activity (</w:t>
            </w:r>
            <w:r w:rsidR="00FE566F">
              <w:rPr>
                <w:rFonts w:eastAsia="Times New Roman" w:cstheme="minorHAnsi"/>
                <w:lang w:bidi="ar-SA"/>
              </w:rPr>
              <w:t xml:space="preserve">Ages </w:t>
            </w:r>
            <w:r w:rsidRPr="00D54752">
              <w:rPr>
                <w:rFonts w:eastAsia="Times New Roman" w:cstheme="minorHAnsi"/>
                <w:lang w:bidi="ar-SA"/>
              </w:rPr>
              <w:t>3–11 years)</w:t>
            </w:r>
          </w:p>
        </w:tc>
        <w:tc>
          <w:tcPr>
            <w:tcW w:w="250" w:type="pct"/>
            <w:shd w:val="clear" w:color="000000" w:fill="FFFFFF"/>
            <w:noWrap/>
            <w:vAlign w:val="center"/>
          </w:tcPr>
          <w:p w14:paraId="3517A88C" w14:textId="77777777" w:rsidR="00AB379C" w:rsidRPr="00D54752" w:rsidRDefault="00AB379C" w:rsidP="007055F6">
            <w:pPr>
              <w:ind w:left="76"/>
              <w:jc w:val="center"/>
              <w:rPr>
                <w:rFonts w:eastAsia="Times New Roman" w:cstheme="minorHAnsi"/>
                <w:lang w:bidi="ar-SA"/>
              </w:rPr>
            </w:pPr>
            <w:r w:rsidRPr="00D54752">
              <w:rPr>
                <w:rFonts w:cstheme="minorHAnsi"/>
              </w:rPr>
              <w:t>175</w:t>
            </w:r>
          </w:p>
        </w:tc>
        <w:tc>
          <w:tcPr>
            <w:tcW w:w="250" w:type="pct"/>
            <w:shd w:val="clear" w:color="000000" w:fill="FFFFFF"/>
            <w:vAlign w:val="center"/>
          </w:tcPr>
          <w:p w14:paraId="67A9CDB6" w14:textId="77777777" w:rsidR="00AB379C" w:rsidRPr="00D54752" w:rsidRDefault="00AB379C" w:rsidP="007055F6">
            <w:pPr>
              <w:ind w:left="76"/>
              <w:jc w:val="center"/>
              <w:rPr>
                <w:rFonts w:eastAsia="Times New Roman" w:cstheme="minorHAnsi"/>
                <w:lang w:bidi="ar-SA"/>
              </w:rPr>
            </w:pPr>
            <w:r w:rsidRPr="00D54752">
              <w:rPr>
                <w:rFonts w:cstheme="minorHAnsi"/>
              </w:rPr>
              <w:t>124</w:t>
            </w:r>
          </w:p>
        </w:tc>
        <w:tc>
          <w:tcPr>
            <w:tcW w:w="249" w:type="pct"/>
            <w:shd w:val="clear" w:color="000000" w:fill="FFFFFF"/>
            <w:vAlign w:val="center"/>
          </w:tcPr>
          <w:p w14:paraId="7845AA90" w14:textId="77777777" w:rsidR="00AB379C" w:rsidRPr="00D54752" w:rsidRDefault="00AB379C" w:rsidP="007055F6">
            <w:pPr>
              <w:ind w:left="76"/>
              <w:jc w:val="center"/>
              <w:rPr>
                <w:rFonts w:eastAsia="Times New Roman" w:cstheme="minorHAnsi"/>
                <w:b/>
                <w:bCs/>
                <w:lang w:bidi="ar-SA"/>
              </w:rPr>
            </w:pPr>
            <w:r w:rsidRPr="00D54752">
              <w:rPr>
                <w:rFonts w:cstheme="minorHAnsi"/>
                <w:b/>
                <w:bCs/>
              </w:rPr>
              <w:t>70.9%</w:t>
            </w:r>
          </w:p>
        </w:tc>
        <w:tc>
          <w:tcPr>
            <w:tcW w:w="374" w:type="pct"/>
            <w:shd w:val="clear" w:color="000000" w:fill="FFFFFF"/>
            <w:noWrap/>
            <w:vAlign w:val="center"/>
          </w:tcPr>
          <w:p w14:paraId="23AD4249" w14:textId="77777777" w:rsidR="00AB379C" w:rsidRPr="00D54752" w:rsidRDefault="00AB379C" w:rsidP="007055F6">
            <w:pPr>
              <w:ind w:left="76"/>
              <w:jc w:val="center"/>
              <w:rPr>
                <w:rFonts w:eastAsia="Times New Roman" w:cstheme="minorHAnsi"/>
                <w:lang w:bidi="ar-SA"/>
              </w:rPr>
            </w:pPr>
            <w:r w:rsidRPr="00D54752">
              <w:rPr>
                <w:rFonts w:cstheme="minorHAnsi"/>
              </w:rPr>
              <w:t>63.8%</w:t>
            </w:r>
          </w:p>
        </w:tc>
        <w:tc>
          <w:tcPr>
            <w:tcW w:w="406" w:type="pct"/>
            <w:shd w:val="clear" w:color="000000" w:fill="FFFFFF"/>
            <w:noWrap/>
            <w:vAlign w:val="center"/>
          </w:tcPr>
          <w:p w14:paraId="48D4BA9E" w14:textId="77777777" w:rsidR="00AB379C" w:rsidRPr="00D54752" w:rsidRDefault="00AB379C" w:rsidP="007055F6">
            <w:pPr>
              <w:ind w:left="76"/>
              <w:jc w:val="center"/>
              <w:rPr>
                <w:rFonts w:eastAsia="Times New Roman" w:cstheme="minorHAnsi"/>
                <w:lang w:bidi="ar-SA"/>
              </w:rPr>
            </w:pPr>
            <w:r w:rsidRPr="00D54752">
              <w:rPr>
                <w:rFonts w:cstheme="minorHAnsi"/>
              </w:rPr>
              <w:t>77.9%</w:t>
            </w:r>
          </w:p>
        </w:tc>
        <w:tc>
          <w:tcPr>
            <w:tcW w:w="343" w:type="pct"/>
            <w:shd w:val="clear" w:color="000000" w:fill="FFFFFF"/>
            <w:noWrap/>
            <w:vAlign w:val="center"/>
          </w:tcPr>
          <w:p w14:paraId="24081FE8" w14:textId="77777777" w:rsidR="00AB379C" w:rsidRPr="00D54752" w:rsidRDefault="00AB379C" w:rsidP="007055F6">
            <w:pPr>
              <w:ind w:left="76"/>
              <w:jc w:val="center"/>
              <w:rPr>
                <w:rFonts w:eastAsia="Times New Roman" w:cstheme="minorHAnsi"/>
                <w:lang w:bidi="ar-SA"/>
              </w:rPr>
            </w:pPr>
            <w:r w:rsidRPr="00D54752">
              <w:rPr>
                <w:rFonts w:cstheme="minorHAnsi"/>
              </w:rPr>
              <w:t>78.4%</w:t>
            </w:r>
          </w:p>
        </w:tc>
        <w:tc>
          <w:tcPr>
            <w:tcW w:w="343" w:type="pct"/>
            <w:shd w:val="clear" w:color="000000" w:fill="FFFFFF"/>
            <w:noWrap/>
            <w:vAlign w:val="center"/>
          </w:tcPr>
          <w:p w14:paraId="66BCDF52"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76D03709" w14:textId="77777777" w:rsidR="00AB379C" w:rsidRPr="00D54752" w:rsidRDefault="00AB379C" w:rsidP="007055F6">
            <w:pPr>
              <w:ind w:left="76"/>
              <w:jc w:val="center"/>
              <w:rPr>
                <w:rFonts w:eastAsia="Times New Roman" w:cstheme="minorHAnsi"/>
                <w:lang w:bidi="ar-SA"/>
              </w:rPr>
            </w:pPr>
            <w:r w:rsidRPr="00D54752">
              <w:rPr>
                <w:rFonts w:cstheme="minorHAnsi"/>
              </w:rPr>
              <w:t>74.9%</w:t>
            </w:r>
          </w:p>
        </w:tc>
        <w:tc>
          <w:tcPr>
            <w:tcW w:w="339" w:type="pct"/>
            <w:shd w:val="clear" w:color="000000" w:fill="FFFFFF"/>
            <w:noWrap/>
            <w:vAlign w:val="center"/>
          </w:tcPr>
          <w:p w14:paraId="2CDC43D7"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1923546B" w14:textId="1CFFD931"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r w:rsidR="00AB379C" w:rsidRPr="00D54752" w14:paraId="4D896106" w14:textId="77777777" w:rsidTr="003B58F7">
        <w:trPr>
          <w:cantSplit/>
          <w:trHeight w:val="67"/>
        </w:trPr>
        <w:tc>
          <w:tcPr>
            <w:tcW w:w="286" w:type="pct"/>
            <w:shd w:val="clear" w:color="auto" w:fill="FFFFFF" w:themeFill="background1"/>
            <w:vAlign w:val="center"/>
            <w:hideMark/>
          </w:tcPr>
          <w:p w14:paraId="364D46D7"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4DA380D8" w14:textId="5A9437C5"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Weight Assessment and Counseling for Nutrition and Physical Activity for Children/Adolescents—</w:t>
            </w:r>
            <w:r w:rsidRPr="00D54752">
              <w:rPr>
                <w:rFonts w:eastAsia="Times New Roman" w:cstheme="minorHAnsi"/>
                <w:lang w:bidi="ar-SA"/>
              </w:rPr>
              <w:br/>
              <w:t>Counseling for Physical Activity (</w:t>
            </w:r>
            <w:r w:rsidR="00FE566F">
              <w:rPr>
                <w:rFonts w:eastAsia="Times New Roman" w:cstheme="minorHAnsi"/>
                <w:lang w:bidi="ar-SA"/>
              </w:rPr>
              <w:t xml:space="preserve">Ages </w:t>
            </w:r>
            <w:r w:rsidRPr="00D54752">
              <w:rPr>
                <w:rFonts w:eastAsia="Times New Roman" w:cstheme="minorHAnsi"/>
                <w:lang w:bidi="ar-SA"/>
              </w:rPr>
              <w:t>12–17 years)</w:t>
            </w:r>
          </w:p>
        </w:tc>
        <w:tc>
          <w:tcPr>
            <w:tcW w:w="250" w:type="pct"/>
            <w:shd w:val="clear" w:color="000000" w:fill="FFFFFF"/>
            <w:noWrap/>
            <w:vAlign w:val="center"/>
          </w:tcPr>
          <w:p w14:paraId="1492B709" w14:textId="77777777" w:rsidR="00AB379C" w:rsidRPr="00D54752" w:rsidRDefault="00AB379C" w:rsidP="007055F6">
            <w:pPr>
              <w:ind w:left="76"/>
              <w:jc w:val="center"/>
              <w:rPr>
                <w:rFonts w:eastAsia="Times New Roman" w:cstheme="minorHAnsi"/>
                <w:lang w:bidi="ar-SA"/>
              </w:rPr>
            </w:pPr>
            <w:r w:rsidRPr="00D54752">
              <w:rPr>
                <w:rFonts w:cstheme="minorHAnsi"/>
              </w:rPr>
              <w:t>130</w:t>
            </w:r>
          </w:p>
        </w:tc>
        <w:tc>
          <w:tcPr>
            <w:tcW w:w="250" w:type="pct"/>
            <w:shd w:val="clear" w:color="000000" w:fill="FFFFFF"/>
            <w:vAlign w:val="center"/>
          </w:tcPr>
          <w:p w14:paraId="5B84A291" w14:textId="77777777" w:rsidR="00AB379C" w:rsidRPr="00D54752" w:rsidRDefault="00AB379C" w:rsidP="007055F6">
            <w:pPr>
              <w:ind w:left="76"/>
              <w:jc w:val="center"/>
              <w:rPr>
                <w:rFonts w:eastAsia="Times New Roman" w:cstheme="minorHAnsi"/>
                <w:lang w:bidi="ar-SA"/>
              </w:rPr>
            </w:pPr>
            <w:r w:rsidRPr="00D54752">
              <w:rPr>
                <w:rFonts w:cstheme="minorHAnsi"/>
              </w:rPr>
              <w:t>82</w:t>
            </w:r>
          </w:p>
        </w:tc>
        <w:tc>
          <w:tcPr>
            <w:tcW w:w="249" w:type="pct"/>
            <w:shd w:val="clear" w:color="000000" w:fill="FFFFFF"/>
            <w:vAlign w:val="center"/>
          </w:tcPr>
          <w:p w14:paraId="0A5D8DC3" w14:textId="77777777" w:rsidR="00AB379C" w:rsidRPr="00D54752" w:rsidRDefault="00AB379C" w:rsidP="007055F6">
            <w:pPr>
              <w:ind w:left="76"/>
              <w:jc w:val="center"/>
              <w:rPr>
                <w:rFonts w:eastAsia="Times New Roman" w:cstheme="minorHAnsi"/>
                <w:b/>
                <w:bCs/>
                <w:lang w:bidi="ar-SA"/>
              </w:rPr>
            </w:pPr>
            <w:r w:rsidRPr="00D54752">
              <w:rPr>
                <w:rFonts w:cstheme="minorHAnsi"/>
                <w:b/>
                <w:bCs/>
              </w:rPr>
              <w:t>63.1%</w:t>
            </w:r>
          </w:p>
        </w:tc>
        <w:tc>
          <w:tcPr>
            <w:tcW w:w="374" w:type="pct"/>
            <w:shd w:val="clear" w:color="000000" w:fill="FFFFFF"/>
            <w:noWrap/>
            <w:vAlign w:val="center"/>
          </w:tcPr>
          <w:p w14:paraId="421439B2" w14:textId="77777777" w:rsidR="00AB379C" w:rsidRPr="00D54752" w:rsidRDefault="00AB379C" w:rsidP="007055F6">
            <w:pPr>
              <w:ind w:left="76"/>
              <w:jc w:val="center"/>
              <w:rPr>
                <w:rFonts w:eastAsia="Times New Roman" w:cstheme="minorHAnsi"/>
                <w:lang w:bidi="ar-SA"/>
              </w:rPr>
            </w:pPr>
            <w:r w:rsidRPr="00D54752">
              <w:rPr>
                <w:rFonts w:cstheme="minorHAnsi"/>
              </w:rPr>
              <w:t>54.4%</w:t>
            </w:r>
          </w:p>
        </w:tc>
        <w:tc>
          <w:tcPr>
            <w:tcW w:w="406" w:type="pct"/>
            <w:shd w:val="clear" w:color="000000" w:fill="FFFFFF"/>
            <w:noWrap/>
            <w:vAlign w:val="center"/>
          </w:tcPr>
          <w:p w14:paraId="1CF642EC" w14:textId="77777777" w:rsidR="00AB379C" w:rsidRPr="00D54752" w:rsidRDefault="00AB379C" w:rsidP="007055F6">
            <w:pPr>
              <w:ind w:left="76"/>
              <w:jc w:val="center"/>
              <w:rPr>
                <w:rFonts w:eastAsia="Times New Roman" w:cstheme="minorHAnsi"/>
                <w:lang w:bidi="ar-SA"/>
              </w:rPr>
            </w:pPr>
            <w:r w:rsidRPr="00D54752">
              <w:rPr>
                <w:rFonts w:cstheme="minorHAnsi"/>
              </w:rPr>
              <w:t>71.8%</w:t>
            </w:r>
          </w:p>
        </w:tc>
        <w:tc>
          <w:tcPr>
            <w:tcW w:w="343" w:type="pct"/>
            <w:shd w:val="clear" w:color="000000" w:fill="FFFFFF"/>
            <w:noWrap/>
            <w:vAlign w:val="center"/>
          </w:tcPr>
          <w:p w14:paraId="2E7228BC" w14:textId="77777777" w:rsidR="00AB379C" w:rsidRPr="00D54752" w:rsidRDefault="00AB379C" w:rsidP="007055F6">
            <w:pPr>
              <w:ind w:left="76"/>
              <w:jc w:val="center"/>
              <w:rPr>
                <w:rFonts w:eastAsia="Times New Roman" w:cstheme="minorHAnsi"/>
                <w:lang w:bidi="ar-SA"/>
              </w:rPr>
            </w:pPr>
            <w:r w:rsidRPr="00D54752">
              <w:rPr>
                <w:rFonts w:cstheme="minorHAnsi"/>
              </w:rPr>
              <w:t>76.4%</w:t>
            </w:r>
          </w:p>
        </w:tc>
        <w:tc>
          <w:tcPr>
            <w:tcW w:w="343" w:type="pct"/>
            <w:shd w:val="clear" w:color="000000" w:fill="FFFFFF"/>
            <w:noWrap/>
            <w:vAlign w:val="center"/>
          </w:tcPr>
          <w:p w14:paraId="6C917555"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287" w:type="pct"/>
            <w:shd w:val="clear" w:color="000000" w:fill="FFFFFF"/>
            <w:noWrap/>
            <w:vAlign w:val="center"/>
          </w:tcPr>
          <w:p w14:paraId="234F3132" w14:textId="77777777" w:rsidR="00AB379C" w:rsidRPr="00D54752" w:rsidRDefault="00AB379C" w:rsidP="007055F6">
            <w:pPr>
              <w:ind w:left="76"/>
              <w:jc w:val="center"/>
              <w:rPr>
                <w:rFonts w:eastAsia="Times New Roman" w:cstheme="minorHAnsi"/>
                <w:lang w:bidi="ar-SA"/>
              </w:rPr>
            </w:pPr>
            <w:r w:rsidRPr="00D54752">
              <w:rPr>
                <w:rFonts w:cstheme="minorHAnsi"/>
              </w:rPr>
              <w:t>74.3%</w:t>
            </w:r>
          </w:p>
        </w:tc>
        <w:tc>
          <w:tcPr>
            <w:tcW w:w="339" w:type="pct"/>
            <w:shd w:val="clear" w:color="000000" w:fill="FFFFFF"/>
            <w:noWrap/>
            <w:vAlign w:val="center"/>
          </w:tcPr>
          <w:p w14:paraId="301F139F"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3340870A" w14:textId="7C28BDAA"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25th and &lt; 50th percentile </w:t>
            </w:r>
          </w:p>
        </w:tc>
      </w:tr>
      <w:tr w:rsidR="00AB379C" w:rsidRPr="00D54752" w14:paraId="7E1B0B54" w14:textId="77777777" w:rsidTr="003B58F7">
        <w:trPr>
          <w:cantSplit/>
          <w:trHeight w:val="67"/>
        </w:trPr>
        <w:tc>
          <w:tcPr>
            <w:tcW w:w="286" w:type="pct"/>
            <w:shd w:val="clear" w:color="auto" w:fill="FFFFFF" w:themeFill="background1"/>
            <w:vAlign w:val="center"/>
            <w:hideMark/>
          </w:tcPr>
          <w:p w14:paraId="2A5C0D94"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2881BDE9"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Weight Assessment and Counseling for Nutrition and Physical Activity for Children/Adolescents—</w:t>
            </w:r>
            <w:r w:rsidRPr="00D54752">
              <w:rPr>
                <w:rFonts w:eastAsia="Times New Roman" w:cstheme="minorHAnsi"/>
                <w:lang w:bidi="ar-SA"/>
              </w:rPr>
              <w:br/>
              <w:t>Counseling for Physical Activity (Total)</w:t>
            </w:r>
          </w:p>
        </w:tc>
        <w:tc>
          <w:tcPr>
            <w:tcW w:w="250" w:type="pct"/>
            <w:shd w:val="clear" w:color="000000" w:fill="FFFFFF"/>
            <w:noWrap/>
            <w:vAlign w:val="center"/>
          </w:tcPr>
          <w:p w14:paraId="145F50A4" w14:textId="77777777" w:rsidR="00AB379C" w:rsidRPr="00D54752" w:rsidRDefault="00AB379C" w:rsidP="007055F6">
            <w:pPr>
              <w:ind w:left="76"/>
              <w:jc w:val="center"/>
              <w:rPr>
                <w:rFonts w:eastAsia="Times New Roman" w:cstheme="minorHAnsi"/>
                <w:lang w:bidi="ar-SA"/>
              </w:rPr>
            </w:pPr>
            <w:r w:rsidRPr="00D54752">
              <w:rPr>
                <w:rFonts w:cstheme="minorHAnsi"/>
              </w:rPr>
              <w:t>305</w:t>
            </w:r>
          </w:p>
        </w:tc>
        <w:tc>
          <w:tcPr>
            <w:tcW w:w="250" w:type="pct"/>
            <w:shd w:val="clear" w:color="000000" w:fill="FFFFFF"/>
            <w:vAlign w:val="center"/>
          </w:tcPr>
          <w:p w14:paraId="27A55183" w14:textId="77777777" w:rsidR="00AB379C" w:rsidRPr="00D54752" w:rsidRDefault="00AB379C" w:rsidP="007055F6">
            <w:pPr>
              <w:ind w:left="76"/>
              <w:jc w:val="center"/>
              <w:rPr>
                <w:rFonts w:eastAsia="Times New Roman" w:cstheme="minorHAnsi"/>
                <w:lang w:bidi="ar-SA"/>
              </w:rPr>
            </w:pPr>
            <w:r w:rsidRPr="00D54752">
              <w:rPr>
                <w:rFonts w:cstheme="minorHAnsi"/>
              </w:rPr>
              <w:t>206</w:t>
            </w:r>
          </w:p>
        </w:tc>
        <w:tc>
          <w:tcPr>
            <w:tcW w:w="249" w:type="pct"/>
            <w:shd w:val="clear" w:color="000000" w:fill="FFFFFF"/>
            <w:vAlign w:val="center"/>
          </w:tcPr>
          <w:p w14:paraId="0C34CF55" w14:textId="77777777" w:rsidR="00AB379C" w:rsidRPr="00D54752" w:rsidRDefault="00AB379C" w:rsidP="007055F6">
            <w:pPr>
              <w:ind w:left="76"/>
              <w:jc w:val="center"/>
              <w:rPr>
                <w:rFonts w:eastAsia="Times New Roman" w:cstheme="minorHAnsi"/>
                <w:b/>
                <w:bCs/>
                <w:lang w:bidi="ar-SA"/>
              </w:rPr>
            </w:pPr>
            <w:r w:rsidRPr="00D54752">
              <w:rPr>
                <w:rFonts w:cstheme="minorHAnsi"/>
                <w:b/>
                <w:bCs/>
              </w:rPr>
              <w:t>67.5%</w:t>
            </w:r>
          </w:p>
        </w:tc>
        <w:tc>
          <w:tcPr>
            <w:tcW w:w="374" w:type="pct"/>
            <w:shd w:val="clear" w:color="000000" w:fill="FFFFFF"/>
            <w:noWrap/>
            <w:vAlign w:val="center"/>
          </w:tcPr>
          <w:p w14:paraId="6102A0F5" w14:textId="77777777" w:rsidR="00AB379C" w:rsidRPr="00D54752" w:rsidRDefault="00AB379C" w:rsidP="007055F6">
            <w:pPr>
              <w:ind w:left="76"/>
              <w:jc w:val="center"/>
              <w:rPr>
                <w:rFonts w:eastAsia="Times New Roman" w:cstheme="minorHAnsi"/>
                <w:lang w:bidi="ar-SA"/>
              </w:rPr>
            </w:pPr>
            <w:r w:rsidRPr="00D54752">
              <w:rPr>
                <w:rFonts w:cstheme="minorHAnsi"/>
              </w:rPr>
              <w:t>62.1%</w:t>
            </w:r>
          </w:p>
        </w:tc>
        <w:tc>
          <w:tcPr>
            <w:tcW w:w="406" w:type="pct"/>
            <w:shd w:val="clear" w:color="000000" w:fill="FFFFFF"/>
            <w:noWrap/>
            <w:vAlign w:val="center"/>
          </w:tcPr>
          <w:p w14:paraId="3CE5AFDF" w14:textId="77777777" w:rsidR="00AB379C" w:rsidRPr="00D54752" w:rsidRDefault="00AB379C" w:rsidP="007055F6">
            <w:pPr>
              <w:ind w:left="76"/>
              <w:jc w:val="center"/>
              <w:rPr>
                <w:rFonts w:eastAsia="Times New Roman" w:cstheme="minorHAnsi"/>
                <w:lang w:bidi="ar-SA"/>
              </w:rPr>
            </w:pPr>
            <w:r w:rsidRPr="00D54752">
              <w:rPr>
                <w:rFonts w:cstheme="minorHAnsi"/>
              </w:rPr>
              <w:t>73.0%</w:t>
            </w:r>
          </w:p>
        </w:tc>
        <w:tc>
          <w:tcPr>
            <w:tcW w:w="343" w:type="pct"/>
            <w:shd w:val="clear" w:color="000000" w:fill="FFFFFF"/>
            <w:noWrap/>
            <w:vAlign w:val="center"/>
          </w:tcPr>
          <w:p w14:paraId="5298C1D2" w14:textId="77777777" w:rsidR="00AB379C" w:rsidRPr="00D54752" w:rsidRDefault="00AB379C" w:rsidP="007055F6">
            <w:pPr>
              <w:ind w:left="76"/>
              <w:jc w:val="center"/>
              <w:rPr>
                <w:rFonts w:eastAsia="Times New Roman" w:cstheme="minorHAnsi"/>
                <w:lang w:bidi="ar-SA"/>
              </w:rPr>
            </w:pPr>
            <w:r w:rsidRPr="00D54752">
              <w:rPr>
                <w:rFonts w:cstheme="minorHAnsi"/>
              </w:rPr>
              <w:t>77.6%</w:t>
            </w:r>
          </w:p>
        </w:tc>
        <w:tc>
          <w:tcPr>
            <w:tcW w:w="343" w:type="pct"/>
            <w:shd w:val="clear" w:color="000000" w:fill="FFFFFF"/>
            <w:noWrap/>
            <w:vAlign w:val="center"/>
          </w:tcPr>
          <w:p w14:paraId="49507DE4"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287" w:type="pct"/>
            <w:shd w:val="clear" w:color="000000" w:fill="FFFFFF"/>
            <w:noWrap/>
            <w:vAlign w:val="center"/>
          </w:tcPr>
          <w:p w14:paraId="2FFA5D2F" w14:textId="77777777" w:rsidR="00AB379C" w:rsidRPr="00D54752" w:rsidRDefault="00AB379C" w:rsidP="007055F6">
            <w:pPr>
              <w:ind w:left="76"/>
              <w:jc w:val="center"/>
              <w:rPr>
                <w:rFonts w:eastAsia="Times New Roman" w:cstheme="minorHAnsi"/>
                <w:lang w:bidi="ar-SA"/>
              </w:rPr>
            </w:pPr>
            <w:r w:rsidRPr="00D54752">
              <w:rPr>
                <w:rFonts w:cstheme="minorHAnsi"/>
              </w:rPr>
              <w:t>74.7%</w:t>
            </w:r>
          </w:p>
        </w:tc>
        <w:tc>
          <w:tcPr>
            <w:tcW w:w="339" w:type="pct"/>
            <w:shd w:val="clear" w:color="000000" w:fill="FFFFFF"/>
            <w:noWrap/>
            <w:vAlign w:val="center"/>
          </w:tcPr>
          <w:p w14:paraId="32D5A73F"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497DE730" w14:textId="41EEBA5F"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25th and &lt; 50th percentile </w:t>
            </w:r>
          </w:p>
        </w:tc>
      </w:tr>
      <w:tr w:rsidR="00AB379C" w:rsidRPr="00D54752" w14:paraId="1AA3A34F" w14:textId="77777777" w:rsidTr="003B58F7">
        <w:trPr>
          <w:cantSplit/>
          <w:trHeight w:val="67"/>
        </w:trPr>
        <w:tc>
          <w:tcPr>
            <w:tcW w:w="286" w:type="pct"/>
            <w:shd w:val="clear" w:color="auto" w:fill="FFFFFF" w:themeFill="background1"/>
            <w:vAlign w:val="center"/>
            <w:hideMark/>
          </w:tcPr>
          <w:p w14:paraId="6E8E8F1F"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6E1590F8"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Status—DTaP</w:t>
            </w:r>
          </w:p>
        </w:tc>
        <w:tc>
          <w:tcPr>
            <w:tcW w:w="250" w:type="pct"/>
            <w:shd w:val="clear" w:color="000000" w:fill="FFFFFF"/>
            <w:noWrap/>
            <w:vAlign w:val="center"/>
          </w:tcPr>
          <w:p w14:paraId="4C676BE9"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36A3A030" w14:textId="77777777" w:rsidR="00AB379C" w:rsidRPr="00D54752" w:rsidRDefault="00AB379C" w:rsidP="007055F6">
            <w:pPr>
              <w:ind w:left="76"/>
              <w:jc w:val="center"/>
              <w:rPr>
                <w:rFonts w:eastAsia="Times New Roman" w:cstheme="minorHAnsi"/>
                <w:lang w:bidi="ar-SA"/>
              </w:rPr>
            </w:pPr>
            <w:r w:rsidRPr="00D54752">
              <w:rPr>
                <w:rFonts w:cstheme="minorHAnsi"/>
              </w:rPr>
              <w:t>359</w:t>
            </w:r>
          </w:p>
        </w:tc>
        <w:tc>
          <w:tcPr>
            <w:tcW w:w="249" w:type="pct"/>
            <w:shd w:val="clear" w:color="000000" w:fill="FFFFFF"/>
            <w:vAlign w:val="center"/>
          </w:tcPr>
          <w:p w14:paraId="3E452369" w14:textId="77777777" w:rsidR="00AB379C" w:rsidRPr="00D54752" w:rsidRDefault="00AB379C" w:rsidP="007055F6">
            <w:pPr>
              <w:ind w:left="76"/>
              <w:jc w:val="center"/>
              <w:rPr>
                <w:rFonts w:eastAsia="Times New Roman" w:cstheme="minorHAnsi"/>
                <w:b/>
                <w:bCs/>
                <w:lang w:bidi="ar-SA"/>
              </w:rPr>
            </w:pPr>
            <w:r w:rsidRPr="00D54752">
              <w:rPr>
                <w:rFonts w:cstheme="minorHAnsi"/>
                <w:b/>
                <w:bCs/>
              </w:rPr>
              <w:t>87.6%</w:t>
            </w:r>
          </w:p>
        </w:tc>
        <w:tc>
          <w:tcPr>
            <w:tcW w:w="374" w:type="pct"/>
            <w:shd w:val="clear" w:color="000000" w:fill="FFFFFF"/>
            <w:noWrap/>
            <w:vAlign w:val="center"/>
          </w:tcPr>
          <w:p w14:paraId="7D6C420A" w14:textId="77777777" w:rsidR="00AB379C" w:rsidRPr="00D54752" w:rsidRDefault="00AB379C" w:rsidP="007055F6">
            <w:pPr>
              <w:ind w:left="76"/>
              <w:jc w:val="center"/>
              <w:rPr>
                <w:rFonts w:eastAsia="Times New Roman" w:cstheme="minorHAnsi"/>
                <w:lang w:bidi="ar-SA"/>
              </w:rPr>
            </w:pPr>
            <w:r w:rsidRPr="00D54752">
              <w:rPr>
                <w:rFonts w:cstheme="minorHAnsi"/>
              </w:rPr>
              <w:t>84.2%</w:t>
            </w:r>
          </w:p>
        </w:tc>
        <w:tc>
          <w:tcPr>
            <w:tcW w:w="406" w:type="pct"/>
            <w:shd w:val="clear" w:color="000000" w:fill="FFFFFF"/>
            <w:noWrap/>
            <w:vAlign w:val="center"/>
          </w:tcPr>
          <w:p w14:paraId="3D2E841A" w14:textId="77777777" w:rsidR="00AB379C" w:rsidRPr="00D54752" w:rsidRDefault="00AB379C" w:rsidP="007055F6">
            <w:pPr>
              <w:ind w:left="76"/>
              <w:jc w:val="center"/>
              <w:rPr>
                <w:rFonts w:eastAsia="Times New Roman" w:cstheme="minorHAnsi"/>
                <w:lang w:bidi="ar-SA"/>
              </w:rPr>
            </w:pPr>
            <w:r w:rsidRPr="00D54752">
              <w:rPr>
                <w:rFonts w:cstheme="minorHAnsi"/>
              </w:rPr>
              <w:t>90.9%</w:t>
            </w:r>
          </w:p>
        </w:tc>
        <w:tc>
          <w:tcPr>
            <w:tcW w:w="343" w:type="pct"/>
            <w:shd w:val="clear" w:color="000000" w:fill="FFFFFF"/>
            <w:noWrap/>
            <w:vAlign w:val="center"/>
          </w:tcPr>
          <w:p w14:paraId="3C8EA6B2" w14:textId="77777777" w:rsidR="00AB379C" w:rsidRPr="00D54752" w:rsidRDefault="00AB379C" w:rsidP="007055F6">
            <w:pPr>
              <w:ind w:left="76"/>
              <w:jc w:val="center"/>
              <w:rPr>
                <w:rFonts w:eastAsia="Times New Roman" w:cstheme="minorHAnsi"/>
                <w:lang w:bidi="ar-SA"/>
              </w:rPr>
            </w:pPr>
            <w:r w:rsidRPr="00D54752">
              <w:rPr>
                <w:rFonts w:cstheme="minorHAnsi"/>
              </w:rPr>
              <w:t>85.9%</w:t>
            </w:r>
          </w:p>
        </w:tc>
        <w:tc>
          <w:tcPr>
            <w:tcW w:w="343" w:type="pct"/>
            <w:shd w:val="clear" w:color="000000" w:fill="FFFFFF"/>
            <w:noWrap/>
            <w:vAlign w:val="center"/>
          </w:tcPr>
          <w:p w14:paraId="479DDEEB"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0E7DB890" w14:textId="77777777" w:rsidR="00AB379C" w:rsidRPr="00D54752" w:rsidRDefault="00AB379C" w:rsidP="007055F6">
            <w:pPr>
              <w:ind w:left="76"/>
              <w:jc w:val="center"/>
              <w:rPr>
                <w:rFonts w:eastAsia="Times New Roman" w:cstheme="minorHAnsi"/>
                <w:lang w:bidi="ar-SA"/>
              </w:rPr>
            </w:pPr>
            <w:r w:rsidRPr="00D54752">
              <w:rPr>
                <w:rFonts w:cstheme="minorHAnsi"/>
              </w:rPr>
              <w:t>83.7%</w:t>
            </w:r>
          </w:p>
        </w:tc>
        <w:tc>
          <w:tcPr>
            <w:tcW w:w="339" w:type="pct"/>
            <w:shd w:val="clear" w:color="000000" w:fill="FFFFFF"/>
            <w:noWrap/>
            <w:vAlign w:val="center"/>
          </w:tcPr>
          <w:p w14:paraId="081E21F7"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0709B64F" w14:textId="42873B69"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47D20741" w14:textId="77777777" w:rsidTr="003B58F7">
        <w:trPr>
          <w:cantSplit/>
          <w:trHeight w:val="67"/>
        </w:trPr>
        <w:tc>
          <w:tcPr>
            <w:tcW w:w="286" w:type="pct"/>
            <w:shd w:val="clear" w:color="auto" w:fill="FFFFFF" w:themeFill="background1"/>
            <w:vAlign w:val="center"/>
            <w:hideMark/>
          </w:tcPr>
          <w:p w14:paraId="12BCC06E"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6E2EEE4F"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Status—IPV</w:t>
            </w:r>
          </w:p>
        </w:tc>
        <w:tc>
          <w:tcPr>
            <w:tcW w:w="250" w:type="pct"/>
            <w:shd w:val="clear" w:color="000000" w:fill="FFFFFF"/>
            <w:noWrap/>
            <w:vAlign w:val="center"/>
          </w:tcPr>
          <w:p w14:paraId="19794F4D"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5DE40786" w14:textId="77777777" w:rsidR="00AB379C" w:rsidRPr="00D54752" w:rsidRDefault="00AB379C" w:rsidP="007055F6">
            <w:pPr>
              <w:ind w:left="76"/>
              <w:jc w:val="center"/>
              <w:rPr>
                <w:rFonts w:eastAsia="Times New Roman" w:cstheme="minorHAnsi"/>
                <w:lang w:bidi="ar-SA"/>
              </w:rPr>
            </w:pPr>
            <w:r w:rsidRPr="00D54752">
              <w:rPr>
                <w:rFonts w:cstheme="minorHAnsi"/>
              </w:rPr>
              <w:t>381</w:t>
            </w:r>
          </w:p>
        </w:tc>
        <w:tc>
          <w:tcPr>
            <w:tcW w:w="249" w:type="pct"/>
            <w:shd w:val="clear" w:color="000000" w:fill="FFFFFF"/>
            <w:vAlign w:val="center"/>
          </w:tcPr>
          <w:p w14:paraId="1001959F" w14:textId="77777777" w:rsidR="00AB379C" w:rsidRPr="00D54752" w:rsidRDefault="00AB379C" w:rsidP="007055F6">
            <w:pPr>
              <w:ind w:left="76"/>
              <w:jc w:val="center"/>
              <w:rPr>
                <w:rFonts w:eastAsia="Times New Roman" w:cstheme="minorHAnsi"/>
                <w:b/>
                <w:bCs/>
                <w:lang w:bidi="ar-SA"/>
              </w:rPr>
            </w:pPr>
            <w:r w:rsidRPr="00D54752">
              <w:rPr>
                <w:rFonts w:cstheme="minorHAnsi"/>
                <w:b/>
                <w:bCs/>
              </w:rPr>
              <w:t>92.9%</w:t>
            </w:r>
          </w:p>
        </w:tc>
        <w:tc>
          <w:tcPr>
            <w:tcW w:w="374" w:type="pct"/>
            <w:shd w:val="clear" w:color="000000" w:fill="FFFFFF"/>
            <w:noWrap/>
            <w:vAlign w:val="center"/>
          </w:tcPr>
          <w:p w14:paraId="27D5A47E" w14:textId="77777777" w:rsidR="00AB379C" w:rsidRPr="00D54752" w:rsidRDefault="00AB379C" w:rsidP="007055F6">
            <w:pPr>
              <w:ind w:left="76"/>
              <w:jc w:val="center"/>
              <w:rPr>
                <w:rFonts w:eastAsia="Times New Roman" w:cstheme="minorHAnsi"/>
                <w:lang w:bidi="ar-SA"/>
              </w:rPr>
            </w:pPr>
            <w:r w:rsidRPr="00D54752">
              <w:rPr>
                <w:rFonts w:cstheme="minorHAnsi"/>
              </w:rPr>
              <w:t>90.3%</w:t>
            </w:r>
          </w:p>
        </w:tc>
        <w:tc>
          <w:tcPr>
            <w:tcW w:w="406" w:type="pct"/>
            <w:shd w:val="clear" w:color="000000" w:fill="FFFFFF"/>
            <w:noWrap/>
            <w:vAlign w:val="center"/>
          </w:tcPr>
          <w:p w14:paraId="4A14444C" w14:textId="77777777" w:rsidR="00AB379C" w:rsidRPr="00D54752" w:rsidRDefault="00AB379C" w:rsidP="007055F6">
            <w:pPr>
              <w:ind w:left="76"/>
              <w:jc w:val="center"/>
              <w:rPr>
                <w:rFonts w:eastAsia="Times New Roman" w:cstheme="minorHAnsi"/>
                <w:lang w:bidi="ar-SA"/>
              </w:rPr>
            </w:pPr>
            <w:r w:rsidRPr="00D54752">
              <w:rPr>
                <w:rFonts w:cstheme="minorHAnsi"/>
              </w:rPr>
              <w:t>95.5%</w:t>
            </w:r>
          </w:p>
        </w:tc>
        <w:tc>
          <w:tcPr>
            <w:tcW w:w="343" w:type="pct"/>
            <w:shd w:val="clear" w:color="000000" w:fill="FFFFFF"/>
            <w:noWrap/>
            <w:vAlign w:val="center"/>
          </w:tcPr>
          <w:p w14:paraId="068CFF3D" w14:textId="77777777" w:rsidR="00AB379C" w:rsidRPr="00D54752" w:rsidRDefault="00AB379C" w:rsidP="007055F6">
            <w:pPr>
              <w:ind w:left="76"/>
              <w:jc w:val="center"/>
              <w:rPr>
                <w:rFonts w:eastAsia="Times New Roman" w:cstheme="minorHAnsi"/>
                <w:lang w:bidi="ar-SA"/>
              </w:rPr>
            </w:pPr>
            <w:r w:rsidRPr="00D54752">
              <w:rPr>
                <w:rFonts w:cstheme="minorHAnsi"/>
              </w:rPr>
              <w:t>92.2%</w:t>
            </w:r>
          </w:p>
        </w:tc>
        <w:tc>
          <w:tcPr>
            <w:tcW w:w="343" w:type="pct"/>
            <w:shd w:val="clear" w:color="000000" w:fill="FFFFFF"/>
            <w:noWrap/>
            <w:vAlign w:val="center"/>
          </w:tcPr>
          <w:p w14:paraId="6A2882A7"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2F29230D" w14:textId="77777777" w:rsidR="00AB379C" w:rsidRPr="00D54752" w:rsidRDefault="00AB379C" w:rsidP="007055F6">
            <w:pPr>
              <w:ind w:left="76"/>
              <w:jc w:val="center"/>
              <w:rPr>
                <w:rFonts w:eastAsia="Times New Roman" w:cstheme="minorHAnsi"/>
                <w:lang w:bidi="ar-SA"/>
              </w:rPr>
            </w:pPr>
            <w:r w:rsidRPr="00D54752">
              <w:rPr>
                <w:rFonts w:cstheme="minorHAnsi"/>
              </w:rPr>
              <w:t>90.5%</w:t>
            </w:r>
          </w:p>
        </w:tc>
        <w:tc>
          <w:tcPr>
            <w:tcW w:w="339" w:type="pct"/>
            <w:shd w:val="clear" w:color="000000" w:fill="FFFFFF"/>
            <w:noWrap/>
            <w:vAlign w:val="center"/>
          </w:tcPr>
          <w:p w14:paraId="58327027"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22057E7B" w14:textId="4B777D52"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0D9B3B5F" w14:textId="77777777" w:rsidTr="003B58F7">
        <w:trPr>
          <w:cantSplit/>
          <w:trHeight w:val="67"/>
        </w:trPr>
        <w:tc>
          <w:tcPr>
            <w:tcW w:w="286" w:type="pct"/>
            <w:shd w:val="clear" w:color="auto" w:fill="FFFFFF" w:themeFill="background1"/>
            <w:vAlign w:val="center"/>
            <w:hideMark/>
          </w:tcPr>
          <w:p w14:paraId="5F6D28E5"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79C6C2B0"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Status—MMR</w:t>
            </w:r>
          </w:p>
        </w:tc>
        <w:tc>
          <w:tcPr>
            <w:tcW w:w="250" w:type="pct"/>
            <w:shd w:val="clear" w:color="000000" w:fill="FFFFFF"/>
            <w:noWrap/>
            <w:vAlign w:val="center"/>
          </w:tcPr>
          <w:p w14:paraId="5927D08C"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67787960" w14:textId="77777777" w:rsidR="00AB379C" w:rsidRPr="00D54752" w:rsidRDefault="00AB379C" w:rsidP="007055F6">
            <w:pPr>
              <w:ind w:left="76"/>
              <w:jc w:val="center"/>
              <w:rPr>
                <w:rFonts w:eastAsia="Times New Roman" w:cstheme="minorHAnsi"/>
                <w:lang w:bidi="ar-SA"/>
              </w:rPr>
            </w:pPr>
            <w:r w:rsidRPr="00D54752">
              <w:rPr>
                <w:rFonts w:cstheme="minorHAnsi"/>
              </w:rPr>
              <w:t>372</w:t>
            </w:r>
          </w:p>
        </w:tc>
        <w:tc>
          <w:tcPr>
            <w:tcW w:w="249" w:type="pct"/>
            <w:shd w:val="clear" w:color="000000" w:fill="FFFFFF"/>
            <w:vAlign w:val="center"/>
          </w:tcPr>
          <w:p w14:paraId="13D55502" w14:textId="77777777" w:rsidR="00AB379C" w:rsidRPr="00D54752" w:rsidRDefault="00AB379C" w:rsidP="007055F6">
            <w:pPr>
              <w:ind w:left="76"/>
              <w:jc w:val="center"/>
              <w:rPr>
                <w:rFonts w:eastAsia="Times New Roman" w:cstheme="minorHAnsi"/>
                <w:b/>
                <w:bCs/>
                <w:lang w:bidi="ar-SA"/>
              </w:rPr>
            </w:pPr>
            <w:r w:rsidRPr="00D54752">
              <w:rPr>
                <w:rFonts w:cstheme="minorHAnsi"/>
                <w:b/>
                <w:bCs/>
              </w:rPr>
              <w:t>90.7%</w:t>
            </w:r>
          </w:p>
        </w:tc>
        <w:tc>
          <w:tcPr>
            <w:tcW w:w="374" w:type="pct"/>
            <w:shd w:val="clear" w:color="000000" w:fill="FFFFFF"/>
            <w:noWrap/>
            <w:vAlign w:val="center"/>
          </w:tcPr>
          <w:p w14:paraId="7A2AEE3D" w14:textId="77777777" w:rsidR="00AB379C" w:rsidRPr="00D54752" w:rsidRDefault="00AB379C" w:rsidP="007055F6">
            <w:pPr>
              <w:ind w:left="76"/>
              <w:jc w:val="center"/>
              <w:rPr>
                <w:rFonts w:eastAsia="Times New Roman" w:cstheme="minorHAnsi"/>
                <w:lang w:bidi="ar-SA"/>
              </w:rPr>
            </w:pPr>
            <w:r w:rsidRPr="00D54752">
              <w:rPr>
                <w:rFonts w:cstheme="minorHAnsi"/>
              </w:rPr>
              <w:t>87.8%</w:t>
            </w:r>
          </w:p>
        </w:tc>
        <w:tc>
          <w:tcPr>
            <w:tcW w:w="406" w:type="pct"/>
            <w:shd w:val="clear" w:color="000000" w:fill="FFFFFF"/>
            <w:noWrap/>
            <w:vAlign w:val="center"/>
          </w:tcPr>
          <w:p w14:paraId="5C02830F" w14:textId="77777777" w:rsidR="00AB379C" w:rsidRPr="00D54752" w:rsidRDefault="00AB379C" w:rsidP="007055F6">
            <w:pPr>
              <w:ind w:left="76"/>
              <w:jc w:val="center"/>
              <w:rPr>
                <w:rFonts w:eastAsia="Times New Roman" w:cstheme="minorHAnsi"/>
                <w:lang w:bidi="ar-SA"/>
              </w:rPr>
            </w:pPr>
            <w:r w:rsidRPr="00D54752">
              <w:rPr>
                <w:rFonts w:cstheme="minorHAnsi"/>
              </w:rPr>
              <w:t>93.7%</w:t>
            </w:r>
          </w:p>
        </w:tc>
        <w:tc>
          <w:tcPr>
            <w:tcW w:w="343" w:type="pct"/>
            <w:shd w:val="clear" w:color="000000" w:fill="FFFFFF"/>
            <w:noWrap/>
            <w:vAlign w:val="center"/>
          </w:tcPr>
          <w:p w14:paraId="676ABBAD" w14:textId="77777777" w:rsidR="00AB379C" w:rsidRPr="00D54752" w:rsidRDefault="00AB379C" w:rsidP="007055F6">
            <w:pPr>
              <w:ind w:left="76"/>
              <w:jc w:val="center"/>
              <w:rPr>
                <w:rFonts w:eastAsia="Times New Roman" w:cstheme="minorHAnsi"/>
                <w:lang w:bidi="ar-SA"/>
              </w:rPr>
            </w:pPr>
            <w:r w:rsidRPr="00D54752">
              <w:rPr>
                <w:rFonts w:cstheme="minorHAnsi"/>
              </w:rPr>
              <w:t>91.7%</w:t>
            </w:r>
          </w:p>
        </w:tc>
        <w:tc>
          <w:tcPr>
            <w:tcW w:w="343" w:type="pct"/>
            <w:shd w:val="clear" w:color="000000" w:fill="FFFFFF"/>
            <w:noWrap/>
            <w:vAlign w:val="center"/>
          </w:tcPr>
          <w:p w14:paraId="04AEC4E7"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3FC4785B" w14:textId="77777777" w:rsidR="00AB379C" w:rsidRPr="00D54752" w:rsidRDefault="00AB379C" w:rsidP="007055F6">
            <w:pPr>
              <w:ind w:left="76"/>
              <w:jc w:val="center"/>
              <w:rPr>
                <w:rFonts w:eastAsia="Times New Roman" w:cstheme="minorHAnsi"/>
                <w:lang w:bidi="ar-SA"/>
              </w:rPr>
            </w:pPr>
            <w:r w:rsidRPr="00D54752">
              <w:rPr>
                <w:rFonts w:cstheme="minorHAnsi"/>
              </w:rPr>
              <w:t>89.3%</w:t>
            </w:r>
          </w:p>
        </w:tc>
        <w:tc>
          <w:tcPr>
            <w:tcW w:w="339" w:type="pct"/>
            <w:shd w:val="clear" w:color="000000" w:fill="FFFFFF"/>
            <w:noWrap/>
            <w:vAlign w:val="center"/>
          </w:tcPr>
          <w:p w14:paraId="6F4A1BDD"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091BE134" w14:textId="6A2E072D"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02BBAD84" w14:textId="77777777" w:rsidTr="003B58F7">
        <w:trPr>
          <w:cantSplit/>
          <w:trHeight w:val="67"/>
        </w:trPr>
        <w:tc>
          <w:tcPr>
            <w:tcW w:w="286" w:type="pct"/>
            <w:shd w:val="clear" w:color="auto" w:fill="FFFFFF" w:themeFill="background1"/>
            <w:vAlign w:val="center"/>
            <w:hideMark/>
          </w:tcPr>
          <w:p w14:paraId="174156D3"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lastRenderedPageBreak/>
              <w:t>HEDIS</w:t>
            </w:r>
          </w:p>
        </w:tc>
        <w:tc>
          <w:tcPr>
            <w:tcW w:w="1341" w:type="pct"/>
            <w:shd w:val="clear" w:color="auto" w:fill="FFFFFF" w:themeFill="background1"/>
            <w:vAlign w:val="center"/>
            <w:hideMark/>
          </w:tcPr>
          <w:p w14:paraId="40AC8FAE"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w:t>
            </w:r>
            <w:proofErr w:type="spellStart"/>
            <w:r w:rsidRPr="00D54752">
              <w:rPr>
                <w:rFonts w:eastAsia="Times New Roman" w:cstheme="minorHAnsi"/>
                <w:lang w:bidi="ar-SA"/>
              </w:rPr>
              <w:t>HiB</w:t>
            </w:r>
            <w:proofErr w:type="spellEnd"/>
          </w:p>
        </w:tc>
        <w:tc>
          <w:tcPr>
            <w:tcW w:w="250" w:type="pct"/>
            <w:shd w:val="clear" w:color="000000" w:fill="FFFFFF"/>
            <w:noWrap/>
            <w:vAlign w:val="center"/>
          </w:tcPr>
          <w:p w14:paraId="3710D470"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1BB29871" w14:textId="77777777" w:rsidR="00AB379C" w:rsidRPr="00D54752" w:rsidRDefault="00AB379C" w:rsidP="007055F6">
            <w:pPr>
              <w:ind w:left="76"/>
              <w:jc w:val="center"/>
              <w:rPr>
                <w:rFonts w:eastAsia="Times New Roman" w:cstheme="minorHAnsi"/>
                <w:lang w:bidi="ar-SA"/>
              </w:rPr>
            </w:pPr>
            <w:r w:rsidRPr="00D54752">
              <w:rPr>
                <w:rFonts w:cstheme="minorHAnsi"/>
              </w:rPr>
              <w:t>381</w:t>
            </w:r>
          </w:p>
        </w:tc>
        <w:tc>
          <w:tcPr>
            <w:tcW w:w="249" w:type="pct"/>
            <w:shd w:val="clear" w:color="000000" w:fill="FFFFFF"/>
            <w:vAlign w:val="center"/>
          </w:tcPr>
          <w:p w14:paraId="2D8EF308" w14:textId="77777777" w:rsidR="00AB379C" w:rsidRPr="00D54752" w:rsidRDefault="00AB379C" w:rsidP="007055F6">
            <w:pPr>
              <w:ind w:left="76"/>
              <w:jc w:val="center"/>
              <w:rPr>
                <w:rFonts w:eastAsia="Times New Roman" w:cstheme="minorHAnsi"/>
                <w:b/>
                <w:bCs/>
                <w:lang w:bidi="ar-SA"/>
              </w:rPr>
            </w:pPr>
            <w:r w:rsidRPr="00D54752">
              <w:rPr>
                <w:rFonts w:cstheme="minorHAnsi"/>
                <w:b/>
                <w:bCs/>
              </w:rPr>
              <w:t>92.9%</w:t>
            </w:r>
          </w:p>
        </w:tc>
        <w:tc>
          <w:tcPr>
            <w:tcW w:w="374" w:type="pct"/>
            <w:shd w:val="clear" w:color="000000" w:fill="FFFFFF"/>
            <w:noWrap/>
            <w:vAlign w:val="center"/>
          </w:tcPr>
          <w:p w14:paraId="600E346C" w14:textId="77777777" w:rsidR="00AB379C" w:rsidRPr="00D54752" w:rsidRDefault="00AB379C" w:rsidP="007055F6">
            <w:pPr>
              <w:ind w:left="76"/>
              <w:jc w:val="center"/>
              <w:rPr>
                <w:rFonts w:eastAsia="Times New Roman" w:cstheme="minorHAnsi"/>
                <w:lang w:bidi="ar-SA"/>
              </w:rPr>
            </w:pPr>
            <w:r w:rsidRPr="00D54752">
              <w:rPr>
                <w:rFonts w:cstheme="minorHAnsi"/>
              </w:rPr>
              <w:t>90.3%</w:t>
            </w:r>
          </w:p>
        </w:tc>
        <w:tc>
          <w:tcPr>
            <w:tcW w:w="406" w:type="pct"/>
            <w:shd w:val="clear" w:color="000000" w:fill="FFFFFF"/>
            <w:noWrap/>
            <w:vAlign w:val="center"/>
          </w:tcPr>
          <w:p w14:paraId="1BFE0E1F" w14:textId="77777777" w:rsidR="00AB379C" w:rsidRPr="00D54752" w:rsidRDefault="00AB379C" w:rsidP="007055F6">
            <w:pPr>
              <w:ind w:left="76"/>
              <w:jc w:val="center"/>
              <w:rPr>
                <w:rFonts w:eastAsia="Times New Roman" w:cstheme="minorHAnsi"/>
                <w:lang w:bidi="ar-SA"/>
              </w:rPr>
            </w:pPr>
            <w:r w:rsidRPr="00D54752">
              <w:rPr>
                <w:rFonts w:cstheme="minorHAnsi"/>
              </w:rPr>
              <w:t>95.5%</w:t>
            </w:r>
          </w:p>
        </w:tc>
        <w:tc>
          <w:tcPr>
            <w:tcW w:w="343" w:type="pct"/>
            <w:shd w:val="clear" w:color="000000" w:fill="FFFFFF"/>
            <w:noWrap/>
            <w:vAlign w:val="center"/>
          </w:tcPr>
          <w:p w14:paraId="7C706A8A" w14:textId="77777777" w:rsidR="00AB379C" w:rsidRPr="00D54752" w:rsidRDefault="00AB379C" w:rsidP="007055F6">
            <w:pPr>
              <w:ind w:left="76"/>
              <w:jc w:val="center"/>
              <w:rPr>
                <w:rFonts w:eastAsia="Times New Roman" w:cstheme="minorHAnsi"/>
                <w:lang w:bidi="ar-SA"/>
              </w:rPr>
            </w:pPr>
            <w:r w:rsidRPr="00D54752">
              <w:rPr>
                <w:rFonts w:cstheme="minorHAnsi"/>
              </w:rPr>
              <w:t>92.9%</w:t>
            </w:r>
          </w:p>
        </w:tc>
        <w:tc>
          <w:tcPr>
            <w:tcW w:w="343" w:type="pct"/>
            <w:shd w:val="clear" w:color="000000" w:fill="FFFFFF"/>
            <w:noWrap/>
            <w:vAlign w:val="center"/>
          </w:tcPr>
          <w:p w14:paraId="7FB42192"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3C78DE8B" w14:textId="77777777" w:rsidR="00AB379C" w:rsidRPr="00D54752" w:rsidRDefault="00AB379C" w:rsidP="007055F6">
            <w:pPr>
              <w:ind w:left="76"/>
              <w:jc w:val="center"/>
              <w:rPr>
                <w:rFonts w:eastAsia="Times New Roman" w:cstheme="minorHAnsi"/>
                <w:lang w:bidi="ar-SA"/>
              </w:rPr>
            </w:pPr>
            <w:r w:rsidRPr="00D54752">
              <w:rPr>
                <w:rFonts w:cstheme="minorHAnsi"/>
              </w:rPr>
              <w:t>90.5%</w:t>
            </w:r>
          </w:p>
        </w:tc>
        <w:tc>
          <w:tcPr>
            <w:tcW w:w="339" w:type="pct"/>
            <w:shd w:val="clear" w:color="000000" w:fill="FFFFFF"/>
            <w:noWrap/>
            <w:vAlign w:val="center"/>
          </w:tcPr>
          <w:p w14:paraId="03FE41C2"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4C2D58FD" w14:textId="6D24ADB1"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32C40827" w14:textId="77777777" w:rsidTr="003B58F7">
        <w:trPr>
          <w:cantSplit/>
          <w:trHeight w:val="67"/>
        </w:trPr>
        <w:tc>
          <w:tcPr>
            <w:tcW w:w="286" w:type="pct"/>
            <w:shd w:val="clear" w:color="auto" w:fill="FFFFFF" w:themeFill="background1"/>
            <w:vAlign w:val="center"/>
            <w:hideMark/>
          </w:tcPr>
          <w:p w14:paraId="74FC5EFE"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10D51F67"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Status—Hepatitis B</w:t>
            </w:r>
          </w:p>
        </w:tc>
        <w:tc>
          <w:tcPr>
            <w:tcW w:w="250" w:type="pct"/>
            <w:shd w:val="clear" w:color="000000" w:fill="FFFFFF"/>
            <w:noWrap/>
            <w:vAlign w:val="center"/>
          </w:tcPr>
          <w:p w14:paraId="5B2276D3"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543576A2" w14:textId="77777777" w:rsidR="00AB379C" w:rsidRPr="00D54752" w:rsidRDefault="00AB379C" w:rsidP="007055F6">
            <w:pPr>
              <w:ind w:left="76"/>
              <w:jc w:val="center"/>
              <w:rPr>
                <w:rFonts w:eastAsia="Times New Roman" w:cstheme="minorHAnsi"/>
                <w:lang w:bidi="ar-SA"/>
              </w:rPr>
            </w:pPr>
            <w:r w:rsidRPr="00D54752">
              <w:rPr>
                <w:rFonts w:cstheme="minorHAnsi"/>
              </w:rPr>
              <w:t>376</w:t>
            </w:r>
          </w:p>
        </w:tc>
        <w:tc>
          <w:tcPr>
            <w:tcW w:w="249" w:type="pct"/>
            <w:shd w:val="clear" w:color="000000" w:fill="FFFFFF"/>
            <w:vAlign w:val="center"/>
          </w:tcPr>
          <w:p w14:paraId="221519F7" w14:textId="77777777" w:rsidR="00AB379C" w:rsidRPr="00D54752" w:rsidRDefault="00AB379C" w:rsidP="007055F6">
            <w:pPr>
              <w:ind w:left="76"/>
              <w:jc w:val="center"/>
              <w:rPr>
                <w:rFonts w:eastAsia="Times New Roman" w:cstheme="minorHAnsi"/>
                <w:b/>
                <w:bCs/>
                <w:lang w:bidi="ar-SA"/>
              </w:rPr>
            </w:pPr>
            <w:r w:rsidRPr="00D54752">
              <w:rPr>
                <w:rFonts w:cstheme="minorHAnsi"/>
                <w:b/>
                <w:bCs/>
              </w:rPr>
              <w:t>91.7%</w:t>
            </w:r>
          </w:p>
        </w:tc>
        <w:tc>
          <w:tcPr>
            <w:tcW w:w="374" w:type="pct"/>
            <w:shd w:val="clear" w:color="000000" w:fill="FFFFFF"/>
            <w:noWrap/>
            <w:vAlign w:val="center"/>
          </w:tcPr>
          <w:p w14:paraId="1E91EEE6" w14:textId="77777777" w:rsidR="00AB379C" w:rsidRPr="00D54752" w:rsidRDefault="00AB379C" w:rsidP="007055F6">
            <w:pPr>
              <w:ind w:left="76"/>
              <w:jc w:val="center"/>
              <w:rPr>
                <w:rFonts w:eastAsia="Times New Roman" w:cstheme="minorHAnsi"/>
                <w:lang w:bidi="ar-SA"/>
              </w:rPr>
            </w:pPr>
            <w:r w:rsidRPr="00D54752">
              <w:rPr>
                <w:rFonts w:cstheme="minorHAnsi"/>
              </w:rPr>
              <w:t>88.9%</w:t>
            </w:r>
          </w:p>
        </w:tc>
        <w:tc>
          <w:tcPr>
            <w:tcW w:w="406" w:type="pct"/>
            <w:shd w:val="clear" w:color="000000" w:fill="FFFFFF"/>
            <w:noWrap/>
            <w:vAlign w:val="center"/>
          </w:tcPr>
          <w:p w14:paraId="5F86C30C" w14:textId="77777777" w:rsidR="00AB379C" w:rsidRPr="00D54752" w:rsidRDefault="00AB379C" w:rsidP="007055F6">
            <w:pPr>
              <w:ind w:left="76"/>
              <w:jc w:val="center"/>
              <w:rPr>
                <w:rFonts w:eastAsia="Times New Roman" w:cstheme="minorHAnsi"/>
                <w:lang w:bidi="ar-SA"/>
              </w:rPr>
            </w:pPr>
            <w:r w:rsidRPr="00D54752">
              <w:rPr>
                <w:rFonts w:cstheme="minorHAnsi"/>
              </w:rPr>
              <w:t>94.5%</w:t>
            </w:r>
          </w:p>
        </w:tc>
        <w:tc>
          <w:tcPr>
            <w:tcW w:w="343" w:type="pct"/>
            <w:shd w:val="clear" w:color="000000" w:fill="FFFFFF"/>
            <w:noWrap/>
            <w:vAlign w:val="center"/>
          </w:tcPr>
          <w:p w14:paraId="4FF586DD" w14:textId="77777777" w:rsidR="00AB379C" w:rsidRPr="00D54752" w:rsidRDefault="00AB379C" w:rsidP="007055F6">
            <w:pPr>
              <w:ind w:left="76"/>
              <w:jc w:val="center"/>
              <w:rPr>
                <w:rFonts w:eastAsia="Times New Roman" w:cstheme="minorHAnsi"/>
                <w:lang w:bidi="ar-SA"/>
              </w:rPr>
            </w:pPr>
            <w:r w:rsidRPr="00D54752">
              <w:rPr>
                <w:rFonts w:cstheme="minorHAnsi"/>
              </w:rPr>
              <w:t>93.2%</w:t>
            </w:r>
          </w:p>
        </w:tc>
        <w:tc>
          <w:tcPr>
            <w:tcW w:w="343" w:type="pct"/>
            <w:shd w:val="clear" w:color="000000" w:fill="FFFFFF"/>
            <w:noWrap/>
            <w:vAlign w:val="center"/>
          </w:tcPr>
          <w:p w14:paraId="1943AE85"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548ADCD0" w14:textId="77777777" w:rsidR="00AB379C" w:rsidRPr="00D54752" w:rsidRDefault="00AB379C" w:rsidP="007055F6">
            <w:pPr>
              <w:ind w:left="76"/>
              <w:jc w:val="center"/>
              <w:rPr>
                <w:rFonts w:eastAsia="Times New Roman" w:cstheme="minorHAnsi"/>
                <w:lang w:bidi="ar-SA"/>
              </w:rPr>
            </w:pPr>
            <w:r w:rsidRPr="00D54752">
              <w:rPr>
                <w:rFonts w:cstheme="minorHAnsi"/>
              </w:rPr>
              <w:t>89.1%</w:t>
            </w:r>
          </w:p>
        </w:tc>
        <w:tc>
          <w:tcPr>
            <w:tcW w:w="339" w:type="pct"/>
            <w:shd w:val="clear" w:color="000000" w:fill="FFFFFF"/>
            <w:noWrap/>
            <w:vAlign w:val="center"/>
          </w:tcPr>
          <w:p w14:paraId="6E45EFC0"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0C0B90F0" w14:textId="2D079602"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5E09AF3D" w14:textId="77777777" w:rsidTr="003B58F7">
        <w:trPr>
          <w:cantSplit/>
          <w:trHeight w:val="67"/>
        </w:trPr>
        <w:tc>
          <w:tcPr>
            <w:tcW w:w="286" w:type="pct"/>
            <w:shd w:val="clear" w:color="auto" w:fill="FFFFFF" w:themeFill="background1"/>
            <w:vAlign w:val="center"/>
            <w:hideMark/>
          </w:tcPr>
          <w:p w14:paraId="25798627"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421C52AC"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Status—VZV</w:t>
            </w:r>
          </w:p>
        </w:tc>
        <w:tc>
          <w:tcPr>
            <w:tcW w:w="250" w:type="pct"/>
            <w:shd w:val="clear" w:color="000000" w:fill="FFFFFF"/>
            <w:noWrap/>
            <w:vAlign w:val="center"/>
          </w:tcPr>
          <w:p w14:paraId="539C556B"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2F85C7E8" w14:textId="77777777" w:rsidR="00AB379C" w:rsidRPr="00D54752" w:rsidRDefault="00AB379C" w:rsidP="007055F6">
            <w:pPr>
              <w:ind w:left="76"/>
              <w:jc w:val="center"/>
              <w:rPr>
                <w:rFonts w:eastAsia="Times New Roman" w:cstheme="minorHAnsi"/>
                <w:lang w:bidi="ar-SA"/>
              </w:rPr>
            </w:pPr>
            <w:r w:rsidRPr="00D54752">
              <w:rPr>
                <w:rFonts w:cstheme="minorHAnsi"/>
              </w:rPr>
              <w:t>378</w:t>
            </w:r>
          </w:p>
        </w:tc>
        <w:tc>
          <w:tcPr>
            <w:tcW w:w="249" w:type="pct"/>
            <w:shd w:val="clear" w:color="000000" w:fill="FFFFFF"/>
            <w:vAlign w:val="center"/>
          </w:tcPr>
          <w:p w14:paraId="3A52E78C" w14:textId="77777777" w:rsidR="00AB379C" w:rsidRPr="00D54752" w:rsidRDefault="00AB379C" w:rsidP="007055F6">
            <w:pPr>
              <w:ind w:left="76"/>
              <w:jc w:val="center"/>
              <w:rPr>
                <w:rFonts w:eastAsia="Times New Roman" w:cstheme="minorHAnsi"/>
                <w:b/>
                <w:bCs/>
                <w:lang w:bidi="ar-SA"/>
              </w:rPr>
            </w:pPr>
            <w:r w:rsidRPr="00D54752">
              <w:rPr>
                <w:rFonts w:cstheme="minorHAnsi"/>
                <w:b/>
                <w:bCs/>
              </w:rPr>
              <w:t>92.2%</w:t>
            </w:r>
          </w:p>
        </w:tc>
        <w:tc>
          <w:tcPr>
            <w:tcW w:w="374" w:type="pct"/>
            <w:shd w:val="clear" w:color="000000" w:fill="FFFFFF"/>
            <w:noWrap/>
            <w:vAlign w:val="center"/>
          </w:tcPr>
          <w:p w14:paraId="1989BEA7" w14:textId="77777777" w:rsidR="00AB379C" w:rsidRPr="00D54752" w:rsidRDefault="00AB379C" w:rsidP="007055F6">
            <w:pPr>
              <w:ind w:left="76"/>
              <w:jc w:val="center"/>
              <w:rPr>
                <w:rFonts w:eastAsia="Times New Roman" w:cstheme="minorHAnsi"/>
                <w:lang w:bidi="ar-SA"/>
              </w:rPr>
            </w:pPr>
            <w:r w:rsidRPr="00D54752">
              <w:rPr>
                <w:rFonts w:cstheme="minorHAnsi"/>
              </w:rPr>
              <w:t>89.5%</w:t>
            </w:r>
          </w:p>
        </w:tc>
        <w:tc>
          <w:tcPr>
            <w:tcW w:w="406" w:type="pct"/>
            <w:shd w:val="clear" w:color="000000" w:fill="FFFFFF"/>
            <w:noWrap/>
            <w:vAlign w:val="center"/>
          </w:tcPr>
          <w:p w14:paraId="5463C982" w14:textId="77777777" w:rsidR="00AB379C" w:rsidRPr="00D54752" w:rsidRDefault="00AB379C" w:rsidP="007055F6">
            <w:pPr>
              <w:ind w:left="76"/>
              <w:jc w:val="center"/>
              <w:rPr>
                <w:rFonts w:eastAsia="Times New Roman" w:cstheme="minorHAnsi"/>
                <w:lang w:bidi="ar-SA"/>
              </w:rPr>
            </w:pPr>
            <w:r w:rsidRPr="00D54752">
              <w:rPr>
                <w:rFonts w:cstheme="minorHAnsi"/>
              </w:rPr>
              <w:t>94.9%</w:t>
            </w:r>
          </w:p>
        </w:tc>
        <w:tc>
          <w:tcPr>
            <w:tcW w:w="343" w:type="pct"/>
            <w:shd w:val="clear" w:color="000000" w:fill="FFFFFF"/>
            <w:noWrap/>
            <w:vAlign w:val="center"/>
          </w:tcPr>
          <w:p w14:paraId="13366CF3" w14:textId="77777777" w:rsidR="00AB379C" w:rsidRPr="00D54752" w:rsidRDefault="00AB379C" w:rsidP="007055F6">
            <w:pPr>
              <w:ind w:left="76"/>
              <w:jc w:val="center"/>
              <w:rPr>
                <w:rFonts w:eastAsia="Times New Roman" w:cstheme="minorHAnsi"/>
                <w:lang w:bidi="ar-SA"/>
              </w:rPr>
            </w:pPr>
            <w:r w:rsidRPr="00D54752">
              <w:rPr>
                <w:rFonts w:cstheme="minorHAnsi"/>
              </w:rPr>
              <w:t>91.5%</w:t>
            </w:r>
          </w:p>
        </w:tc>
        <w:tc>
          <w:tcPr>
            <w:tcW w:w="343" w:type="pct"/>
            <w:shd w:val="clear" w:color="000000" w:fill="FFFFFF"/>
            <w:noWrap/>
            <w:vAlign w:val="center"/>
          </w:tcPr>
          <w:p w14:paraId="29FE6F42"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20FF0DAC" w14:textId="77777777" w:rsidR="00AB379C" w:rsidRPr="00D54752" w:rsidRDefault="00AB379C" w:rsidP="007055F6">
            <w:pPr>
              <w:ind w:left="76"/>
              <w:jc w:val="center"/>
              <w:rPr>
                <w:rFonts w:eastAsia="Times New Roman" w:cstheme="minorHAnsi"/>
                <w:lang w:bidi="ar-SA"/>
              </w:rPr>
            </w:pPr>
            <w:r w:rsidRPr="00D54752">
              <w:rPr>
                <w:rFonts w:cstheme="minorHAnsi"/>
              </w:rPr>
              <w:t>89.5%</w:t>
            </w:r>
          </w:p>
        </w:tc>
        <w:tc>
          <w:tcPr>
            <w:tcW w:w="339" w:type="pct"/>
            <w:shd w:val="clear" w:color="000000" w:fill="FFFFFF"/>
            <w:noWrap/>
            <w:vAlign w:val="center"/>
          </w:tcPr>
          <w:p w14:paraId="73BC3907"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16E4AE91" w14:textId="3EDBDBE5"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169C9009" w14:textId="77777777" w:rsidTr="003B58F7">
        <w:trPr>
          <w:cantSplit/>
          <w:trHeight w:val="67"/>
        </w:trPr>
        <w:tc>
          <w:tcPr>
            <w:tcW w:w="286" w:type="pct"/>
            <w:shd w:val="clear" w:color="auto" w:fill="FFFFFF" w:themeFill="background1"/>
            <w:vAlign w:val="center"/>
            <w:hideMark/>
          </w:tcPr>
          <w:p w14:paraId="3494AAB3"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46657250"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Status—Pneumococcal Conjugate</w:t>
            </w:r>
          </w:p>
        </w:tc>
        <w:tc>
          <w:tcPr>
            <w:tcW w:w="250" w:type="pct"/>
            <w:shd w:val="clear" w:color="000000" w:fill="FFFFFF"/>
            <w:noWrap/>
            <w:vAlign w:val="center"/>
          </w:tcPr>
          <w:p w14:paraId="3CDF465F"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5C9B8626" w14:textId="77777777" w:rsidR="00AB379C" w:rsidRPr="00D54752" w:rsidRDefault="00AB379C" w:rsidP="007055F6">
            <w:pPr>
              <w:ind w:left="76"/>
              <w:jc w:val="center"/>
              <w:rPr>
                <w:rFonts w:eastAsia="Times New Roman" w:cstheme="minorHAnsi"/>
                <w:lang w:bidi="ar-SA"/>
              </w:rPr>
            </w:pPr>
            <w:r w:rsidRPr="00D54752">
              <w:rPr>
                <w:rFonts w:cstheme="minorHAnsi"/>
              </w:rPr>
              <w:t>360</w:t>
            </w:r>
          </w:p>
        </w:tc>
        <w:tc>
          <w:tcPr>
            <w:tcW w:w="249" w:type="pct"/>
            <w:shd w:val="clear" w:color="000000" w:fill="FFFFFF"/>
            <w:vAlign w:val="center"/>
          </w:tcPr>
          <w:p w14:paraId="55763F43" w14:textId="77777777" w:rsidR="00AB379C" w:rsidRPr="00D54752" w:rsidRDefault="00AB379C" w:rsidP="007055F6">
            <w:pPr>
              <w:ind w:left="76"/>
              <w:jc w:val="center"/>
              <w:rPr>
                <w:rFonts w:eastAsia="Times New Roman" w:cstheme="minorHAnsi"/>
                <w:b/>
                <w:bCs/>
                <w:lang w:bidi="ar-SA"/>
              </w:rPr>
            </w:pPr>
            <w:r w:rsidRPr="00D54752">
              <w:rPr>
                <w:rFonts w:cstheme="minorHAnsi"/>
                <w:b/>
                <w:bCs/>
              </w:rPr>
              <w:t>87.8%</w:t>
            </w:r>
          </w:p>
        </w:tc>
        <w:tc>
          <w:tcPr>
            <w:tcW w:w="374" w:type="pct"/>
            <w:shd w:val="clear" w:color="000000" w:fill="FFFFFF"/>
            <w:noWrap/>
            <w:vAlign w:val="center"/>
          </w:tcPr>
          <w:p w14:paraId="3465D6EA" w14:textId="77777777" w:rsidR="00AB379C" w:rsidRPr="00D54752" w:rsidRDefault="00AB379C" w:rsidP="007055F6">
            <w:pPr>
              <w:ind w:left="76"/>
              <w:jc w:val="center"/>
              <w:rPr>
                <w:rFonts w:eastAsia="Times New Roman" w:cstheme="minorHAnsi"/>
                <w:lang w:bidi="ar-SA"/>
              </w:rPr>
            </w:pPr>
            <w:r w:rsidRPr="00D54752">
              <w:rPr>
                <w:rFonts w:cstheme="minorHAnsi"/>
              </w:rPr>
              <w:t>84.5%</w:t>
            </w:r>
          </w:p>
        </w:tc>
        <w:tc>
          <w:tcPr>
            <w:tcW w:w="406" w:type="pct"/>
            <w:shd w:val="clear" w:color="000000" w:fill="FFFFFF"/>
            <w:noWrap/>
            <w:vAlign w:val="center"/>
          </w:tcPr>
          <w:p w14:paraId="41F2A639" w14:textId="77777777" w:rsidR="00AB379C" w:rsidRPr="00D54752" w:rsidRDefault="00AB379C" w:rsidP="007055F6">
            <w:pPr>
              <w:ind w:left="76"/>
              <w:jc w:val="center"/>
              <w:rPr>
                <w:rFonts w:eastAsia="Times New Roman" w:cstheme="minorHAnsi"/>
                <w:lang w:bidi="ar-SA"/>
              </w:rPr>
            </w:pPr>
            <w:r w:rsidRPr="00D54752">
              <w:rPr>
                <w:rFonts w:cstheme="minorHAnsi"/>
              </w:rPr>
              <w:t>91.1%</w:t>
            </w:r>
          </w:p>
        </w:tc>
        <w:tc>
          <w:tcPr>
            <w:tcW w:w="343" w:type="pct"/>
            <w:shd w:val="clear" w:color="000000" w:fill="FFFFFF"/>
            <w:noWrap/>
            <w:vAlign w:val="center"/>
          </w:tcPr>
          <w:p w14:paraId="14DFC309" w14:textId="77777777" w:rsidR="00AB379C" w:rsidRPr="00D54752" w:rsidRDefault="00AB379C" w:rsidP="007055F6">
            <w:pPr>
              <w:ind w:left="76"/>
              <w:jc w:val="center"/>
              <w:rPr>
                <w:rFonts w:eastAsia="Times New Roman" w:cstheme="minorHAnsi"/>
                <w:lang w:bidi="ar-SA"/>
              </w:rPr>
            </w:pPr>
            <w:r w:rsidRPr="00D54752">
              <w:rPr>
                <w:rFonts w:cstheme="minorHAnsi"/>
              </w:rPr>
              <w:t>89.8%</w:t>
            </w:r>
          </w:p>
        </w:tc>
        <w:tc>
          <w:tcPr>
            <w:tcW w:w="343" w:type="pct"/>
            <w:shd w:val="clear" w:color="000000" w:fill="FFFFFF"/>
            <w:noWrap/>
            <w:vAlign w:val="center"/>
          </w:tcPr>
          <w:p w14:paraId="6749DA14"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174018BF" w14:textId="77777777" w:rsidR="00AB379C" w:rsidRPr="00D54752" w:rsidRDefault="00AB379C" w:rsidP="007055F6">
            <w:pPr>
              <w:ind w:left="76"/>
              <w:jc w:val="center"/>
              <w:rPr>
                <w:rFonts w:eastAsia="Times New Roman" w:cstheme="minorHAnsi"/>
                <w:lang w:bidi="ar-SA"/>
              </w:rPr>
            </w:pPr>
            <w:r w:rsidRPr="00D54752">
              <w:rPr>
                <w:rFonts w:cstheme="minorHAnsi"/>
              </w:rPr>
              <w:t>85.1%</w:t>
            </w:r>
          </w:p>
        </w:tc>
        <w:tc>
          <w:tcPr>
            <w:tcW w:w="339" w:type="pct"/>
            <w:shd w:val="clear" w:color="000000" w:fill="FFFFFF"/>
            <w:noWrap/>
            <w:vAlign w:val="center"/>
          </w:tcPr>
          <w:p w14:paraId="110204F2"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15847C2D" w14:textId="0B1FFF3F"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7C27F39E" w14:textId="77777777" w:rsidTr="003B58F7">
        <w:trPr>
          <w:cantSplit/>
          <w:trHeight w:val="67"/>
        </w:trPr>
        <w:tc>
          <w:tcPr>
            <w:tcW w:w="286" w:type="pct"/>
            <w:shd w:val="clear" w:color="auto" w:fill="FFFFFF" w:themeFill="background1"/>
            <w:vAlign w:val="center"/>
            <w:hideMark/>
          </w:tcPr>
          <w:p w14:paraId="0F4E59E7"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4BDBA1F9"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Status—Hepatitis A</w:t>
            </w:r>
          </w:p>
        </w:tc>
        <w:tc>
          <w:tcPr>
            <w:tcW w:w="250" w:type="pct"/>
            <w:shd w:val="clear" w:color="000000" w:fill="FFFFFF"/>
            <w:noWrap/>
            <w:vAlign w:val="center"/>
          </w:tcPr>
          <w:p w14:paraId="43E1A9FE"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43435BA0" w14:textId="77777777" w:rsidR="00AB379C" w:rsidRPr="00D54752" w:rsidRDefault="00AB379C" w:rsidP="007055F6">
            <w:pPr>
              <w:ind w:left="76"/>
              <w:jc w:val="center"/>
              <w:rPr>
                <w:rFonts w:eastAsia="Times New Roman" w:cstheme="minorHAnsi"/>
                <w:lang w:bidi="ar-SA"/>
              </w:rPr>
            </w:pPr>
            <w:r w:rsidRPr="00D54752">
              <w:rPr>
                <w:rFonts w:cstheme="minorHAnsi"/>
              </w:rPr>
              <w:t>362</w:t>
            </w:r>
          </w:p>
        </w:tc>
        <w:tc>
          <w:tcPr>
            <w:tcW w:w="249" w:type="pct"/>
            <w:shd w:val="clear" w:color="000000" w:fill="FFFFFF"/>
            <w:vAlign w:val="center"/>
          </w:tcPr>
          <w:p w14:paraId="0A1EE79D" w14:textId="77777777" w:rsidR="00AB379C" w:rsidRPr="00D54752" w:rsidRDefault="00AB379C" w:rsidP="007055F6">
            <w:pPr>
              <w:ind w:left="76"/>
              <w:jc w:val="center"/>
              <w:rPr>
                <w:rFonts w:eastAsia="Times New Roman" w:cstheme="minorHAnsi"/>
                <w:b/>
                <w:bCs/>
                <w:lang w:bidi="ar-SA"/>
              </w:rPr>
            </w:pPr>
            <w:r w:rsidRPr="00D54752">
              <w:rPr>
                <w:rFonts w:cstheme="minorHAnsi"/>
                <w:b/>
                <w:bCs/>
              </w:rPr>
              <w:t>88.3%</w:t>
            </w:r>
          </w:p>
        </w:tc>
        <w:tc>
          <w:tcPr>
            <w:tcW w:w="374" w:type="pct"/>
            <w:shd w:val="clear" w:color="000000" w:fill="FFFFFF"/>
            <w:noWrap/>
            <w:vAlign w:val="center"/>
          </w:tcPr>
          <w:p w14:paraId="5EA82762" w14:textId="77777777" w:rsidR="00AB379C" w:rsidRPr="00D54752" w:rsidRDefault="00AB379C" w:rsidP="007055F6">
            <w:pPr>
              <w:ind w:left="76"/>
              <w:jc w:val="center"/>
              <w:rPr>
                <w:rFonts w:eastAsia="Times New Roman" w:cstheme="minorHAnsi"/>
                <w:lang w:bidi="ar-SA"/>
              </w:rPr>
            </w:pPr>
            <w:r w:rsidRPr="00D54752">
              <w:rPr>
                <w:rFonts w:cstheme="minorHAnsi"/>
              </w:rPr>
              <w:t>85.1%</w:t>
            </w:r>
          </w:p>
        </w:tc>
        <w:tc>
          <w:tcPr>
            <w:tcW w:w="406" w:type="pct"/>
            <w:shd w:val="clear" w:color="000000" w:fill="FFFFFF"/>
            <w:noWrap/>
            <w:vAlign w:val="center"/>
          </w:tcPr>
          <w:p w14:paraId="73FBC107" w14:textId="77777777" w:rsidR="00AB379C" w:rsidRPr="00D54752" w:rsidRDefault="00AB379C" w:rsidP="007055F6">
            <w:pPr>
              <w:ind w:left="76"/>
              <w:jc w:val="center"/>
              <w:rPr>
                <w:rFonts w:eastAsia="Times New Roman" w:cstheme="minorHAnsi"/>
                <w:lang w:bidi="ar-SA"/>
              </w:rPr>
            </w:pPr>
            <w:r w:rsidRPr="00D54752">
              <w:rPr>
                <w:rFonts w:cstheme="minorHAnsi"/>
              </w:rPr>
              <w:t>91.5%</w:t>
            </w:r>
          </w:p>
        </w:tc>
        <w:tc>
          <w:tcPr>
            <w:tcW w:w="343" w:type="pct"/>
            <w:shd w:val="clear" w:color="000000" w:fill="FFFFFF"/>
            <w:noWrap/>
            <w:vAlign w:val="center"/>
          </w:tcPr>
          <w:p w14:paraId="1C290F00" w14:textId="77777777" w:rsidR="00AB379C" w:rsidRPr="00D54752" w:rsidRDefault="00AB379C" w:rsidP="007055F6">
            <w:pPr>
              <w:ind w:left="76"/>
              <w:jc w:val="center"/>
              <w:rPr>
                <w:rFonts w:eastAsia="Times New Roman" w:cstheme="minorHAnsi"/>
                <w:lang w:bidi="ar-SA"/>
              </w:rPr>
            </w:pPr>
            <w:r w:rsidRPr="00D54752">
              <w:rPr>
                <w:rFonts w:cstheme="minorHAnsi"/>
              </w:rPr>
              <w:t>90.5%</w:t>
            </w:r>
          </w:p>
        </w:tc>
        <w:tc>
          <w:tcPr>
            <w:tcW w:w="343" w:type="pct"/>
            <w:shd w:val="clear" w:color="000000" w:fill="FFFFFF"/>
            <w:noWrap/>
            <w:vAlign w:val="center"/>
          </w:tcPr>
          <w:p w14:paraId="6E312460"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6E4D6B9C" w14:textId="77777777" w:rsidR="00AB379C" w:rsidRPr="00D54752" w:rsidRDefault="00AB379C" w:rsidP="007055F6">
            <w:pPr>
              <w:ind w:left="76"/>
              <w:jc w:val="center"/>
              <w:rPr>
                <w:rFonts w:eastAsia="Times New Roman" w:cstheme="minorHAnsi"/>
                <w:lang w:bidi="ar-SA"/>
              </w:rPr>
            </w:pPr>
            <w:r w:rsidRPr="00D54752">
              <w:rPr>
                <w:rFonts w:cstheme="minorHAnsi"/>
              </w:rPr>
              <w:t>86.2%</w:t>
            </w:r>
          </w:p>
        </w:tc>
        <w:tc>
          <w:tcPr>
            <w:tcW w:w="339" w:type="pct"/>
            <w:shd w:val="clear" w:color="000000" w:fill="FFFFFF"/>
            <w:noWrap/>
            <w:vAlign w:val="center"/>
          </w:tcPr>
          <w:p w14:paraId="2B263FE0"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756D461E" w14:textId="58F1202B"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50A12259" w14:textId="77777777" w:rsidTr="003B58F7">
        <w:trPr>
          <w:cantSplit/>
          <w:trHeight w:val="142"/>
        </w:trPr>
        <w:tc>
          <w:tcPr>
            <w:tcW w:w="286" w:type="pct"/>
            <w:shd w:val="clear" w:color="auto" w:fill="FFFFFF" w:themeFill="background1"/>
            <w:vAlign w:val="center"/>
            <w:hideMark/>
          </w:tcPr>
          <w:p w14:paraId="23B9E505"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2D93A498"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Status—Rotavirus</w:t>
            </w:r>
          </w:p>
        </w:tc>
        <w:tc>
          <w:tcPr>
            <w:tcW w:w="250" w:type="pct"/>
            <w:shd w:val="clear" w:color="000000" w:fill="FFFFFF"/>
            <w:noWrap/>
            <w:vAlign w:val="center"/>
          </w:tcPr>
          <w:p w14:paraId="141E2267"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631A9252" w14:textId="77777777" w:rsidR="00AB379C" w:rsidRPr="00D54752" w:rsidRDefault="00AB379C" w:rsidP="007055F6">
            <w:pPr>
              <w:ind w:left="76"/>
              <w:jc w:val="center"/>
              <w:rPr>
                <w:rFonts w:eastAsia="Times New Roman" w:cstheme="minorHAnsi"/>
                <w:lang w:bidi="ar-SA"/>
              </w:rPr>
            </w:pPr>
            <w:r w:rsidRPr="00D54752">
              <w:rPr>
                <w:rFonts w:cstheme="minorHAnsi"/>
              </w:rPr>
              <w:t>346</w:t>
            </w:r>
          </w:p>
        </w:tc>
        <w:tc>
          <w:tcPr>
            <w:tcW w:w="249" w:type="pct"/>
            <w:shd w:val="clear" w:color="000000" w:fill="FFFFFF"/>
            <w:vAlign w:val="center"/>
          </w:tcPr>
          <w:p w14:paraId="0D6C49E1" w14:textId="77777777" w:rsidR="00AB379C" w:rsidRPr="00D54752" w:rsidRDefault="00AB379C" w:rsidP="007055F6">
            <w:pPr>
              <w:ind w:left="76"/>
              <w:jc w:val="center"/>
              <w:rPr>
                <w:rFonts w:eastAsia="Times New Roman" w:cstheme="minorHAnsi"/>
                <w:b/>
                <w:bCs/>
                <w:lang w:bidi="ar-SA"/>
              </w:rPr>
            </w:pPr>
            <w:r w:rsidRPr="00D54752">
              <w:rPr>
                <w:rFonts w:cstheme="minorHAnsi"/>
                <w:b/>
                <w:bCs/>
              </w:rPr>
              <w:t>84.4%</w:t>
            </w:r>
          </w:p>
        </w:tc>
        <w:tc>
          <w:tcPr>
            <w:tcW w:w="374" w:type="pct"/>
            <w:shd w:val="clear" w:color="000000" w:fill="FFFFFF"/>
            <w:noWrap/>
            <w:vAlign w:val="center"/>
          </w:tcPr>
          <w:p w14:paraId="0E5AFA68" w14:textId="77777777" w:rsidR="00AB379C" w:rsidRPr="00D54752" w:rsidRDefault="00AB379C" w:rsidP="007055F6">
            <w:pPr>
              <w:ind w:left="76"/>
              <w:jc w:val="center"/>
              <w:rPr>
                <w:rFonts w:eastAsia="Times New Roman" w:cstheme="minorHAnsi"/>
                <w:lang w:bidi="ar-SA"/>
              </w:rPr>
            </w:pPr>
            <w:r w:rsidRPr="00D54752">
              <w:rPr>
                <w:rFonts w:cstheme="minorHAnsi"/>
              </w:rPr>
              <w:t>80.8%</w:t>
            </w:r>
          </w:p>
        </w:tc>
        <w:tc>
          <w:tcPr>
            <w:tcW w:w="406" w:type="pct"/>
            <w:shd w:val="clear" w:color="000000" w:fill="FFFFFF"/>
            <w:noWrap/>
            <w:vAlign w:val="center"/>
          </w:tcPr>
          <w:p w14:paraId="53452E10" w14:textId="77777777" w:rsidR="00AB379C" w:rsidRPr="00D54752" w:rsidRDefault="00AB379C" w:rsidP="007055F6">
            <w:pPr>
              <w:ind w:left="76"/>
              <w:jc w:val="center"/>
              <w:rPr>
                <w:rFonts w:eastAsia="Times New Roman" w:cstheme="minorHAnsi"/>
                <w:lang w:bidi="ar-SA"/>
              </w:rPr>
            </w:pPr>
            <w:r w:rsidRPr="00D54752">
              <w:rPr>
                <w:rFonts w:cstheme="minorHAnsi"/>
              </w:rPr>
              <w:t>88.0%</w:t>
            </w:r>
          </w:p>
        </w:tc>
        <w:tc>
          <w:tcPr>
            <w:tcW w:w="343" w:type="pct"/>
            <w:shd w:val="clear" w:color="000000" w:fill="FFFFFF"/>
            <w:noWrap/>
            <w:vAlign w:val="center"/>
          </w:tcPr>
          <w:p w14:paraId="20050431" w14:textId="77777777" w:rsidR="00AB379C" w:rsidRPr="00D54752" w:rsidRDefault="00AB379C" w:rsidP="007055F6">
            <w:pPr>
              <w:ind w:left="76"/>
              <w:jc w:val="center"/>
              <w:rPr>
                <w:rFonts w:eastAsia="Times New Roman" w:cstheme="minorHAnsi"/>
                <w:lang w:bidi="ar-SA"/>
              </w:rPr>
            </w:pPr>
            <w:r w:rsidRPr="00D54752">
              <w:rPr>
                <w:rFonts w:cstheme="minorHAnsi"/>
              </w:rPr>
              <w:t>83.5%</w:t>
            </w:r>
          </w:p>
        </w:tc>
        <w:tc>
          <w:tcPr>
            <w:tcW w:w="343" w:type="pct"/>
            <w:shd w:val="clear" w:color="000000" w:fill="FFFFFF"/>
            <w:noWrap/>
            <w:vAlign w:val="center"/>
          </w:tcPr>
          <w:p w14:paraId="7B7E803F"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3F0AF6C9" w14:textId="77777777" w:rsidR="00AB379C" w:rsidRPr="00D54752" w:rsidRDefault="00AB379C" w:rsidP="007055F6">
            <w:pPr>
              <w:ind w:left="76"/>
              <w:jc w:val="center"/>
              <w:rPr>
                <w:rFonts w:eastAsia="Times New Roman" w:cstheme="minorHAnsi"/>
                <w:lang w:bidi="ar-SA"/>
              </w:rPr>
            </w:pPr>
            <w:r w:rsidRPr="00D54752">
              <w:rPr>
                <w:rFonts w:cstheme="minorHAnsi"/>
              </w:rPr>
              <w:t>80.8%</w:t>
            </w:r>
          </w:p>
        </w:tc>
        <w:tc>
          <w:tcPr>
            <w:tcW w:w="339" w:type="pct"/>
            <w:shd w:val="clear" w:color="000000" w:fill="FFFFFF"/>
            <w:noWrap/>
            <w:vAlign w:val="center"/>
          </w:tcPr>
          <w:p w14:paraId="22AA4747"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797D227E" w14:textId="0CB58BAF"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4AEB1831" w14:textId="77777777" w:rsidTr="003B58F7">
        <w:trPr>
          <w:cantSplit/>
          <w:trHeight w:val="67"/>
        </w:trPr>
        <w:tc>
          <w:tcPr>
            <w:tcW w:w="286" w:type="pct"/>
            <w:shd w:val="clear" w:color="auto" w:fill="FFFFFF" w:themeFill="background1"/>
            <w:vAlign w:val="center"/>
            <w:hideMark/>
          </w:tcPr>
          <w:p w14:paraId="50AFA3CC"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7D2B9F6C"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Status—Influenza</w:t>
            </w:r>
          </w:p>
        </w:tc>
        <w:tc>
          <w:tcPr>
            <w:tcW w:w="250" w:type="pct"/>
            <w:shd w:val="clear" w:color="000000" w:fill="FFFFFF"/>
            <w:noWrap/>
            <w:vAlign w:val="center"/>
          </w:tcPr>
          <w:p w14:paraId="0D8FFC08"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67C473E1" w14:textId="77777777" w:rsidR="00AB379C" w:rsidRPr="00D54752" w:rsidRDefault="00AB379C" w:rsidP="007055F6">
            <w:pPr>
              <w:ind w:left="76"/>
              <w:jc w:val="center"/>
              <w:rPr>
                <w:rFonts w:eastAsia="Times New Roman" w:cstheme="minorHAnsi"/>
                <w:lang w:bidi="ar-SA"/>
              </w:rPr>
            </w:pPr>
            <w:r w:rsidRPr="00D54752">
              <w:rPr>
                <w:rFonts w:cstheme="minorHAnsi"/>
              </w:rPr>
              <w:t>268</w:t>
            </w:r>
          </w:p>
        </w:tc>
        <w:tc>
          <w:tcPr>
            <w:tcW w:w="249" w:type="pct"/>
            <w:shd w:val="clear" w:color="000000" w:fill="FFFFFF"/>
            <w:vAlign w:val="center"/>
          </w:tcPr>
          <w:p w14:paraId="769E68AF" w14:textId="77777777" w:rsidR="00AB379C" w:rsidRPr="00D54752" w:rsidRDefault="00AB379C" w:rsidP="007055F6">
            <w:pPr>
              <w:ind w:left="76"/>
              <w:jc w:val="center"/>
              <w:rPr>
                <w:rFonts w:eastAsia="Times New Roman" w:cstheme="minorHAnsi"/>
                <w:b/>
                <w:bCs/>
                <w:lang w:bidi="ar-SA"/>
              </w:rPr>
            </w:pPr>
            <w:r w:rsidRPr="00D54752">
              <w:rPr>
                <w:rFonts w:cstheme="minorHAnsi"/>
                <w:b/>
                <w:bCs/>
              </w:rPr>
              <w:t>65.4%</w:t>
            </w:r>
          </w:p>
        </w:tc>
        <w:tc>
          <w:tcPr>
            <w:tcW w:w="374" w:type="pct"/>
            <w:shd w:val="clear" w:color="000000" w:fill="FFFFFF"/>
            <w:noWrap/>
            <w:vAlign w:val="center"/>
          </w:tcPr>
          <w:p w14:paraId="3622FBA2" w14:textId="77777777" w:rsidR="00AB379C" w:rsidRPr="00D54752" w:rsidRDefault="00AB379C" w:rsidP="007055F6">
            <w:pPr>
              <w:ind w:left="76"/>
              <w:jc w:val="center"/>
              <w:rPr>
                <w:rFonts w:eastAsia="Times New Roman" w:cstheme="minorHAnsi"/>
                <w:lang w:bidi="ar-SA"/>
              </w:rPr>
            </w:pPr>
            <w:r w:rsidRPr="00D54752">
              <w:rPr>
                <w:rFonts w:cstheme="minorHAnsi"/>
              </w:rPr>
              <w:t>60.6%</w:t>
            </w:r>
          </w:p>
        </w:tc>
        <w:tc>
          <w:tcPr>
            <w:tcW w:w="406" w:type="pct"/>
            <w:shd w:val="clear" w:color="000000" w:fill="FFFFFF"/>
            <w:noWrap/>
            <w:vAlign w:val="center"/>
          </w:tcPr>
          <w:p w14:paraId="771C4BA4" w14:textId="77777777" w:rsidR="00AB379C" w:rsidRPr="00D54752" w:rsidRDefault="00AB379C" w:rsidP="007055F6">
            <w:pPr>
              <w:ind w:left="76"/>
              <w:jc w:val="center"/>
              <w:rPr>
                <w:rFonts w:eastAsia="Times New Roman" w:cstheme="minorHAnsi"/>
                <w:lang w:bidi="ar-SA"/>
              </w:rPr>
            </w:pPr>
            <w:r w:rsidRPr="00D54752">
              <w:rPr>
                <w:rFonts w:cstheme="minorHAnsi"/>
              </w:rPr>
              <w:t>70.1%</w:t>
            </w:r>
          </w:p>
        </w:tc>
        <w:tc>
          <w:tcPr>
            <w:tcW w:w="343" w:type="pct"/>
            <w:shd w:val="clear" w:color="000000" w:fill="FFFFFF"/>
            <w:noWrap/>
            <w:vAlign w:val="center"/>
          </w:tcPr>
          <w:p w14:paraId="138ED1F6" w14:textId="77777777" w:rsidR="00AB379C" w:rsidRPr="00D54752" w:rsidRDefault="00AB379C" w:rsidP="007055F6">
            <w:pPr>
              <w:ind w:left="76"/>
              <w:jc w:val="center"/>
              <w:rPr>
                <w:rFonts w:eastAsia="Times New Roman" w:cstheme="minorHAnsi"/>
                <w:lang w:bidi="ar-SA"/>
              </w:rPr>
            </w:pPr>
            <w:r w:rsidRPr="00D54752">
              <w:rPr>
                <w:rFonts w:cstheme="minorHAnsi"/>
              </w:rPr>
              <w:t>63.8%</w:t>
            </w:r>
          </w:p>
        </w:tc>
        <w:tc>
          <w:tcPr>
            <w:tcW w:w="343" w:type="pct"/>
            <w:shd w:val="clear" w:color="000000" w:fill="FFFFFF"/>
            <w:noWrap/>
            <w:vAlign w:val="center"/>
          </w:tcPr>
          <w:p w14:paraId="691975C0"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10C7271C" w14:textId="77777777" w:rsidR="00AB379C" w:rsidRPr="00D54752" w:rsidRDefault="00AB379C" w:rsidP="007055F6">
            <w:pPr>
              <w:ind w:left="76"/>
              <w:jc w:val="center"/>
              <w:rPr>
                <w:rFonts w:eastAsia="Times New Roman" w:cstheme="minorHAnsi"/>
                <w:lang w:bidi="ar-SA"/>
              </w:rPr>
            </w:pPr>
            <w:r w:rsidRPr="00D54752">
              <w:rPr>
                <w:rFonts w:cstheme="minorHAnsi"/>
              </w:rPr>
              <w:t>65.7%</w:t>
            </w:r>
          </w:p>
        </w:tc>
        <w:tc>
          <w:tcPr>
            <w:tcW w:w="339" w:type="pct"/>
            <w:shd w:val="clear" w:color="000000" w:fill="FFFFFF"/>
            <w:noWrap/>
            <w:vAlign w:val="center"/>
          </w:tcPr>
          <w:p w14:paraId="43342747"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42D39AEC" w14:textId="7608A636"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15BA84A9" w14:textId="77777777" w:rsidTr="003B58F7">
        <w:trPr>
          <w:cantSplit/>
          <w:trHeight w:val="67"/>
        </w:trPr>
        <w:tc>
          <w:tcPr>
            <w:tcW w:w="286" w:type="pct"/>
            <w:shd w:val="clear" w:color="auto" w:fill="FFFFFF" w:themeFill="background1"/>
            <w:vAlign w:val="center"/>
            <w:hideMark/>
          </w:tcPr>
          <w:p w14:paraId="380BDC14"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3A06C1A9"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Status—Combination 3</w:t>
            </w:r>
          </w:p>
        </w:tc>
        <w:tc>
          <w:tcPr>
            <w:tcW w:w="250" w:type="pct"/>
            <w:shd w:val="clear" w:color="000000" w:fill="FFFFFF"/>
            <w:noWrap/>
            <w:vAlign w:val="center"/>
          </w:tcPr>
          <w:p w14:paraId="3040346E"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2A28371B" w14:textId="77777777" w:rsidR="00AB379C" w:rsidRPr="00D54752" w:rsidRDefault="00AB379C" w:rsidP="007055F6">
            <w:pPr>
              <w:ind w:left="76"/>
              <w:jc w:val="center"/>
              <w:rPr>
                <w:rFonts w:eastAsia="Times New Roman" w:cstheme="minorHAnsi"/>
                <w:lang w:bidi="ar-SA"/>
              </w:rPr>
            </w:pPr>
            <w:r w:rsidRPr="00D54752">
              <w:rPr>
                <w:rFonts w:cstheme="minorHAnsi"/>
              </w:rPr>
              <w:t>335</w:t>
            </w:r>
          </w:p>
        </w:tc>
        <w:tc>
          <w:tcPr>
            <w:tcW w:w="249" w:type="pct"/>
            <w:shd w:val="clear" w:color="000000" w:fill="FFFFFF"/>
            <w:vAlign w:val="center"/>
          </w:tcPr>
          <w:p w14:paraId="63D6C3CC" w14:textId="77777777" w:rsidR="00AB379C" w:rsidRPr="00D54752" w:rsidRDefault="00AB379C" w:rsidP="007055F6">
            <w:pPr>
              <w:ind w:left="76"/>
              <w:jc w:val="center"/>
              <w:rPr>
                <w:rFonts w:eastAsia="Times New Roman" w:cstheme="minorHAnsi"/>
                <w:b/>
                <w:bCs/>
                <w:lang w:bidi="ar-SA"/>
              </w:rPr>
            </w:pPr>
            <w:r w:rsidRPr="00D54752">
              <w:rPr>
                <w:rFonts w:cstheme="minorHAnsi"/>
                <w:b/>
                <w:bCs/>
              </w:rPr>
              <w:t>81.7%</w:t>
            </w:r>
          </w:p>
        </w:tc>
        <w:tc>
          <w:tcPr>
            <w:tcW w:w="374" w:type="pct"/>
            <w:shd w:val="clear" w:color="000000" w:fill="FFFFFF"/>
            <w:noWrap/>
            <w:vAlign w:val="center"/>
          </w:tcPr>
          <w:p w14:paraId="412263C4" w14:textId="77777777" w:rsidR="00AB379C" w:rsidRPr="00D54752" w:rsidRDefault="00AB379C" w:rsidP="007055F6">
            <w:pPr>
              <w:ind w:left="76"/>
              <w:jc w:val="center"/>
              <w:rPr>
                <w:rFonts w:eastAsia="Times New Roman" w:cstheme="minorHAnsi"/>
                <w:lang w:bidi="ar-SA"/>
              </w:rPr>
            </w:pPr>
            <w:r w:rsidRPr="00D54752">
              <w:rPr>
                <w:rFonts w:cstheme="minorHAnsi"/>
              </w:rPr>
              <w:t>77.8%</w:t>
            </w:r>
          </w:p>
        </w:tc>
        <w:tc>
          <w:tcPr>
            <w:tcW w:w="406" w:type="pct"/>
            <w:shd w:val="clear" w:color="000000" w:fill="FFFFFF"/>
            <w:noWrap/>
            <w:vAlign w:val="center"/>
          </w:tcPr>
          <w:p w14:paraId="5F5A3D4E" w14:textId="77777777" w:rsidR="00AB379C" w:rsidRPr="00D54752" w:rsidRDefault="00AB379C" w:rsidP="007055F6">
            <w:pPr>
              <w:ind w:left="76"/>
              <w:jc w:val="center"/>
              <w:rPr>
                <w:rFonts w:eastAsia="Times New Roman" w:cstheme="minorHAnsi"/>
                <w:lang w:bidi="ar-SA"/>
              </w:rPr>
            </w:pPr>
            <w:r w:rsidRPr="00D54752">
              <w:rPr>
                <w:rFonts w:cstheme="minorHAnsi"/>
              </w:rPr>
              <w:t>85.6%</w:t>
            </w:r>
          </w:p>
        </w:tc>
        <w:tc>
          <w:tcPr>
            <w:tcW w:w="343" w:type="pct"/>
            <w:shd w:val="clear" w:color="000000" w:fill="FFFFFF"/>
            <w:noWrap/>
            <w:vAlign w:val="center"/>
          </w:tcPr>
          <w:p w14:paraId="23EEB0C7" w14:textId="77777777" w:rsidR="00AB379C" w:rsidRPr="00D54752" w:rsidRDefault="00AB379C" w:rsidP="007055F6">
            <w:pPr>
              <w:ind w:left="76"/>
              <w:jc w:val="center"/>
              <w:rPr>
                <w:rFonts w:eastAsia="Times New Roman" w:cstheme="minorHAnsi"/>
                <w:lang w:bidi="ar-SA"/>
              </w:rPr>
            </w:pPr>
            <w:r w:rsidRPr="00D54752">
              <w:rPr>
                <w:rFonts w:cstheme="minorHAnsi"/>
              </w:rPr>
              <w:t>80.3%</w:t>
            </w:r>
          </w:p>
        </w:tc>
        <w:tc>
          <w:tcPr>
            <w:tcW w:w="343" w:type="pct"/>
            <w:shd w:val="clear" w:color="000000" w:fill="FFFFFF"/>
            <w:noWrap/>
            <w:vAlign w:val="center"/>
          </w:tcPr>
          <w:p w14:paraId="17009B29"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0D4D37B5" w14:textId="77777777" w:rsidR="00AB379C" w:rsidRPr="00D54752" w:rsidRDefault="00AB379C" w:rsidP="007055F6">
            <w:pPr>
              <w:ind w:left="76"/>
              <w:jc w:val="center"/>
              <w:rPr>
                <w:rFonts w:eastAsia="Times New Roman" w:cstheme="minorHAnsi"/>
                <w:lang w:bidi="ar-SA"/>
              </w:rPr>
            </w:pPr>
            <w:r w:rsidRPr="00D54752">
              <w:rPr>
                <w:rFonts w:cstheme="minorHAnsi"/>
              </w:rPr>
              <w:t>79.5%</w:t>
            </w:r>
          </w:p>
        </w:tc>
        <w:tc>
          <w:tcPr>
            <w:tcW w:w="339" w:type="pct"/>
            <w:shd w:val="clear" w:color="000000" w:fill="FFFFFF"/>
            <w:noWrap/>
            <w:vAlign w:val="center"/>
          </w:tcPr>
          <w:p w14:paraId="665EDCFD"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6050C5A0" w14:textId="7B9266BA"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249A1B05" w14:textId="77777777" w:rsidTr="003B58F7">
        <w:trPr>
          <w:cantSplit/>
          <w:trHeight w:val="67"/>
        </w:trPr>
        <w:tc>
          <w:tcPr>
            <w:tcW w:w="286" w:type="pct"/>
            <w:shd w:val="clear" w:color="auto" w:fill="FFFFFF" w:themeFill="background1"/>
            <w:vAlign w:val="center"/>
            <w:hideMark/>
          </w:tcPr>
          <w:p w14:paraId="2F8012B3"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5F5A258E"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Status—Combination 7</w:t>
            </w:r>
          </w:p>
        </w:tc>
        <w:tc>
          <w:tcPr>
            <w:tcW w:w="250" w:type="pct"/>
            <w:shd w:val="clear" w:color="000000" w:fill="FFFFFF"/>
            <w:noWrap/>
            <w:vAlign w:val="center"/>
          </w:tcPr>
          <w:p w14:paraId="205FB232"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1243FA70" w14:textId="77777777" w:rsidR="00AB379C" w:rsidRPr="00D54752" w:rsidRDefault="00AB379C" w:rsidP="007055F6">
            <w:pPr>
              <w:ind w:left="76"/>
              <w:jc w:val="center"/>
              <w:rPr>
                <w:rFonts w:eastAsia="Times New Roman" w:cstheme="minorHAnsi"/>
                <w:lang w:bidi="ar-SA"/>
              </w:rPr>
            </w:pPr>
            <w:r w:rsidRPr="00D54752">
              <w:rPr>
                <w:rFonts w:cstheme="minorHAnsi"/>
              </w:rPr>
              <w:t>316</w:t>
            </w:r>
          </w:p>
        </w:tc>
        <w:tc>
          <w:tcPr>
            <w:tcW w:w="249" w:type="pct"/>
            <w:shd w:val="clear" w:color="000000" w:fill="FFFFFF"/>
            <w:vAlign w:val="center"/>
          </w:tcPr>
          <w:p w14:paraId="54EB5F19" w14:textId="77777777" w:rsidR="00AB379C" w:rsidRPr="00D54752" w:rsidRDefault="00AB379C" w:rsidP="007055F6">
            <w:pPr>
              <w:ind w:left="76"/>
              <w:jc w:val="center"/>
              <w:rPr>
                <w:rFonts w:eastAsia="Times New Roman" w:cstheme="minorHAnsi"/>
                <w:b/>
                <w:bCs/>
                <w:lang w:bidi="ar-SA"/>
              </w:rPr>
            </w:pPr>
            <w:r w:rsidRPr="00D54752">
              <w:rPr>
                <w:rFonts w:cstheme="minorHAnsi"/>
                <w:b/>
                <w:bCs/>
              </w:rPr>
              <w:t>77.1%</w:t>
            </w:r>
          </w:p>
        </w:tc>
        <w:tc>
          <w:tcPr>
            <w:tcW w:w="374" w:type="pct"/>
            <w:shd w:val="clear" w:color="000000" w:fill="FFFFFF"/>
            <w:noWrap/>
            <w:vAlign w:val="center"/>
          </w:tcPr>
          <w:p w14:paraId="64AC15B3" w14:textId="77777777" w:rsidR="00AB379C" w:rsidRPr="00D54752" w:rsidRDefault="00AB379C" w:rsidP="007055F6">
            <w:pPr>
              <w:ind w:left="76"/>
              <w:jc w:val="center"/>
              <w:rPr>
                <w:rFonts w:eastAsia="Times New Roman" w:cstheme="minorHAnsi"/>
                <w:lang w:bidi="ar-SA"/>
              </w:rPr>
            </w:pPr>
            <w:r w:rsidRPr="00D54752">
              <w:rPr>
                <w:rFonts w:cstheme="minorHAnsi"/>
              </w:rPr>
              <w:t>72.9%</w:t>
            </w:r>
          </w:p>
        </w:tc>
        <w:tc>
          <w:tcPr>
            <w:tcW w:w="406" w:type="pct"/>
            <w:shd w:val="clear" w:color="000000" w:fill="FFFFFF"/>
            <w:noWrap/>
            <w:vAlign w:val="center"/>
          </w:tcPr>
          <w:p w14:paraId="38C96924" w14:textId="77777777" w:rsidR="00AB379C" w:rsidRPr="00D54752" w:rsidRDefault="00AB379C" w:rsidP="007055F6">
            <w:pPr>
              <w:ind w:left="76"/>
              <w:jc w:val="center"/>
              <w:rPr>
                <w:rFonts w:eastAsia="Times New Roman" w:cstheme="minorHAnsi"/>
                <w:lang w:bidi="ar-SA"/>
              </w:rPr>
            </w:pPr>
            <w:r w:rsidRPr="00D54752">
              <w:rPr>
                <w:rFonts w:cstheme="minorHAnsi"/>
              </w:rPr>
              <w:t>81.3%</w:t>
            </w:r>
          </w:p>
        </w:tc>
        <w:tc>
          <w:tcPr>
            <w:tcW w:w="343" w:type="pct"/>
            <w:shd w:val="clear" w:color="000000" w:fill="FFFFFF"/>
            <w:noWrap/>
            <w:vAlign w:val="center"/>
          </w:tcPr>
          <w:p w14:paraId="21D3603F" w14:textId="77777777" w:rsidR="00AB379C" w:rsidRPr="00D54752" w:rsidRDefault="00AB379C" w:rsidP="007055F6">
            <w:pPr>
              <w:ind w:left="76"/>
              <w:jc w:val="center"/>
              <w:rPr>
                <w:rFonts w:eastAsia="Times New Roman" w:cstheme="minorHAnsi"/>
                <w:lang w:bidi="ar-SA"/>
              </w:rPr>
            </w:pPr>
            <w:r w:rsidRPr="00D54752">
              <w:rPr>
                <w:rFonts w:cstheme="minorHAnsi"/>
              </w:rPr>
              <w:t>73.0%</w:t>
            </w:r>
          </w:p>
        </w:tc>
        <w:tc>
          <w:tcPr>
            <w:tcW w:w="343" w:type="pct"/>
            <w:shd w:val="clear" w:color="000000" w:fill="FFFFFF"/>
            <w:noWrap/>
            <w:vAlign w:val="center"/>
          </w:tcPr>
          <w:p w14:paraId="45202661"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7D6D3ABD" w14:textId="77777777" w:rsidR="00AB379C" w:rsidRPr="00D54752" w:rsidRDefault="00AB379C" w:rsidP="007055F6">
            <w:pPr>
              <w:ind w:left="76"/>
              <w:jc w:val="center"/>
              <w:rPr>
                <w:rFonts w:eastAsia="Times New Roman" w:cstheme="minorHAnsi"/>
                <w:lang w:bidi="ar-SA"/>
              </w:rPr>
            </w:pPr>
            <w:r w:rsidRPr="00D54752">
              <w:rPr>
                <w:rFonts w:cstheme="minorHAnsi"/>
              </w:rPr>
              <w:t>73.3%</w:t>
            </w:r>
          </w:p>
        </w:tc>
        <w:tc>
          <w:tcPr>
            <w:tcW w:w="339" w:type="pct"/>
            <w:shd w:val="clear" w:color="000000" w:fill="FFFFFF"/>
            <w:noWrap/>
            <w:vAlign w:val="center"/>
          </w:tcPr>
          <w:p w14:paraId="62736D41"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0133358D" w14:textId="3E01C666"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69D82C28" w14:textId="77777777" w:rsidTr="003B58F7">
        <w:trPr>
          <w:cantSplit/>
          <w:trHeight w:val="67"/>
        </w:trPr>
        <w:tc>
          <w:tcPr>
            <w:tcW w:w="286" w:type="pct"/>
            <w:shd w:val="clear" w:color="auto" w:fill="FFFFFF" w:themeFill="background1"/>
            <w:vAlign w:val="center"/>
            <w:hideMark/>
          </w:tcPr>
          <w:p w14:paraId="470B5C85"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19E92728"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Childhood Immunization Status—Combination 10</w:t>
            </w:r>
          </w:p>
        </w:tc>
        <w:tc>
          <w:tcPr>
            <w:tcW w:w="250" w:type="pct"/>
            <w:shd w:val="clear" w:color="000000" w:fill="FFFFFF"/>
            <w:noWrap/>
            <w:vAlign w:val="center"/>
          </w:tcPr>
          <w:p w14:paraId="208FFA9B" w14:textId="77777777" w:rsidR="00AB379C" w:rsidRPr="00D54752" w:rsidRDefault="00AB379C" w:rsidP="007055F6">
            <w:pPr>
              <w:ind w:left="76"/>
              <w:jc w:val="center"/>
              <w:rPr>
                <w:rFonts w:eastAsia="Times New Roman" w:cstheme="minorHAnsi"/>
                <w:lang w:bidi="ar-SA"/>
              </w:rPr>
            </w:pPr>
            <w:r w:rsidRPr="00D54752">
              <w:rPr>
                <w:rFonts w:cstheme="minorHAnsi"/>
              </w:rPr>
              <w:t>410</w:t>
            </w:r>
          </w:p>
        </w:tc>
        <w:tc>
          <w:tcPr>
            <w:tcW w:w="250" w:type="pct"/>
            <w:shd w:val="clear" w:color="000000" w:fill="FFFFFF"/>
            <w:vAlign w:val="center"/>
          </w:tcPr>
          <w:p w14:paraId="4E8DD450" w14:textId="77777777" w:rsidR="00AB379C" w:rsidRPr="00D54752" w:rsidRDefault="00AB379C" w:rsidP="007055F6">
            <w:pPr>
              <w:ind w:left="76"/>
              <w:jc w:val="center"/>
              <w:rPr>
                <w:rFonts w:eastAsia="Times New Roman" w:cstheme="minorHAnsi"/>
                <w:lang w:bidi="ar-SA"/>
              </w:rPr>
            </w:pPr>
            <w:r w:rsidRPr="00D54752">
              <w:rPr>
                <w:rFonts w:cstheme="minorHAnsi"/>
              </w:rPr>
              <w:t>235</w:t>
            </w:r>
          </w:p>
        </w:tc>
        <w:tc>
          <w:tcPr>
            <w:tcW w:w="249" w:type="pct"/>
            <w:shd w:val="clear" w:color="000000" w:fill="FFFFFF"/>
            <w:vAlign w:val="center"/>
          </w:tcPr>
          <w:p w14:paraId="3216F042" w14:textId="77777777" w:rsidR="00AB379C" w:rsidRPr="00D54752" w:rsidRDefault="00AB379C" w:rsidP="007055F6">
            <w:pPr>
              <w:ind w:left="76"/>
              <w:jc w:val="center"/>
              <w:rPr>
                <w:rFonts w:eastAsia="Times New Roman" w:cstheme="minorHAnsi"/>
                <w:b/>
                <w:bCs/>
                <w:lang w:bidi="ar-SA"/>
              </w:rPr>
            </w:pPr>
            <w:r w:rsidRPr="00D54752">
              <w:rPr>
                <w:rFonts w:cstheme="minorHAnsi"/>
                <w:b/>
                <w:bCs/>
              </w:rPr>
              <w:t>57.3%</w:t>
            </w:r>
          </w:p>
        </w:tc>
        <w:tc>
          <w:tcPr>
            <w:tcW w:w="374" w:type="pct"/>
            <w:shd w:val="clear" w:color="000000" w:fill="FFFFFF"/>
            <w:noWrap/>
            <w:vAlign w:val="center"/>
          </w:tcPr>
          <w:p w14:paraId="350BDCBC" w14:textId="77777777" w:rsidR="00AB379C" w:rsidRPr="00D54752" w:rsidRDefault="00AB379C" w:rsidP="007055F6">
            <w:pPr>
              <w:ind w:left="76"/>
              <w:jc w:val="center"/>
              <w:rPr>
                <w:rFonts w:eastAsia="Times New Roman" w:cstheme="minorHAnsi"/>
                <w:lang w:bidi="ar-SA"/>
              </w:rPr>
            </w:pPr>
            <w:r w:rsidRPr="00D54752">
              <w:rPr>
                <w:rFonts w:cstheme="minorHAnsi"/>
              </w:rPr>
              <w:t>52.4%</w:t>
            </w:r>
          </w:p>
        </w:tc>
        <w:tc>
          <w:tcPr>
            <w:tcW w:w="406" w:type="pct"/>
            <w:shd w:val="clear" w:color="000000" w:fill="FFFFFF"/>
            <w:noWrap/>
            <w:vAlign w:val="center"/>
          </w:tcPr>
          <w:p w14:paraId="231FDA16" w14:textId="77777777" w:rsidR="00AB379C" w:rsidRPr="00D54752" w:rsidRDefault="00AB379C" w:rsidP="007055F6">
            <w:pPr>
              <w:ind w:left="76"/>
              <w:jc w:val="center"/>
              <w:rPr>
                <w:rFonts w:eastAsia="Times New Roman" w:cstheme="minorHAnsi"/>
                <w:lang w:bidi="ar-SA"/>
              </w:rPr>
            </w:pPr>
            <w:r w:rsidRPr="00D54752">
              <w:rPr>
                <w:rFonts w:cstheme="minorHAnsi"/>
              </w:rPr>
              <w:t>62.2%</w:t>
            </w:r>
          </w:p>
        </w:tc>
        <w:tc>
          <w:tcPr>
            <w:tcW w:w="343" w:type="pct"/>
            <w:shd w:val="clear" w:color="000000" w:fill="FFFFFF"/>
            <w:noWrap/>
            <w:vAlign w:val="center"/>
          </w:tcPr>
          <w:p w14:paraId="17FE43E7" w14:textId="77777777" w:rsidR="00AB379C" w:rsidRPr="00D54752" w:rsidRDefault="00AB379C" w:rsidP="007055F6">
            <w:pPr>
              <w:ind w:left="76"/>
              <w:jc w:val="center"/>
              <w:rPr>
                <w:rFonts w:eastAsia="Times New Roman" w:cstheme="minorHAnsi"/>
                <w:lang w:bidi="ar-SA"/>
              </w:rPr>
            </w:pPr>
            <w:r w:rsidRPr="00D54752">
              <w:rPr>
                <w:rFonts w:cstheme="minorHAnsi"/>
              </w:rPr>
              <w:t>52.1%</w:t>
            </w:r>
          </w:p>
        </w:tc>
        <w:tc>
          <w:tcPr>
            <w:tcW w:w="343" w:type="pct"/>
            <w:shd w:val="clear" w:color="000000" w:fill="FFFFFF"/>
            <w:noWrap/>
            <w:vAlign w:val="center"/>
          </w:tcPr>
          <w:p w14:paraId="107FBA74"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0F20BD33" w14:textId="77777777" w:rsidR="00AB379C" w:rsidRPr="00D54752" w:rsidRDefault="00AB379C" w:rsidP="007055F6">
            <w:pPr>
              <w:ind w:left="76"/>
              <w:jc w:val="center"/>
              <w:rPr>
                <w:rFonts w:eastAsia="Times New Roman" w:cstheme="minorHAnsi"/>
                <w:lang w:bidi="ar-SA"/>
              </w:rPr>
            </w:pPr>
            <w:r w:rsidRPr="00D54752">
              <w:rPr>
                <w:rFonts w:cstheme="minorHAnsi"/>
              </w:rPr>
              <w:t>57.0%</w:t>
            </w:r>
          </w:p>
        </w:tc>
        <w:tc>
          <w:tcPr>
            <w:tcW w:w="339" w:type="pct"/>
            <w:shd w:val="clear" w:color="000000" w:fill="FFFFFF"/>
            <w:noWrap/>
            <w:vAlign w:val="center"/>
          </w:tcPr>
          <w:p w14:paraId="760704D2"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0650EE71" w14:textId="5C087BB6"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61002C6E" w14:textId="77777777" w:rsidTr="003B58F7">
        <w:trPr>
          <w:cantSplit/>
          <w:trHeight w:val="67"/>
        </w:trPr>
        <w:tc>
          <w:tcPr>
            <w:tcW w:w="286" w:type="pct"/>
            <w:shd w:val="clear" w:color="auto" w:fill="FFFFFF" w:themeFill="background1"/>
            <w:vAlign w:val="center"/>
            <w:hideMark/>
          </w:tcPr>
          <w:p w14:paraId="2522E2D5"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4664D939"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Immunizations for Adolescents—</w:t>
            </w:r>
            <w:r w:rsidRPr="00D54752">
              <w:rPr>
                <w:rFonts w:eastAsia="Times New Roman" w:cstheme="minorHAnsi"/>
                <w:lang w:bidi="ar-SA"/>
              </w:rPr>
              <w:br/>
              <w:t>Meningococcal</w:t>
            </w:r>
          </w:p>
        </w:tc>
        <w:tc>
          <w:tcPr>
            <w:tcW w:w="250" w:type="pct"/>
            <w:shd w:val="clear" w:color="000000" w:fill="FFFFFF"/>
            <w:noWrap/>
            <w:vAlign w:val="center"/>
          </w:tcPr>
          <w:p w14:paraId="25EE435D" w14:textId="77777777" w:rsidR="00AB379C" w:rsidRPr="00D54752" w:rsidRDefault="00AB379C" w:rsidP="007055F6">
            <w:pPr>
              <w:ind w:left="76"/>
              <w:jc w:val="center"/>
              <w:rPr>
                <w:rFonts w:eastAsia="Times New Roman" w:cstheme="minorHAnsi"/>
                <w:lang w:bidi="ar-SA"/>
              </w:rPr>
            </w:pPr>
            <w:r w:rsidRPr="00D54752">
              <w:rPr>
                <w:rFonts w:cstheme="minorHAnsi"/>
              </w:rPr>
              <w:t>411</w:t>
            </w:r>
          </w:p>
        </w:tc>
        <w:tc>
          <w:tcPr>
            <w:tcW w:w="250" w:type="pct"/>
            <w:shd w:val="clear" w:color="000000" w:fill="FFFFFF"/>
            <w:vAlign w:val="center"/>
          </w:tcPr>
          <w:p w14:paraId="409B1097" w14:textId="77777777" w:rsidR="00AB379C" w:rsidRPr="00D54752" w:rsidRDefault="00AB379C" w:rsidP="007055F6">
            <w:pPr>
              <w:ind w:left="76"/>
              <w:jc w:val="center"/>
              <w:rPr>
                <w:rFonts w:eastAsia="Times New Roman" w:cstheme="minorHAnsi"/>
                <w:lang w:bidi="ar-SA"/>
              </w:rPr>
            </w:pPr>
            <w:r w:rsidRPr="00D54752">
              <w:rPr>
                <w:rFonts w:cstheme="minorHAnsi"/>
              </w:rPr>
              <w:t>358</w:t>
            </w:r>
          </w:p>
        </w:tc>
        <w:tc>
          <w:tcPr>
            <w:tcW w:w="249" w:type="pct"/>
            <w:shd w:val="clear" w:color="000000" w:fill="FFFFFF"/>
            <w:vAlign w:val="center"/>
          </w:tcPr>
          <w:p w14:paraId="17D8477A" w14:textId="77777777" w:rsidR="00AB379C" w:rsidRPr="00D54752" w:rsidRDefault="00AB379C" w:rsidP="007055F6">
            <w:pPr>
              <w:ind w:left="76"/>
              <w:jc w:val="center"/>
              <w:rPr>
                <w:rFonts w:eastAsia="Times New Roman" w:cstheme="minorHAnsi"/>
                <w:b/>
                <w:bCs/>
                <w:lang w:bidi="ar-SA"/>
              </w:rPr>
            </w:pPr>
            <w:r w:rsidRPr="00D54752">
              <w:rPr>
                <w:rFonts w:cstheme="minorHAnsi"/>
                <w:b/>
                <w:bCs/>
              </w:rPr>
              <w:t>87.1%</w:t>
            </w:r>
          </w:p>
        </w:tc>
        <w:tc>
          <w:tcPr>
            <w:tcW w:w="374" w:type="pct"/>
            <w:shd w:val="clear" w:color="000000" w:fill="FFFFFF"/>
            <w:noWrap/>
            <w:vAlign w:val="center"/>
          </w:tcPr>
          <w:p w14:paraId="5F3AC5E5" w14:textId="77777777" w:rsidR="00AB379C" w:rsidRPr="00D54752" w:rsidRDefault="00AB379C" w:rsidP="007055F6">
            <w:pPr>
              <w:ind w:left="76"/>
              <w:jc w:val="center"/>
              <w:rPr>
                <w:rFonts w:eastAsia="Times New Roman" w:cstheme="minorHAnsi"/>
                <w:lang w:bidi="ar-SA"/>
              </w:rPr>
            </w:pPr>
            <w:r w:rsidRPr="00D54752">
              <w:rPr>
                <w:rFonts w:cstheme="minorHAnsi"/>
              </w:rPr>
              <w:t>83.7%</w:t>
            </w:r>
          </w:p>
        </w:tc>
        <w:tc>
          <w:tcPr>
            <w:tcW w:w="406" w:type="pct"/>
            <w:shd w:val="clear" w:color="000000" w:fill="FFFFFF"/>
            <w:noWrap/>
            <w:vAlign w:val="center"/>
          </w:tcPr>
          <w:p w14:paraId="6CC6D355" w14:textId="77777777" w:rsidR="00AB379C" w:rsidRPr="00D54752" w:rsidRDefault="00AB379C" w:rsidP="007055F6">
            <w:pPr>
              <w:ind w:left="76"/>
              <w:jc w:val="center"/>
              <w:rPr>
                <w:rFonts w:eastAsia="Times New Roman" w:cstheme="minorHAnsi"/>
                <w:lang w:bidi="ar-SA"/>
              </w:rPr>
            </w:pPr>
            <w:r w:rsidRPr="00D54752">
              <w:rPr>
                <w:rFonts w:cstheme="minorHAnsi"/>
              </w:rPr>
              <w:t>90.5%</w:t>
            </w:r>
          </w:p>
        </w:tc>
        <w:tc>
          <w:tcPr>
            <w:tcW w:w="343" w:type="pct"/>
            <w:shd w:val="clear" w:color="000000" w:fill="FFFFFF"/>
            <w:noWrap/>
            <w:vAlign w:val="center"/>
          </w:tcPr>
          <w:p w14:paraId="22A6485C" w14:textId="77777777" w:rsidR="00AB379C" w:rsidRPr="00D54752" w:rsidRDefault="00AB379C" w:rsidP="007055F6">
            <w:pPr>
              <w:ind w:left="76"/>
              <w:jc w:val="center"/>
              <w:rPr>
                <w:rFonts w:eastAsia="Times New Roman" w:cstheme="minorHAnsi"/>
                <w:lang w:bidi="ar-SA"/>
              </w:rPr>
            </w:pPr>
            <w:r w:rsidRPr="00D54752">
              <w:rPr>
                <w:rFonts w:cstheme="minorHAnsi"/>
              </w:rPr>
              <w:t>90.0%</w:t>
            </w:r>
          </w:p>
        </w:tc>
        <w:tc>
          <w:tcPr>
            <w:tcW w:w="343" w:type="pct"/>
            <w:shd w:val="clear" w:color="000000" w:fill="FFFFFF"/>
            <w:noWrap/>
            <w:vAlign w:val="center"/>
          </w:tcPr>
          <w:p w14:paraId="6032BB39"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154576B1" w14:textId="77777777" w:rsidR="00AB379C" w:rsidRPr="00D54752" w:rsidRDefault="00AB379C" w:rsidP="007055F6">
            <w:pPr>
              <w:ind w:left="76"/>
              <w:jc w:val="center"/>
              <w:rPr>
                <w:rFonts w:eastAsia="Times New Roman" w:cstheme="minorHAnsi"/>
                <w:lang w:bidi="ar-SA"/>
              </w:rPr>
            </w:pPr>
            <w:r w:rsidRPr="00D54752">
              <w:rPr>
                <w:rFonts w:cstheme="minorHAnsi"/>
              </w:rPr>
              <w:t>89.1%</w:t>
            </w:r>
          </w:p>
        </w:tc>
        <w:tc>
          <w:tcPr>
            <w:tcW w:w="339" w:type="pct"/>
            <w:shd w:val="clear" w:color="000000" w:fill="FFFFFF"/>
            <w:noWrap/>
            <w:vAlign w:val="center"/>
          </w:tcPr>
          <w:p w14:paraId="24E716E1"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50658084" w14:textId="3C348C5E"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484650EA" w14:textId="77777777" w:rsidTr="003B58F7">
        <w:trPr>
          <w:cantSplit/>
          <w:trHeight w:val="67"/>
        </w:trPr>
        <w:tc>
          <w:tcPr>
            <w:tcW w:w="286" w:type="pct"/>
            <w:shd w:val="clear" w:color="auto" w:fill="FFFFFF" w:themeFill="background1"/>
            <w:vAlign w:val="center"/>
            <w:hideMark/>
          </w:tcPr>
          <w:p w14:paraId="5EB5680D"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7065B0BB"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Immunizations for Adolescents—Tdap</w:t>
            </w:r>
          </w:p>
        </w:tc>
        <w:tc>
          <w:tcPr>
            <w:tcW w:w="250" w:type="pct"/>
            <w:shd w:val="clear" w:color="000000" w:fill="FFFFFF"/>
            <w:noWrap/>
            <w:vAlign w:val="center"/>
          </w:tcPr>
          <w:p w14:paraId="0839F95D" w14:textId="77777777" w:rsidR="00AB379C" w:rsidRPr="00D54752" w:rsidRDefault="00AB379C" w:rsidP="007055F6">
            <w:pPr>
              <w:ind w:left="76"/>
              <w:jc w:val="center"/>
              <w:rPr>
                <w:rFonts w:eastAsia="Times New Roman" w:cstheme="minorHAnsi"/>
                <w:lang w:bidi="ar-SA"/>
              </w:rPr>
            </w:pPr>
            <w:r w:rsidRPr="00D54752">
              <w:rPr>
                <w:rFonts w:cstheme="minorHAnsi"/>
              </w:rPr>
              <w:t>411</w:t>
            </w:r>
          </w:p>
        </w:tc>
        <w:tc>
          <w:tcPr>
            <w:tcW w:w="250" w:type="pct"/>
            <w:shd w:val="clear" w:color="000000" w:fill="FFFFFF"/>
            <w:vAlign w:val="center"/>
          </w:tcPr>
          <w:p w14:paraId="332008FA" w14:textId="77777777" w:rsidR="00AB379C" w:rsidRPr="00D54752" w:rsidRDefault="00AB379C" w:rsidP="007055F6">
            <w:pPr>
              <w:ind w:left="76"/>
              <w:jc w:val="center"/>
              <w:rPr>
                <w:rFonts w:eastAsia="Times New Roman" w:cstheme="minorHAnsi"/>
                <w:lang w:bidi="ar-SA"/>
              </w:rPr>
            </w:pPr>
            <w:r w:rsidRPr="00D54752">
              <w:rPr>
                <w:rFonts w:cstheme="minorHAnsi"/>
              </w:rPr>
              <w:t>361</w:t>
            </w:r>
          </w:p>
        </w:tc>
        <w:tc>
          <w:tcPr>
            <w:tcW w:w="249" w:type="pct"/>
            <w:shd w:val="clear" w:color="000000" w:fill="FFFFFF"/>
            <w:vAlign w:val="center"/>
          </w:tcPr>
          <w:p w14:paraId="6F052E64" w14:textId="77777777" w:rsidR="00AB379C" w:rsidRPr="00D54752" w:rsidRDefault="00AB379C" w:rsidP="007055F6">
            <w:pPr>
              <w:ind w:left="76"/>
              <w:jc w:val="center"/>
              <w:rPr>
                <w:rFonts w:eastAsia="Times New Roman" w:cstheme="minorHAnsi"/>
                <w:b/>
                <w:bCs/>
                <w:lang w:bidi="ar-SA"/>
              </w:rPr>
            </w:pPr>
            <w:r w:rsidRPr="00D54752">
              <w:rPr>
                <w:rFonts w:cstheme="minorHAnsi"/>
                <w:b/>
                <w:bCs/>
              </w:rPr>
              <w:t>87.8%</w:t>
            </w:r>
          </w:p>
        </w:tc>
        <w:tc>
          <w:tcPr>
            <w:tcW w:w="374" w:type="pct"/>
            <w:shd w:val="clear" w:color="000000" w:fill="FFFFFF"/>
            <w:noWrap/>
            <w:vAlign w:val="center"/>
          </w:tcPr>
          <w:p w14:paraId="34D1AEC9" w14:textId="77777777" w:rsidR="00AB379C" w:rsidRPr="00D54752" w:rsidRDefault="00AB379C" w:rsidP="007055F6">
            <w:pPr>
              <w:ind w:left="76"/>
              <w:jc w:val="center"/>
              <w:rPr>
                <w:rFonts w:eastAsia="Times New Roman" w:cstheme="minorHAnsi"/>
                <w:lang w:bidi="ar-SA"/>
              </w:rPr>
            </w:pPr>
            <w:r w:rsidRPr="00D54752">
              <w:rPr>
                <w:rFonts w:cstheme="minorHAnsi"/>
              </w:rPr>
              <w:t>84.5%</w:t>
            </w:r>
          </w:p>
        </w:tc>
        <w:tc>
          <w:tcPr>
            <w:tcW w:w="406" w:type="pct"/>
            <w:shd w:val="clear" w:color="000000" w:fill="FFFFFF"/>
            <w:noWrap/>
            <w:vAlign w:val="center"/>
          </w:tcPr>
          <w:p w14:paraId="6B2B239E" w14:textId="77777777" w:rsidR="00AB379C" w:rsidRPr="00D54752" w:rsidRDefault="00AB379C" w:rsidP="007055F6">
            <w:pPr>
              <w:ind w:left="76"/>
              <w:jc w:val="center"/>
              <w:rPr>
                <w:rFonts w:eastAsia="Times New Roman" w:cstheme="minorHAnsi"/>
                <w:lang w:bidi="ar-SA"/>
              </w:rPr>
            </w:pPr>
            <w:r w:rsidRPr="00D54752">
              <w:rPr>
                <w:rFonts w:cstheme="minorHAnsi"/>
              </w:rPr>
              <w:t>91.1%</w:t>
            </w:r>
          </w:p>
        </w:tc>
        <w:tc>
          <w:tcPr>
            <w:tcW w:w="343" w:type="pct"/>
            <w:shd w:val="clear" w:color="000000" w:fill="FFFFFF"/>
            <w:noWrap/>
            <w:vAlign w:val="center"/>
          </w:tcPr>
          <w:p w14:paraId="710252FD" w14:textId="77777777" w:rsidR="00AB379C" w:rsidRPr="00D54752" w:rsidRDefault="00AB379C" w:rsidP="007055F6">
            <w:pPr>
              <w:ind w:left="76"/>
              <w:jc w:val="center"/>
              <w:rPr>
                <w:rFonts w:eastAsia="Times New Roman" w:cstheme="minorHAnsi"/>
                <w:lang w:bidi="ar-SA"/>
              </w:rPr>
            </w:pPr>
            <w:r w:rsidRPr="00D54752">
              <w:rPr>
                <w:rFonts w:cstheme="minorHAnsi"/>
              </w:rPr>
              <w:t>92.2%</w:t>
            </w:r>
          </w:p>
        </w:tc>
        <w:tc>
          <w:tcPr>
            <w:tcW w:w="343" w:type="pct"/>
            <w:shd w:val="clear" w:color="000000" w:fill="FFFFFF"/>
            <w:noWrap/>
            <w:vAlign w:val="center"/>
          </w:tcPr>
          <w:p w14:paraId="0136B803"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287" w:type="pct"/>
            <w:shd w:val="clear" w:color="000000" w:fill="FFFFFF"/>
            <w:noWrap/>
            <w:vAlign w:val="center"/>
          </w:tcPr>
          <w:p w14:paraId="2B3E078F" w14:textId="77777777" w:rsidR="00AB379C" w:rsidRPr="00D54752" w:rsidRDefault="00AB379C" w:rsidP="007055F6">
            <w:pPr>
              <w:ind w:left="76"/>
              <w:jc w:val="center"/>
              <w:rPr>
                <w:rFonts w:eastAsia="Times New Roman" w:cstheme="minorHAnsi"/>
                <w:lang w:bidi="ar-SA"/>
              </w:rPr>
            </w:pPr>
            <w:r w:rsidRPr="00D54752">
              <w:rPr>
                <w:rFonts w:cstheme="minorHAnsi"/>
              </w:rPr>
              <w:t>89.8%</w:t>
            </w:r>
          </w:p>
        </w:tc>
        <w:tc>
          <w:tcPr>
            <w:tcW w:w="339" w:type="pct"/>
            <w:shd w:val="clear" w:color="000000" w:fill="FFFFFF"/>
            <w:noWrap/>
            <w:vAlign w:val="center"/>
          </w:tcPr>
          <w:p w14:paraId="05B4C2D5"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02A3281B" w14:textId="793B8D42"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r w:rsidR="00AB379C" w:rsidRPr="00D54752" w14:paraId="1E478A5D" w14:textId="77777777" w:rsidTr="003B58F7">
        <w:trPr>
          <w:cantSplit/>
          <w:trHeight w:val="67"/>
        </w:trPr>
        <w:tc>
          <w:tcPr>
            <w:tcW w:w="286" w:type="pct"/>
            <w:shd w:val="clear" w:color="auto" w:fill="FFFFFF" w:themeFill="background1"/>
            <w:vAlign w:val="center"/>
            <w:hideMark/>
          </w:tcPr>
          <w:p w14:paraId="4C9AEC93"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6E72A81A"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Immunizations for Adolescents—HPV</w:t>
            </w:r>
          </w:p>
        </w:tc>
        <w:tc>
          <w:tcPr>
            <w:tcW w:w="250" w:type="pct"/>
            <w:shd w:val="clear" w:color="000000" w:fill="FFFFFF"/>
            <w:noWrap/>
            <w:vAlign w:val="center"/>
          </w:tcPr>
          <w:p w14:paraId="3FA7F272" w14:textId="77777777" w:rsidR="00AB379C" w:rsidRPr="00D54752" w:rsidRDefault="00AB379C" w:rsidP="007055F6">
            <w:pPr>
              <w:ind w:left="76"/>
              <w:jc w:val="center"/>
              <w:rPr>
                <w:rFonts w:eastAsia="Times New Roman" w:cstheme="minorHAnsi"/>
                <w:lang w:bidi="ar-SA"/>
              </w:rPr>
            </w:pPr>
            <w:r w:rsidRPr="00D54752">
              <w:rPr>
                <w:rFonts w:cstheme="minorHAnsi"/>
              </w:rPr>
              <w:t>411</w:t>
            </w:r>
          </w:p>
        </w:tc>
        <w:tc>
          <w:tcPr>
            <w:tcW w:w="250" w:type="pct"/>
            <w:shd w:val="clear" w:color="000000" w:fill="FFFFFF"/>
            <w:vAlign w:val="center"/>
          </w:tcPr>
          <w:p w14:paraId="290CC2C7" w14:textId="77777777" w:rsidR="00AB379C" w:rsidRPr="00D54752" w:rsidRDefault="00AB379C" w:rsidP="007055F6">
            <w:pPr>
              <w:ind w:left="76"/>
              <w:jc w:val="center"/>
              <w:rPr>
                <w:rFonts w:eastAsia="Times New Roman" w:cstheme="minorHAnsi"/>
                <w:lang w:bidi="ar-SA"/>
              </w:rPr>
            </w:pPr>
            <w:r w:rsidRPr="00D54752">
              <w:rPr>
                <w:rFonts w:cstheme="minorHAnsi"/>
              </w:rPr>
              <w:t>164</w:t>
            </w:r>
          </w:p>
        </w:tc>
        <w:tc>
          <w:tcPr>
            <w:tcW w:w="249" w:type="pct"/>
            <w:shd w:val="clear" w:color="000000" w:fill="FFFFFF"/>
            <w:vAlign w:val="center"/>
          </w:tcPr>
          <w:p w14:paraId="69990B15" w14:textId="77777777" w:rsidR="00AB379C" w:rsidRPr="00D54752" w:rsidRDefault="00AB379C" w:rsidP="007055F6">
            <w:pPr>
              <w:ind w:left="76"/>
              <w:jc w:val="center"/>
              <w:rPr>
                <w:rFonts w:eastAsia="Times New Roman" w:cstheme="minorHAnsi"/>
                <w:b/>
                <w:bCs/>
                <w:lang w:bidi="ar-SA"/>
              </w:rPr>
            </w:pPr>
            <w:r w:rsidRPr="00D54752">
              <w:rPr>
                <w:rFonts w:cstheme="minorHAnsi"/>
                <w:b/>
                <w:bCs/>
              </w:rPr>
              <w:t>39.9%</w:t>
            </w:r>
          </w:p>
        </w:tc>
        <w:tc>
          <w:tcPr>
            <w:tcW w:w="374" w:type="pct"/>
            <w:shd w:val="clear" w:color="000000" w:fill="FFFFFF"/>
            <w:noWrap/>
            <w:vAlign w:val="center"/>
          </w:tcPr>
          <w:p w14:paraId="2F4B06B6" w14:textId="77777777" w:rsidR="00AB379C" w:rsidRPr="00D54752" w:rsidRDefault="00AB379C" w:rsidP="007055F6">
            <w:pPr>
              <w:ind w:left="76"/>
              <w:jc w:val="center"/>
              <w:rPr>
                <w:rFonts w:eastAsia="Times New Roman" w:cstheme="minorHAnsi"/>
                <w:lang w:bidi="ar-SA"/>
              </w:rPr>
            </w:pPr>
            <w:r w:rsidRPr="00D54752">
              <w:rPr>
                <w:rFonts w:cstheme="minorHAnsi"/>
              </w:rPr>
              <w:t>35.0%</w:t>
            </w:r>
          </w:p>
        </w:tc>
        <w:tc>
          <w:tcPr>
            <w:tcW w:w="406" w:type="pct"/>
            <w:shd w:val="clear" w:color="000000" w:fill="FFFFFF"/>
            <w:noWrap/>
            <w:vAlign w:val="center"/>
          </w:tcPr>
          <w:p w14:paraId="6C4D450A" w14:textId="77777777" w:rsidR="00AB379C" w:rsidRPr="00D54752" w:rsidRDefault="00AB379C" w:rsidP="007055F6">
            <w:pPr>
              <w:ind w:left="76"/>
              <w:jc w:val="center"/>
              <w:rPr>
                <w:rFonts w:eastAsia="Times New Roman" w:cstheme="minorHAnsi"/>
                <w:lang w:bidi="ar-SA"/>
              </w:rPr>
            </w:pPr>
            <w:r w:rsidRPr="00D54752">
              <w:rPr>
                <w:rFonts w:cstheme="minorHAnsi"/>
              </w:rPr>
              <w:t>44.8%</w:t>
            </w:r>
          </w:p>
        </w:tc>
        <w:tc>
          <w:tcPr>
            <w:tcW w:w="343" w:type="pct"/>
            <w:shd w:val="clear" w:color="000000" w:fill="FFFFFF"/>
            <w:noWrap/>
            <w:vAlign w:val="center"/>
          </w:tcPr>
          <w:p w14:paraId="6B5E7110" w14:textId="77777777" w:rsidR="00AB379C" w:rsidRPr="00D54752" w:rsidRDefault="00AB379C" w:rsidP="007055F6">
            <w:pPr>
              <w:ind w:left="76"/>
              <w:jc w:val="center"/>
              <w:rPr>
                <w:rFonts w:eastAsia="Times New Roman" w:cstheme="minorHAnsi"/>
                <w:lang w:bidi="ar-SA"/>
              </w:rPr>
            </w:pPr>
            <w:r w:rsidRPr="00D54752">
              <w:rPr>
                <w:rFonts w:cstheme="minorHAnsi"/>
              </w:rPr>
              <w:t>38.2%</w:t>
            </w:r>
          </w:p>
        </w:tc>
        <w:tc>
          <w:tcPr>
            <w:tcW w:w="343" w:type="pct"/>
            <w:shd w:val="clear" w:color="000000" w:fill="FFFFFF"/>
            <w:noWrap/>
            <w:vAlign w:val="center"/>
          </w:tcPr>
          <w:p w14:paraId="21246A53"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0D0FC135" w14:textId="77777777" w:rsidR="00AB379C" w:rsidRPr="00D54752" w:rsidRDefault="00AB379C" w:rsidP="007055F6">
            <w:pPr>
              <w:ind w:left="76"/>
              <w:jc w:val="center"/>
              <w:rPr>
                <w:rFonts w:eastAsia="Times New Roman" w:cstheme="minorHAnsi"/>
                <w:lang w:bidi="ar-SA"/>
              </w:rPr>
            </w:pPr>
            <w:r w:rsidRPr="00D54752">
              <w:rPr>
                <w:rFonts w:cstheme="minorHAnsi"/>
              </w:rPr>
              <w:t>38.9%</w:t>
            </w:r>
          </w:p>
        </w:tc>
        <w:tc>
          <w:tcPr>
            <w:tcW w:w="339" w:type="pct"/>
            <w:shd w:val="clear" w:color="000000" w:fill="FFFFFF"/>
            <w:noWrap/>
            <w:vAlign w:val="center"/>
          </w:tcPr>
          <w:p w14:paraId="3073B392"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61BCAD0C" w14:textId="31A7246D"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r w:rsidR="00AB379C" w:rsidRPr="00D54752" w14:paraId="0117CB2F" w14:textId="77777777" w:rsidTr="003B58F7">
        <w:trPr>
          <w:cantSplit/>
          <w:trHeight w:val="67"/>
        </w:trPr>
        <w:tc>
          <w:tcPr>
            <w:tcW w:w="286" w:type="pct"/>
            <w:shd w:val="clear" w:color="auto" w:fill="FFFFFF" w:themeFill="background1"/>
            <w:vAlign w:val="center"/>
            <w:hideMark/>
          </w:tcPr>
          <w:p w14:paraId="3993E5EE"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79E8B49F"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Immunizations for Adolescents—</w:t>
            </w:r>
            <w:r w:rsidRPr="00D54752">
              <w:rPr>
                <w:rFonts w:eastAsia="Times New Roman" w:cstheme="minorHAnsi"/>
                <w:lang w:bidi="ar-SA"/>
              </w:rPr>
              <w:br/>
              <w:t>Combination 1</w:t>
            </w:r>
          </w:p>
        </w:tc>
        <w:tc>
          <w:tcPr>
            <w:tcW w:w="250" w:type="pct"/>
            <w:shd w:val="clear" w:color="000000" w:fill="FFFFFF"/>
            <w:noWrap/>
            <w:vAlign w:val="center"/>
          </w:tcPr>
          <w:p w14:paraId="6F663DCE" w14:textId="77777777" w:rsidR="00AB379C" w:rsidRPr="00D54752" w:rsidRDefault="00AB379C" w:rsidP="007055F6">
            <w:pPr>
              <w:ind w:left="76"/>
              <w:jc w:val="center"/>
              <w:rPr>
                <w:rFonts w:eastAsia="Times New Roman" w:cstheme="minorHAnsi"/>
                <w:lang w:bidi="ar-SA"/>
              </w:rPr>
            </w:pPr>
            <w:r w:rsidRPr="00D54752">
              <w:rPr>
                <w:rFonts w:cstheme="minorHAnsi"/>
              </w:rPr>
              <w:t>411</w:t>
            </w:r>
          </w:p>
        </w:tc>
        <w:tc>
          <w:tcPr>
            <w:tcW w:w="250" w:type="pct"/>
            <w:shd w:val="clear" w:color="000000" w:fill="FFFFFF"/>
            <w:vAlign w:val="center"/>
          </w:tcPr>
          <w:p w14:paraId="405E0664" w14:textId="77777777" w:rsidR="00AB379C" w:rsidRPr="00D54752" w:rsidRDefault="00AB379C" w:rsidP="007055F6">
            <w:pPr>
              <w:ind w:left="76"/>
              <w:jc w:val="center"/>
              <w:rPr>
                <w:rFonts w:eastAsia="Times New Roman" w:cstheme="minorHAnsi"/>
                <w:lang w:bidi="ar-SA"/>
              </w:rPr>
            </w:pPr>
            <w:r w:rsidRPr="00D54752">
              <w:rPr>
                <w:rFonts w:cstheme="minorHAnsi"/>
              </w:rPr>
              <w:t>356</w:t>
            </w:r>
          </w:p>
        </w:tc>
        <w:tc>
          <w:tcPr>
            <w:tcW w:w="249" w:type="pct"/>
            <w:shd w:val="clear" w:color="000000" w:fill="FFFFFF"/>
            <w:vAlign w:val="center"/>
          </w:tcPr>
          <w:p w14:paraId="7227FC39" w14:textId="77777777" w:rsidR="00AB379C" w:rsidRPr="00D54752" w:rsidRDefault="00AB379C" w:rsidP="007055F6">
            <w:pPr>
              <w:ind w:left="76"/>
              <w:jc w:val="center"/>
              <w:rPr>
                <w:rFonts w:eastAsia="Times New Roman" w:cstheme="minorHAnsi"/>
                <w:b/>
                <w:bCs/>
                <w:lang w:bidi="ar-SA"/>
              </w:rPr>
            </w:pPr>
            <w:r w:rsidRPr="00D54752">
              <w:rPr>
                <w:rFonts w:cstheme="minorHAnsi"/>
                <w:b/>
                <w:bCs/>
              </w:rPr>
              <w:t>86.6%</w:t>
            </w:r>
          </w:p>
        </w:tc>
        <w:tc>
          <w:tcPr>
            <w:tcW w:w="374" w:type="pct"/>
            <w:shd w:val="clear" w:color="000000" w:fill="FFFFFF"/>
            <w:noWrap/>
            <w:vAlign w:val="center"/>
          </w:tcPr>
          <w:p w14:paraId="03040501" w14:textId="77777777" w:rsidR="00AB379C" w:rsidRPr="00D54752" w:rsidRDefault="00AB379C" w:rsidP="007055F6">
            <w:pPr>
              <w:ind w:left="76"/>
              <w:jc w:val="center"/>
              <w:rPr>
                <w:rFonts w:eastAsia="Times New Roman" w:cstheme="minorHAnsi"/>
                <w:lang w:bidi="ar-SA"/>
              </w:rPr>
            </w:pPr>
            <w:r w:rsidRPr="00D54752">
              <w:rPr>
                <w:rFonts w:cstheme="minorHAnsi"/>
              </w:rPr>
              <w:t>83.2%</w:t>
            </w:r>
          </w:p>
        </w:tc>
        <w:tc>
          <w:tcPr>
            <w:tcW w:w="406" w:type="pct"/>
            <w:shd w:val="clear" w:color="000000" w:fill="FFFFFF"/>
            <w:noWrap/>
            <w:vAlign w:val="center"/>
          </w:tcPr>
          <w:p w14:paraId="4C40B93A" w14:textId="77777777" w:rsidR="00AB379C" w:rsidRPr="00D54752" w:rsidRDefault="00AB379C" w:rsidP="007055F6">
            <w:pPr>
              <w:ind w:left="76"/>
              <w:jc w:val="center"/>
              <w:rPr>
                <w:rFonts w:eastAsia="Times New Roman" w:cstheme="minorHAnsi"/>
                <w:lang w:bidi="ar-SA"/>
              </w:rPr>
            </w:pPr>
            <w:r w:rsidRPr="00D54752">
              <w:rPr>
                <w:rFonts w:cstheme="minorHAnsi"/>
              </w:rPr>
              <w:t>90.0%</w:t>
            </w:r>
          </w:p>
        </w:tc>
        <w:tc>
          <w:tcPr>
            <w:tcW w:w="343" w:type="pct"/>
            <w:shd w:val="clear" w:color="000000" w:fill="FFFFFF"/>
            <w:noWrap/>
            <w:vAlign w:val="center"/>
          </w:tcPr>
          <w:p w14:paraId="6A0EB2F2" w14:textId="77777777" w:rsidR="00AB379C" w:rsidRPr="00D54752" w:rsidRDefault="00AB379C" w:rsidP="007055F6">
            <w:pPr>
              <w:ind w:left="76"/>
              <w:jc w:val="center"/>
              <w:rPr>
                <w:rFonts w:eastAsia="Times New Roman" w:cstheme="minorHAnsi"/>
                <w:lang w:bidi="ar-SA"/>
              </w:rPr>
            </w:pPr>
            <w:r w:rsidRPr="00D54752">
              <w:rPr>
                <w:rFonts w:cstheme="minorHAnsi"/>
              </w:rPr>
              <w:t>89.8%</w:t>
            </w:r>
          </w:p>
        </w:tc>
        <w:tc>
          <w:tcPr>
            <w:tcW w:w="343" w:type="pct"/>
            <w:shd w:val="clear" w:color="000000" w:fill="FFFFFF"/>
            <w:noWrap/>
            <w:vAlign w:val="center"/>
          </w:tcPr>
          <w:p w14:paraId="50F3ECB1"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38CC2907" w14:textId="77777777" w:rsidR="00AB379C" w:rsidRPr="00D54752" w:rsidRDefault="00AB379C" w:rsidP="007055F6">
            <w:pPr>
              <w:ind w:left="76"/>
              <w:jc w:val="center"/>
              <w:rPr>
                <w:rFonts w:eastAsia="Times New Roman" w:cstheme="minorHAnsi"/>
                <w:lang w:bidi="ar-SA"/>
              </w:rPr>
            </w:pPr>
            <w:r w:rsidRPr="00D54752">
              <w:rPr>
                <w:rFonts w:cstheme="minorHAnsi"/>
              </w:rPr>
              <w:t>88.5%</w:t>
            </w:r>
          </w:p>
        </w:tc>
        <w:tc>
          <w:tcPr>
            <w:tcW w:w="339" w:type="pct"/>
            <w:shd w:val="clear" w:color="000000" w:fill="FFFFFF"/>
            <w:noWrap/>
            <w:vAlign w:val="center"/>
          </w:tcPr>
          <w:p w14:paraId="0B4ECC82"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69085E55" w14:textId="08896577"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6106085D" w14:textId="77777777" w:rsidTr="003B58F7">
        <w:trPr>
          <w:cantSplit/>
          <w:trHeight w:val="67"/>
        </w:trPr>
        <w:tc>
          <w:tcPr>
            <w:tcW w:w="286" w:type="pct"/>
            <w:shd w:val="clear" w:color="auto" w:fill="FFFFFF" w:themeFill="background1"/>
            <w:vAlign w:val="center"/>
            <w:hideMark/>
          </w:tcPr>
          <w:p w14:paraId="08DA778F"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4029663E"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Immunizations for Adolescents—</w:t>
            </w:r>
            <w:r w:rsidRPr="00D54752">
              <w:rPr>
                <w:rFonts w:eastAsia="Times New Roman" w:cstheme="minorHAnsi"/>
                <w:lang w:bidi="ar-SA"/>
              </w:rPr>
              <w:br/>
              <w:t>Combination 2</w:t>
            </w:r>
          </w:p>
        </w:tc>
        <w:tc>
          <w:tcPr>
            <w:tcW w:w="250" w:type="pct"/>
            <w:shd w:val="clear" w:color="000000" w:fill="FFFFFF"/>
            <w:noWrap/>
            <w:vAlign w:val="center"/>
          </w:tcPr>
          <w:p w14:paraId="0F442DD5" w14:textId="77777777" w:rsidR="00AB379C" w:rsidRPr="00D54752" w:rsidRDefault="00AB379C" w:rsidP="007055F6">
            <w:pPr>
              <w:ind w:left="76"/>
              <w:jc w:val="center"/>
              <w:rPr>
                <w:rFonts w:eastAsia="Times New Roman" w:cstheme="minorHAnsi"/>
                <w:lang w:bidi="ar-SA"/>
              </w:rPr>
            </w:pPr>
            <w:r w:rsidRPr="00D54752">
              <w:rPr>
                <w:rFonts w:cstheme="minorHAnsi"/>
              </w:rPr>
              <w:t>411</w:t>
            </w:r>
          </w:p>
        </w:tc>
        <w:tc>
          <w:tcPr>
            <w:tcW w:w="250" w:type="pct"/>
            <w:shd w:val="clear" w:color="000000" w:fill="FFFFFF"/>
            <w:vAlign w:val="center"/>
          </w:tcPr>
          <w:p w14:paraId="459F0352" w14:textId="77777777" w:rsidR="00AB379C" w:rsidRPr="00D54752" w:rsidRDefault="00AB379C" w:rsidP="007055F6">
            <w:pPr>
              <w:ind w:left="76"/>
              <w:jc w:val="center"/>
              <w:rPr>
                <w:rFonts w:eastAsia="Times New Roman" w:cstheme="minorHAnsi"/>
                <w:lang w:bidi="ar-SA"/>
              </w:rPr>
            </w:pPr>
            <w:r w:rsidRPr="00D54752">
              <w:rPr>
                <w:rFonts w:cstheme="minorHAnsi"/>
              </w:rPr>
              <w:t>164</w:t>
            </w:r>
          </w:p>
        </w:tc>
        <w:tc>
          <w:tcPr>
            <w:tcW w:w="249" w:type="pct"/>
            <w:shd w:val="clear" w:color="000000" w:fill="FFFFFF"/>
            <w:vAlign w:val="center"/>
          </w:tcPr>
          <w:p w14:paraId="004F2A73" w14:textId="77777777" w:rsidR="00AB379C" w:rsidRPr="00D54752" w:rsidRDefault="00AB379C" w:rsidP="007055F6">
            <w:pPr>
              <w:ind w:left="76"/>
              <w:jc w:val="center"/>
              <w:rPr>
                <w:rFonts w:eastAsia="Times New Roman" w:cstheme="minorHAnsi"/>
                <w:b/>
                <w:bCs/>
                <w:lang w:bidi="ar-SA"/>
              </w:rPr>
            </w:pPr>
            <w:r w:rsidRPr="00D54752">
              <w:rPr>
                <w:rFonts w:cstheme="minorHAnsi"/>
                <w:b/>
                <w:bCs/>
              </w:rPr>
              <w:t>39.9%</w:t>
            </w:r>
          </w:p>
        </w:tc>
        <w:tc>
          <w:tcPr>
            <w:tcW w:w="374" w:type="pct"/>
            <w:shd w:val="clear" w:color="000000" w:fill="FFFFFF"/>
            <w:noWrap/>
            <w:vAlign w:val="center"/>
          </w:tcPr>
          <w:p w14:paraId="781C2017" w14:textId="77777777" w:rsidR="00AB379C" w:rsidRPr="00D54752" w:rsidRDefault="00AB379C" w:rsidP="007055F6">
            <w:pPr>
              <w:ind w:left="76"/>
              <w:jc w:val="center"/>
              <w:rPr>
                <w:rFonts w:eastAsia="Times New Roman" w:cstheme="minorHAnsi"/>
                <w:lang w:bidi="ar-SA"/>
              </w:rPr>
            </w:pPr>
            <w:r w:rsidRPr="00D54752">
              <w:rPr>
                <w:rFonts w:cstheme="minorHAnsi"/>
              </w:rPr>
              <w:t>35.0%</w:t>
            </w:r>
          </w:p>
        </w:tc>
        <w:tc>
          <w:tcPr>
            <w:tcW w:w="406" w:type="pct"/>
            <w:shd w:val="clear" w:color="000000" w:fill="FFFFFF"/>
            <w:noWrap/>
            <w:vAlign w:val="center"/>
          </w:tcPr>
          <w:p w14:paraId="6A0819E6" w14:textId="77777777" w:rsidR="00AB379C" w:rsidRPr="00D54752" w:rsidRDefault="00AB379C" w:rsidP="007055F6">
            <w:pPr>
              <w:ind w:left="76"/>
              <w:jc w:val="center"/>
              <w:rPr>
                <w:rFonts w:eastAsia="Times New Roman" w:cstheme="minorHAnsi"/>
                <w:lang w:bidi="ar-SA"/>
              </w:rPr>
            </w:pPr>
            <w:r w:rsidRPr="00D54752">
              <w:rPr>
                <w:rFonts w:cstheme="minorHAnsi"/>
              </w:rPr>
              <w:t>44.8%</w:t>
            </w:r>
          </w:p>
        </w:tc>
        <w:tc>
          <w:tcPr>
            <w:tcW w:w="343" w:type="pct"/>
            <w:shd w:val="clear" w:color="000000" w:fill="FFFFFF"/>
            <w:noWrap/>
            <w:vAlign w:val="center"/>
          </w:tcPr>
          <w:p w14:paraId="53D68B68" w14:textId="77777777" w:rsidR="00AB379C" w:rsidRPr="00D54752" w:rsidRDefault="00AB379C" w:rsidP="007055F6">
            <w:pPr>
              <w:ind w:left="76"/>
              <w:jc w:val="center"/>
              <w:rPr>
                <w:rFonts w:eastAsia="Times New Roman" w:cstheme="minorHAnsi"/>
                <w:lang w:bidi="ar-SA"/>
              </w:rPr>
            </w:pPr>
            <w:r w:rsidRPr="00D54752">
              <w:rPr>
                <w:rFonts w:cstheme="minorHAnsi"/>
              </w:rPr>
              <w:t>37.7%</w:t>
            </w:r>
          </w:p>
        </w:tc>
        <w:tc>
          <w:tcPr>
            <w:tcW w:w="343" w:type="pct"/>
            <w:shd w:val="clear" w:color="000000" w:fill="FFFFFF"/>
            <w:noWrap/>
            <w:vAlign w:val="center"/>
          </w:tcPr>
          <w:p w14:paraId="68AF0279"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1CFED92A" w14:textId="77777777" w:rsidR="00AB379C" w:rsidRPr="00D54752" w:rsidRDefault="00AB379C" w:rsidP="007055F6">
            <w:pPr>
              <w:ind w:left="76"/>
              <w:jc w:val="center"/>
              <w:rPr>
                <w:rFonts w:eastAsia="Times New Roman" w:cstheme="minorHAnsi"/>
                <w:lang w:bidi="ar-SA"/>
              </w:rPr>
            </w:pPr>
            <w:r w:rsidRPr="00D54752">
              <w:rPr>
                <w:rFonts w:cstheme="minorHAnsi"/>
              </w:rPr>
              <w:t>38.6%</w:t>
            </w:r>
          </w:p>
        </w:tc>
        <w:tc>
          <w:tcPr>
            <w:tcW w:w="339" w:type="pct"/>
            <w:shd w:val="clear" w:color="000000" w:fill="FFFFFF"/>
            <w:noWrap/>
            <w:vAlign w:val="center"/>
          </w:tcPr>
          <w:p w14:paraId="77DDE7BC"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17102271" w14:textId="7C819F2E"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r w:rsidR="00AB379C" w:rsidRPr="00D54752" w14:paraId="18BB527D" w14:textId="77777777" w:rsidTr="003B58F7">
        <w:trPr>
          <w:cantSplit/>
          <w:trHeight w:val="88"/>
        </w:trPr>
        <w:tc>
          <w:tcPr>
            <w:tcW w:w="286" w:type="pct"/>
            <w:shd w:val="clear" w:color="auto" w:fill="FFFFFF" w:themeFill="background1"/>
            <w:vAlign w:val="center"/>
            <w:hideMark/>
          </w:tcPr>
          <w:p w14:paraId="3F7BC448"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0A25D899" w14:textId="5EB2B04B"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Well-Child Visits in the First 30 Months of Life</w:t>
            </w:r>
            <w:r w:rsidRPr="00D54752">
              <w:rPr>
                <w:rFonts w:eastAsia="Times New Roman" w:cstheme="minorHAnsi"/>
                <w:lang w:bidi="ar-SA"/>
              </w:rPr>
              <w:br/>
              <w:t>(</w:t>
            </w:r>
            <w:r w:rsidR="007A7B45">
              <w:rPr>
                <w:rFonts w:eastAsia="Times New Roman" w:cstheme="minorHAnsi"/>
                <w:lang w:bidi="ar-SA"/>
              </w:rPr>
              <w:t xml:space="preserve">Age </w:t>
            </w:r>
            <w:r w:rsidRPr="00D54752">
              <w:rPr>
                <w:rFonts w:eastAsia="Times New Roman" w:cstheme="minorHAnsi"/>
                <w:lang w:bidi="ar-SA"/>
              </w:rPr>
              <w:t>15 months ≥ 6 Visits)</w:t>
            </w:r>
          </w:p>
        </w:tc>
        <w:tc>
          <w:tcPr>
            <w:tcW w:w="250" w:type="pct"/>
            <w:shd w:val="clear" w:color="000000" w:fill="FFFFFF"/>
            <w:noWrap/>
            <w:vAlign w:val="center"/>
          </w:tcPr>
          <w:p w14:paraId="68F32246" w14:textId="77777777" w:rsidR="00AB379C" w:rsidRPr="00D54752" w:rsidRDefault="00AB379C" w:rsidP="007055F6">
            <w:pPr>
              <w:ind w:left="76"/>
              <w:jc w:val="center"/>
              <w:rPr>
                <w:rFonts w:eastAsia="Times New Roman" w:cstheme="minorHAnsi"/>
                <w:lang w:bidi="ar-SA"/>
              </w:rPr>
            </w:pPr>
            <w:r w:rsidRPr="00D54752">
              <w:rPr>
                <w:rFonts w:cstheme="minorHAnsi"/>
              </w:rPr>
              <w:t>337</w:t>
            </w:r>
          </w:p>
        </w:tc>
        <w:tc>
          <w:tcPr>
            <w:tcW w:w="250" w:type="pct"/>
            <w:shd w:val="clear" w:color="000000" w:fill="FFFFFF"/>
            <w:vAlign w:val="center"/>
          </w:tcPr>
          <w:p w14:paraId="5276B637" w14:textId="77777777" w:rsidR="00AB379C" w:rsidRPr="00D54752" w:rsidRDefault="00AB379C" w:rsidP="007055F6">
            <w:pPr>
              <w:ind w:left="76"/>
              <w:jc w:val="center"/>
              <w:rPr>
                <w:rFonts w:eastAsia="Times New Roman" w:cstheme="minorHAnsi"/>
                <w:lang w:bidi="ar-SA"/>
              </w:rPr>
            </w:pPr>
            <w:r w:rsidRPr="00D54752">
              <w:rPr>
                <w:rFonts w:cstheme="minorHAnsi"/>
              </w:rPr>
              <w:t>241</w:t>
            </w:r>
          </w:p>
        </w:tc>
        <w:tc>
          <w:tcPr>
            <w:tcW w:w="249" w:type="pct"/>
            <w:shd w:val="clear" w:color="000000" w:fill="FFFFFF"/>
            <w:vAlign w:val="center"/>
          </w:tcPr>
          <w:p w14:paraId="2F392D34" w14:textId="77777777" w:rsidR="00AB379C" w:rsidRPr="00D54752" w:rsidRDefault="00AB379C" w:rsidP="007055F6">
            <w:pPr>
              <w:ind w:left="76"/>
              <w:jc w:val="center"/>
              <w:rPr>
                <w:rFonts w:eastAsia="Times New Roman" w:cstheme="minorHAnsi"/>
                <w:b/>
                <w:bCs/>
                <w:lang w:bidi="ar-SA"/>
              </w:rPr>
            </w:pPr>
            <w:r w:rsidRPr="00D54752">
              <w:rPr>
                <w:rFonts w:cstheme="minorHAnsi"/>
                <w:b/>
                <w:bCs/>
              </w:rPr>
              <w:t>71.5%</w:t>
            </w:r>
          </w:p>
        </w:tc>
        <w:tc>
          <w:tcPr>
            <w:tcW w:w="374" w:type="pct"/>
            <w:shd w:val="clear" w:color="000000" w:fill="FFFFFF"/>
            <w:noWrap/>
            <w:vAlign w:val="center"/>
          </w:tcPr>
          <w:p w14:paraId="3F87F9D5" w14:textId="77777777" w:rsidR="00AB379C" w:rsidRPr="00D54752" w:rsidRDefault="00AB379C" w:rsidP="007055F6">
            <w:pPr>
              <w:ind w:left="76"/>
              <w:jc w:val="center"/>
              <w:rPr>
                <w:rFonts w:eastAsia="Times New Roman" w:cstheme="minorHAnsi"/>
                <w:lang w:bidi="ar-SA"/>
              </w:rPr>
            </w:pPr>
            <w:r w:rsidRPr="00D54752">
              <w:rPr>
                <w:rFonts w:cstheme="minorHAnsi"/>
              </w:rPr>
              <w:t>66.5%</w:t>
            </w:r>
          </w:p>
        </w:tc>
        <w:tc>
          <w:tcPr>
            <w:tcW w:w="406" w:type="pct"/>
            <w:shd w:val="clear" w:color="000000" w:fill="FFFFFF"/>
            <w:noWrap/>
            <w:vAlign w:val="center"/>
          </w:tcPr>
          <w:p w14:paraId="5E884754" w14:textId="77777777" w:rsidR="00AB379C" w:rsidRPr="00D54752" w:rsidRDefault="00AB379C" w:rsidP="007055F6">
            <w:pPr>
              <w:ind w:left="76"/>
              <w:jc w:val="center"/>
              <w:rPr>
                <w:rFonts w:eastAsia="Times New Roman" w:cstheme="minorHAnsi"/>
                <w:lang w:bidi="ar-SA"/>
              </w:rPr>
            </w:pPr>
            <w:r w:rsidRPr="00D54752">
              <w:rPr>
                <w:rFonts w:cstheme="minorHAnsi"/>
              </w:rPr>
              <w:t>76.5%</w:t>
            </w:r>
          </w:p>
        </w:tc>
        <w:tc>
          <w:tcPr>
            <w:tcW w:w="343" w:type="pct"/>
            <w:shd w:val="clear" w:color="000000" w:fill="FFFFFF"/>
            <w:noWrap/>
            <w:vAlign w:val="center"/>
          </w:tcPr>
          <w:p w14:paraId="2D255163" w14:textId="77777777" w:rsidR="00AB379C" w:rsidRPr="00D54752" w:rsidRDefault="00AB379C" w:rsidP="007055F6">
            <w:pPr>
              <w:ind w:left="76"/>
              <w:jc w:val="center"/>
              <w:rPr>
                <w:rFonts w:eastAsia="Times New Roman" w:cstheme="minorHAnsi"/>
                <w:lang w:bidi="ar-SA"/>
              </w:rPr>
            </w:pPr>
            <w:r w:rsidRPr="00D54752">
              <w:rPr>
                <w:rFonts w:cstheme="minorHAnsi"/>
              </w:rPr>
              <w:t>78.2%</w:t>
            </w:r>
          </w:p>
        </w:tc>
        <w:tc>
          <w:tcPr>
            <w:tcW w:w="343" w:type="pct"/>
            <w:shd w:val="clear" w:color="000000" w:fill="FFFFFF"/>
            <w:noWrap/>
            <w:vAlign w:val="center"/>
          </w:tcPr>
          <w:p w14:paraId="0BAFFDB6"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287" w:type="pct"/>
            <w:shd w:val="clear" w:color="000000" w:fill="FFFFFF"/>
            <w:noWrap/>
            <w:vAlign w:val="center"/>
          </w:tcPr>
          <w:p w14:paraId="79A4F22D" w14:textId="77777777" w:rsidR="00AB379C" w:rsidRPr="00D54752" w:rsidRDefault="00AB379C" w:rsidP="007055F6">
            <w:pPr>
              <w:ind w:left="76"/>
              <w:jc w:val="center"/>
              <w:rPr>
                <w:rFonts w:eastAsia="Times New Roman" w:cstheme="minorHAnsi"/>
                <w:lang w:bidi="ar-SA"/>
              </w:rPr>
            </w:pPr>
            <w:r w:rsidRPr="00D54752">
              <w:rPr>
                <w:rFonts w:cstheme="minorHAnsi"/>
              </w:rPr>
              <w:t>59.3%</w:t>
            </w:r>
          </w:p>
        </w:tc>
        <w:tc>
          <w:tcPr>
            <w:tcW w:w="339" w:type="pct"/>
            <w:shd w:val="clear" w:color="000000" w:fill="FFFFFF"/>
            <w:noWrap/>
            <w:vAlign w:val="center"/>
          </w:tcPr>
          <w:p w14:paraId="47EB97FE"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3432B7A0" w14:textId="7A424F90"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064BA722" w14:textId="77777777" w:rsidTr="003B58F7">
        <w:trPr>
          <w:cantSplit/>
          <w:trHeight w:val="67"/>
        </w:trPr>
        <w:tc>
          <w:tcPr>
            <w:tcW w:w="286" w:type="pct"/>
            <w:shd w:val="clear" w:color="auto" w:fill="FFFFFF" w:themeFill="background1"/>
            <w:vAlign w:val="center"/>
            <w:hideMark/>
          </w:tcPr>
          <w:p w14:paraId="65584552"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lastRenderedPageBreak/>
              <w:t>HEDIS</w:t>
            </w:r>
          </w:p>
        </w:tc>
        <w:tc>
          <w:tcPr>
            <w:tcW w:w="1341" w:type="pct"/>
            <w:shd w:val="clear" w:color="auto" w:fill="FFFFFF" w:themeFill="background1"/>
            <w:vAlign w:val="center"/>
            <w:hideMark/>
          </w:tcPr>
          <w:p w14:paraId="066858AC" w14:textId="25B6E46E"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Well-Child Visits in the First 30 Months of Life</w:t>
            </w:r>
            <w:r w:rsidRPr="00D54752">
              <w:rPr>
                <w:rFonts w:eastAsia="Times New Roman" w:cstheme="minorHAnsi"/>
                <w:lang w:bidi="ar-SA"/>
              </w:rPr>
              <w:br/>
              <w:t>(</w:t>
            </w:r>
            <w:r w:rsidR="007A7B45">
              <w:rPr>
                <w:rFonts w:eastAsia="Times New Roman" w:cstheme="minorHAnsi"/>
                <w:lang w:bidi="ar-SA"/>
              </w:rPr>
              <w:t xml:space="preserve">Ages </w:t>
            </w:r>
            <w:r w:rsidRPr="00D54752">
              <w:rPr>
                <w:rFonts w:eastAsia="Times New Roman" w:cstheme="minorHAnsi"/>
                <w:lang w:bidi="ar-SA"/>
              </w:rPr>
              <w:t>15</w:t>
            </w:r>
            <w:r w:rsidR="007A7B45">
              <w:rPr>
                <w:rFonts w:eastAsia="Times New Roman" w:cstheme="minorHAnsi"/>
                <w:lang w:bidi="ar-SA"/>
              </w:rPr>
              <w:t>–</w:t>
            </w:r>
            <w:r w:rsidRPr="00D54752">
              <w:rPr>
                <w:rFonts w:eastAsia="Times New Roman" w:cstheme="minorHAnsi"/>
                <w:lang w:bidi="ar-SA"/>
              </w:rPr>
              <w:t>30 months ≥ 2 Visits)</w:t>
            </w:r>
          </w:p>
        </w:tc>
        <w:tc>
          <w:tcPr>
            <w:tcW w:w="250" w:type="pct"/>
            <w:shd w:val="clear" w:color="000000" w:fill="FFFFFF"/>
            <w:noWrap/>
            <w:vAlign w:val="center"/>
          </w:tcPr>
          <w:p w14:paraId="6C1E77F4" w14:textId="77777777" w:rsidR="00AB379C" w:rsidRPr="00D54752" w:rsidRDefault="00AB379C" w:rsidP="007055F6">
            <w:pPr>
              <w:ind w:left="76"/>
              <w:jc w:val="center"/>
              <w:rPr>
                <w:rFonts w:eastAsia="Times New Roman" w:cstheme="minorHAnsi"/>
                <w:lang w:bidi="ar-SA"/>
              </w:rPr>
            </w:pPr>
            <w:r w:rsidRPr="00D54752">
              <w:rPr>
                <w:rFonts w:cstheme="minorHAnsi"/>
              </w:rPr>
              <w:t>602</w:t>
            </w:r>
          </w:p>
        </w:tc>
        <w:tc>
          <w:tcPr>
            <w:tcW w:w="250" w:type="pct"/>
            <w:shd w:val="clear" w:color="000000" w:fill="FFFFFF"/>
            <w:vAlign w:val="center"/>
          </w:tcPr>
          <w:p w14:paraId="67ECB1B1" w14:textId="77777777" w:rsidR="00AB379C" w:rsidRPr="00D54752" w:rsidRDefault="00AB379C" w:rsidP="007055F6">
            <w:pPr>
              <w:ind w:left="76"/>
              <w:jc w:val="center"/>
              <w:rPr>
                <w:rFonts w:eastAsia="Times New Roman" w:cstheme="minorHAnsi"/>
                <w:lang w:bidi="ar-SA"/>
              </w:rPr>
            </w:pPr>
            <w:r w:rsidRPr="00D54752">
              <w:rPr>
                <w:rFonts w:cstheme="minorHAnsi"/>
              </w:rPr>
              <w:t>538</w:t>
            </w:r>
          </w:p>
        </w:tc>
        <w:tc>
          <w:tcPr>
            <w:tcW w:w="249" w:type="pct"/>
            <w:shd w:val="clear" w:color="000000" w:fill="FFFFFF"/>
            <w:vAlign w:val="center"/>
          </w:tcPr>
          <w:p w14:paraId="7E69BC6C" w14:textId="77777777" w:rsidR="00AB379C" w:rsidRPr="00D54752" w:rsidRDefault="00AB379C" w:rsidP="007055F6">
            <w:pPr>
              <w:ind w:left="76"/>
              <w:jc w:val="center"/>
              <w:rPr>
                <w:rFonts w:eastAsia="Times New Roman" w:cstheme="minorHAnsi"/>
                <w:b/>
                <w:bCs/>
                <w:lang w:bidi="ar-SA"/>
              </w:rPr>
            </w:pPr>
            <w:r w:rsidRPr="00D54752">
              <w:rPr>
                <w:rFonts w:cstheme="minorHAnsi"/>
                <w:b/>
                <w:bCs/>
              </w:rPr>
              <w:t>89.4%</w:t>
            </w:r>
          </w:p>
        </w:tc>
        <w:tc>
          <w:tcPr>
            <w:tcW w:w="374" w:type="pct"/>
            <w:shd w:val="clear" w:color="000000" w:fill="FFFFFF"/>
            <w:noWrap/>
            <w:vAlign w:val="center"/>
          </w:tcPr>
          <w:p w14:paraId="396E755E" w14:textId="77777777" w:rsidR="00AB379C" w:rsidRPr="00D54752" w:rsidRDefault="00AB379C" w:rsidP="007055F6">
            <w:pPr>
              <w:ind w:left="76"/>
              <w:jc w:val="center"/>
              <w:rPr>
                <w:rFonts w:eastAsia="Times New Roman" w:cstheme="minorHAnsi"/>
                <w:lang w:bidi="ar-SA"/>
              </w:rPr>
            </w:pPr>
            <w:r w:rsidRPr="00D54752">
              <w:rPr>
                <w:rFonts w:cstheme="minorHAnsi"/>
              </w:rPr>
              <w:t>86.8%</w:t>
            </w:r>
          </w:p>
        </w:tc>
        <w:tc>
          <w:tcPr>
            <w:tcW w:w="406" w:type="pct"/>
            <w:shd w:val="clear" w:color="000000" w:fill="FFFFFF"/>
            <w:noWrap/>
            <w:vAlign w:val="center"/>
          </w:tcPr>
          <w:p w14:paraId="5D9973FC" w14:textId="77777777" w:rsidR="00AB379C" w:rsidRPr="00D54752" w:rsidRDefault="00AB379C" w:rsidP="007055F6">
            <w:pPr>
              <w:ind w:left="76"/>
              <w:jc w:val="center"/>
              <w:rPr>
                <w:rFonts w:eastAsia="Times New Roman" w:cstheme="minorHAnsi"/>
                <w:lang w:bidi="ar-SA"/>
              </w:rPr>
            </w:pPr>
            <w:r w:rsidRPr="00D54752">
              <w:rPr>
                <w:rFonts w:cstheme="minorHAnsi"/>
              </w:rPr>
              <w:t>91.9%</w:t>
            </w:r>
          </w:p>
        </w:tc>
        <w:tc>
          <w:tcPr>
            <w:tcW w:w="343" w:type="pct"/>
            <w:shd w:val="clear" w:color="000000" w:fill="FFFFFF"/>
            <w:noWrap/>
            <w:vAlign w:val="center"/>
          </w:tcPr>
          <w:p w14:paraId="63036668" w14:textId="77777777" w:rsidR="00AB379C" w:rsidRPr="00D54752" w:rsidRDefault="00AB379C" w:rsidP="007055F6">
            <w:pPr>
              <w:ind w:left="76"/>
              <w:jc w:val="center"/>
              <w:rPr>
                <w:rFonts w:eastAsia="Times New Roman" w:cstheme="minorHAnsi"/>
                <w:lang w:bidi="ar-SA"/>
              </w:rPr>
            </w:pPr>
            <w:r w:rsidRPr="00D54752">
              <w:rPr>
                <w:rFonts w:cstheme="minorHAnsi"/>
              </w:rPr>
              <w:t>92.1%</w:t>
            </w:r>
          </w:p>
        </w:tc>
        <w:tc>
          <w:tcPr>
            <w:tcW w:w="343" w:type="pct"/>
            <w:shd w:val="clear" w:color="000000" w:fill="FFFFFF"/>
            <w:noWrap/>
            <w:vAlign w:val="center"/>
          </w:tcPr>
          <w:p w14:paraId="147C9826"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0AE5A0A8" w14:textId="77777777" w:rsidR="00AB379C" w:rsidRPr="00D54752" w:rsidRDefault="00AB379C" w:rsidP="007055F6">
            <w:pPr>
              <w:ind w:left="76"/>
              <w:jc w:val="center"/>
              <w:rPr>
                <w:rFonts w:eastAsia="Times New Roman" w:cstheme="minorHAnsi"/>
                <w:lang w:bidi="ar-SA"/>
              </w:rPr>
            </w:pPr>
            <w:r w:rsidRPr="00D54752">
              <w:rPr>
                <w:rFonts w:cstheme="minorHAnsi"/>
              </w:rPr>
              <w:t>85.8%</w:t>
            </w:r>
          </w:p>
        </w:tc>
        <w:tc>
          <w:tcPr>
            <w:tcW w:w="339" w:type="pct"/>
            <w:shd w:val="clear" w:color="000000" w:fill="FFFFFF"/>
            <w:noWrap/>
            <w:vAlign w:val="center"/>
          </w:tcPr>
          <w:p w14:paraId="2650FF03"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0C53CF7D" w14:textId="7A2B5A38"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7506AA86" w14:textId="77777777" w:rsidTr="003B58F7">
        <w:trPr>
          <w:cantSplit/>
          <w:trHeight w:val="67"/>
        </w:trPr>
        <w:tc>
          <w:tcPr>
            <w:tcW w:w="286" w:type="pct"/>
            <w:shd w:val="clear" w:color="auto" w:fill="FFFFFF" w:themeFill="background1"/>
            <w:vAlign w:val="center"/>
            <w:hideMark/>
          </w:tcPr>
          <w:p w14:paraId="1F578A16"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7C593373" w14:textId="57B11921"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 and Adolescent Well-Care Visits</w:t>
            </w:r>
            <w:r w:rsidRPr="00D54752">
              <w:rPr>
                <w:rFonts w:eastAsia="Times New Roman" w:cstheme="minorHAnsi"/>
                <w:lang w:bidi="ar-SA"/>
              </w:rPr>
              <w:br/>
              <w:t>(</w:t>
            </w:r>
            <w:r w:rsidR="007A7B45">
              <w:rPr>
                <w:rFonts w:eastAsia="Times New Roman" w:cstheme="minorHAnsi"/>
                <w:lang w:bidi="ar-SA"/>
              </w:rPr>
              <w:t xml:space="preserve">Ages </w:t>
            </w:r>
            <w:r w:rsidRPr="00D54752">
              <w:rPr>
                <w:rFonts w:eastAsia="Times New Roman" w:cstheme="minorHAnsi"/>
                <w:lang w:bidi="ar-SA"/>
              </w:rPr>
              <w:t>3</w:t>
            </w:r>
            <w:r w:rsidR="00EA2591">
              <w:rPr>
                <w:rFonts w:eastAsia="Times New Roman" w:cstheme="minorHAnsi"/>
                <w:lang w:bidi="ar-SA"/>
              </w:rPr>
              <w:t>–</w:t>
            </w:r>
            <w:r w:rsidRPr="00D54752">
              <w:rPr>
                <w:rFonts w:eastAsia="Times New Roman" w:cstheme="minorHAnsi"/>
                <w:lang w:bidi="ar-SA"/>
              </w:rPr>
              <w:t>11 years)</w:t>
            </w:r>
          </w:p>
        </w:tc>
        <w:tc>
          <w:tcPr>
            <w:tcW w:w="250" w:type="pct"/>
            <w:shd w:val="clear" w:color="000000" w:fill="FFFFFF"/>
            <w:noWrap/>
            <w:vAlign w:val="center"/>
          </w:tcPr>
          <w:p w14:paraId="0517AB3B" w14:textId="77777777" w:rsidR="00AB379C" w:rsidRPr="00D54752" w:rsidRDefault="00AB379C" w:rsidP="007055F6">
            <w:pPr>
              <w:ind w:left="76"/>
              <w:jc w:val="center"/>
              <w:rPr>
                <w:rFonts w:eastAsia="Times New Roman" w:cstheme="minorHAnsi"/>
                <w:lang w:bidi="ar-SA"/>
              </w:rPr>
            </w:pPr>
            <w:r w:rsidRPr="00D54752">
              <w:rPr>
                <w:rFonts w:cstheme="minorHAnsi"/>
              </w:rPr>
              <w:t>13,486</w:t>
            </w:r>
          </w:p>
        </w:tc>
        <w:tc>
          <w:tcPr>
            <w:tcW w:w="250" w:type="pct"/>
            <w:shd w:val="clear" w:color="000000" w:fill="FFFFFF"/>
            <w:vAlign w:val="center"/>
          </w:tcPr>
          <w:p w14:paraId="7810B200" w14:textId="77777777" w:rsidR="00AB379C" w:rsidRPr="00D54752" w:rsidRDefault="00AB379C" w:rsidP="007055F6">
            <w:pPr>
              <w:ind w:left="76"/>
              <w:jc w:val="center"/>
              <w:rPr>
                <w:rFonts w:eastAsia="Times New Roman" w:cstheme="minorHAnsi"/>
                <w:lang w:bidi="ar-SA"/>
              </w:rPr>
            </w:pPr>
            <w:r w:rsidRPr="00D54752">
              <w:rPr>
                <w:rFonts w:cstheme="minorHAnsi"/>
              </w:rPr>
              <w:t>9,263</w:t>
            </w:r>
          </w:p>
        </w:tc>
        <w:tc>
          <w:tcPr>
            <w:tcW w:w="249" w:type="pct"/>
            <w:shd w:val="clear" w:color="000000" w:fill="FFFFFF"/>
            <w:vAlign w:val="center"/>
          </w:tcPr>
          <w:p w14:paraId="3389935A" w14:textId="77777777" w:rsidR="00AB379C" w:rsidRPr="00D54752" w:rsidRDefault="00AB379C" w:rsidP="007055F6">
            <w:pPr>
              <w:ind w:left="76"/>
              <w:jc w:val="center"/>
              <w:rPr>
                <w:rFonts w:eastAsia="Times New Roman" w:cstheme="minorHAnsi"/>
                <w:b/>
                <w:bCs/>
                <w:lang w:bidi="ar-SA"/>
              </w:rPr>
            </w:pPr>
            <w:r w:rsidRPr="00D54752">
              <w:rPr>
                <w:rFonts w:cstheme="minorHAnsi"/>
                <w:b/>
                <w:bCs/>
              </w:rPr>
              <w:t>68.7%</w:t>
            </w:r>
          </w:p>
        </w:tc>
        <w:tc>
          <w:tcPr>
            <w:tcW w:w="374" w:type="pct"/>
            <w:shd w:val="clear" w:color="000000" w:fill="FFFFFF"/>
            <w:noWrap/>
            <w:vAlign w:val="center"/>
          </w:tcPr>
          <w:p w14:paraId="3FE6A628" w14:textId="77777777" w:rsidR="00AB379C" w:rsidRPr="00D54752" w:rsidRDefault="00AB379C" w:rsidP="007055F6">
            <w:pPr>
              <w:ind w:left="76"/>
              <w:jc w:val="center"/>
              <w:rPr>
                <w:rFonts w:eastAsia="Times New Roman" w:cstheme="minorHAnsi"/>
                <w:lang w:bidi="ar-SA"/>
              </w:rPr>
            </w:pPr>
            <w:r w:rsidRPr="00D54752">
              <w:rPr>
                <w:rFonts w:cstheme="minorHAnsi"/>
              </w:rPr>
              <w:t>67.9%</w:t>
            </w:r>
          </w:p>
        </w:tc>
        <w:tc>
          <w:tcPr>
            <w:tcW w:w="406" w:type="pct"/>
            <w:shd w:val="clear" w:color="000000" w:fill="FFFFFF"/>
            <w:noWrap/>
            <w:vAlign w:val="center"/>
          </w:tcPr>
          <w:p w14:paraId="0E812ACB" w14:textId="77777777" w:rsidR="00AB379C" w:rsidRPr="00D54752" w:rsidRDefault="00AB379C" w:rsidP="007055F6">
            <w:pPr>
              <w:ind w:left="76"/>
              <w:jc w:val="center"/>
              <w:rPr>
                <w:rFonts w:eastAsia="Times New Roman" w:cstheme="minorHAnsi"/>
                <w:lang w:bidi="ar-SA"/>
              </w:rPr>
            </w:pPr>
            <w:r w:rsidRPr="00D54752">
              <w:rPr>
                <w:rFonts w:cstheme="minorHAnsi"/>
              </w:rPr>
              <w:t>69.5%</w:t>
            </w:r>
          </w:p>
        </w:tc>
        <w:tc>
          <w:tcPr>
            <w:tcW w:w="343" w:type="pct"/>
            <w:shd w:val="clear" w:color="000000" w:fill="FFFFFF"/>
            <w:noWrap/>
            <w:vAlign w:val="center"/>
          </w:tcPr>
          <w:p w14:paraId="0C53748F" w14:textId="77777777" w:rsidR="00AB379C" w:rsidRPr="00D54752" w:rsidRDefault="00AB379C" w:rsidP="007055F6">
            <w:pPr>
              <w:ind w:left="76"/>
              <w:jc w:val="center"/>
              <w:rPr>
                <w:rFonts w:eastAsia="Times New Roman" w:cstheme="minorHAnsi"/>
                <w:lang w:bidi="ar-SA"/>
              </w:rPr>
            </w:pPr>
            <w:r w:rsidRPr="00D54752">
              <w:rPr>
                <w:rFonts w:cstheme="minorHAnsi"/>
              </w:rPr>
              <w:t>68.9%</w:t>
            </w:r>
          </w:p>
        </w:tc>
        <w:tc>
          <w:tcPr>
            <w:tcW w:w="343" w:type="pct"/>
            <w:shd w:val="clear" w:color="000000" w:fill="FFFFFF"/>
            <w:noWrap/>
            <w:vAlign w:val="center"/>
          </w:tcPr>
          <w:p w14:paraId="78AB3802"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5B90AF6B" w14:textId="77777777" w:rsidR="00AB379C" w:rsidRPr="00D54752" w:rsidRDefault="00AB379C" w:rsidP="007055F6">
            <w:pPr>
              <w:ind w:left="76"/>
              <w:jc w:val="center"/>
              <w:rPr>
                <w:rFonts w:eastAsia="Times New Roman" w:cstheme="minorHAnsi"/>
                <w:lang w:bidi="ar-SA"/>
              </w:rPr>
            </w:pPr>
            <w:r w:rsidRPr="00D54752">
              <w:rPr>
                <w:rFonts w:cstheme="minorHAnsi"/>
              </w:rPr>
              <w:t>67.1%</w:t>
            </w:r>
          </w:p>
        </w:tc>
        <w:tc>
          <w:tcPr>
            <w:tcW w:w="339" w:type="pct"/>
            <w:shd w:val="clear" w:color="000000" w:fill="FFFFFF"/>
            <w:noWrap/>
            <w:vAlign w:val="center"/>
          </w:tcPr>
          <w:p w14:paraId="58A67E1A"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06408A4F" w14:textId="31D06F78"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7278BF04" w14:textId="77777777" w:rsidTr="003B58F7">
        <w:trPr>
          <w:cantSplit/>
          <w:trHeight w:val="67"/>
        </w:trPr>
        <w:tc>
          <w:tcPr>
            <w:tcW w:w="286" w:type="pct"/>
            <w:shd w:val="clear" w:color="auto" w:fill="FFFFFF" w:themeFill="background1"/>
            <w:vAlign w:val="center"/>
            <w:hideMark/>
          </w:tcPr>
          <w:p w14:paraId="1BC8CEDE"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01B4DB9E" w14:textId="57DEF8D0"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 xml:space="preserve">Child and Adolescent Well-Care Visits </w:t>
            </w:r>
            <w:r w:rsidRPr="00D54752">
              <w:rPr>
                <w:rFonts w:eastAsia="Times New Roman" w:cstheme="minorHAnsi"/>
                <w:lang w:bidi="ar-SA"/>
              </w:rPr>
              <w:br/>
              <w:t>(</w:t>
            </w:r>
            <w:r w:rsidR="007A7B45">
              <w:rPr>
                <w:rFonts w:eastAsia="Times New Roman" w:cstheme="minorHAnsi"/>
                <w:lang w:bidi="ar-SA"/>
              </w:rPr>
              <w:t xml:space="preserve">Ages </w:t>
            </w:r>
            <w:r w:rsidRPr="00D54752">
              <w:rPr>
                <w:rFonts w:eastAsia="Times New Roman" w:cstheme="minorHAnsi"/>
                <w:lang w:bidi="ar-SA"/>
              </w:rPr>
              <w:t>12</w:t>
            </w:r>
            <w:r w:rsidR="00EA2591">
              <w:rPr>
                <w:rFonts w:eastAsia="Times New Roman" w:cstheme="minorHAnsi"/>
                <w:lang w:bidi="ar-SA"/>
              </w:rPr>
              <w:t>–</w:t>
            </w:r>
            <w:r w:rsidRPr="00D54752">
              <w:rPr>
                <w:rFonts w:eastAsia="Times New Roman" w:cstheme="minorHAnsi"/>
                <w:lang w:bidi="ar-SA"/>
              </w:rPr>
              <w:t>17 years)</w:t>
            </w:r>
          </w:p>
        </w:tc>
        <w:tc>
          <w:tcPr>
            <w:tcW w:w="250" w:type="pct"/>
            <w:shd w:val="clear" w:color="000000" w:fill="FFFFFF"/>
            <w:noWrap/>
            <w:vAlign w:val="center"/>
          </w:tcPr>
          <w:p w14:paraId="1259DC05" w14:textId="77777777" w:rsidR="00AB379C" w:rsidRPr="00D54752" w:rsidRDefault="00AB379C" w:rsidP="007055F6">
            <w:pPr>
              <w:ind w:left="76"/>
              <w:jc w:val="center"/>
              <w:rPr>
                <w:rFonts w:eastAsia="Times New Roman" w:cstheme="minorHAnsi"/>
                <w:lang w:bidi="ar-SA"/>
              </w:rPr>
            </w:pPr>
            <w:r w:rsidRPr="00D54752">
              <w:rPr>
                <w:rFonts w:cstheme="minorHAnsi"/>
              </w:rPr>
              <w:t>11,006</w:t>
            </w:r>
          </w:p>
        </w:tc>
        <w:tc>
          <w:tcPr>
            <w:tcW w:w="250" w:type="pct"/>
            <w:shd w:val="clear" w:color="000000" w:fill="FFFFFF"/>
            <w:vAlign w:val="center"/>
          </w:tcPr>
          <w:p w14:paraId="1C5A7853" w14:textId="77777777" w:rsidR="00AB379C" w:rsidRPr="00D54752" w:rsidRDefault="00AB379C" w:rsidP="007055F6">
            <w:pPr>
              <w:ind w:left="76"/>
              <w:jc w:val="center"/>
              <w:rPr>
                <w:rFonts w:eastAsia="Times New Roman" w:cstheme="minorHAnsi"/>
                <w:lang w:bidi="ar-SA"/>
              </w:rPr>
            </w:pPr>
            <w:r w:rsidRPr="00D54752">
              <w:rPr>
                <w:rFonts w:cstheme="minorHAnsi"/>
              </w:rPr>
              <w:t>7,063</w:t>
            </w:r>
          </w:p>
        </w:tc>
        <w:tc>
          <w:tcPr>
            <w:tcW w:w="249" w:type="pct"/>
            <w:shd w:val="clear" w:color="000000" w:fill="FFFFFF"/>
            <w:vAlign w:val="center"/>
          </w:tcPr>
          <w:p w14:paraId="55C6BDBA" w14:textId="77777777" w:rsidR="00AB379C" w:rsidRPr="00D54752" w:rsidRDefault="00AB379C" w:rsidP="007055F6">
            <w:pPr>
              <w:ind w:left="76"/>
              <w:jc w:val="center"/>
              <w:rPr>
                <w:rFonts w:eastAsia="Times New Roman" w:cstheme="minorHAnsi"/>
                <w:b/>
                <w:bCs/>
                <w:lang w:bidi="ar-SA"/>
              </w:rPr>
            </w:pPr>
            <w:r w:rsidRPr="00D54752">
              <w:rPr>
                <w:rFonts w:cstheme="minorHAnsi"/>
                <w:b/>
                <w:bCs/>
              </w:rPr>
              <w:t>64.2%</w:t>
            </w:r>
          </w:p>
        </w:tc>
        <w:tc>
          <w:tcPr>
            <w:tcW w:w="374" w:type="pct"/>
            <w:shd w:val="clear" w:color="000000" w:fill="FFFFFF"/>
            <w:noWrap/>
            <w:vAlign w:val="center"/>
          </w:tcPr>
          <w:p w14:paraId="44695D8A" w14:textId="77777777" w:rsidR="00AB379C" w:rsidRPr="00D54752" w:rsidRDefault="00AB379C" w:rsidP="007055F6">
            <w:pPr>
              <w:ind w:left="76"/>
              <w:jc w:val="center"/>
              <w:rPr>
                <w:rFonts w:eastAsia="Times New Roman" w:cstheme="minorHAnsi"/>
                <w:lang w:bidi="ar-SA"/>
              </w:rPr>
            </w:pPr>
            <w:r w:rsidRPr="00D54752">
              <w:rPr>
                <w:rFonts w:cstheme="minorHAnsi"/>
              </w:rPr>
              <w:t>63.3%</w:t>
            </w:r>
          </w:p>
        </w:tc>
        <w:tc>
          <w:tcPr>
            <w:tcW w:w="406" w:type="pct"/>
            <w:shd w:val="clear" w:color="000000" w:fill="FFFFFF"/>
            <w:noWrap/>
            <w:vAlign w:val="center"/>
          </w:tcPr>
          <w:p w14:paraId="1936503A" w14:textId="77777777" w:rsidR="00AB379C" w:rsidRPr="00D54752" w:rsidRDefault="00AB379C" w:rsidP="007055F6">
            <w:pPr>
              <w:ind w:left="76"/>
              <w:jc w:val="center"/>
              <w:rPr>
                <w:rFonts w:eastAsia="Times New Roman" w:cstheme="minorHAnsi"/>
                <w:lang w:bidi="ar-SA"/>
              </w:rPr>
            </w:pPr>
            <w:r w:rsidRPr="00D54752">
              <w:rPr>
                <w:rFonts w:cstheme="minorHAnsi"/>
              </w:rPr>
              <w:t>65.1%</w:t>
            </w:r>
          </w:p>
        </w:tc>
        <w:tc>
          <w:tcPr>
            <w:tcW w:w="343" w:type="pct"/>
            <w:shd w:val="clear" w:color="000000" w:fill="FFFFFF"/>
            <w:noWrap/>
            <w:vAlign w:val="center"/>
          </w:tcPr>
          <w:p w14:paraId="53B0736C" w14:textId="77777777" w:rsidR="00AB379C" w:rsidRPr="00D54752" w:rsidRDefault="00AB379C" w:rsidP="007055F6">
            <w:pPr>
              <w:ind w:left="76"/>
              <w:jc w:val="center"/>
              <w:rPr>
                <w:rFonts w:eastAsia="Times New Roman" w:cstheme="minorHAnsi"/>
                <w:lang w:bidi="ar-SA"/>
              </w:rPr>
            </w:pPr>
            <w:r w:rsidRPr="00D54752">
              <w:rPr>
                <w:rFonts w:cstheme="minorHAnsi"/>
              </w:rPr>
              <w:t>64.9%</w:t>
            </w:r>
          </w:p>
        </w:tc>
        <w:tc>
          <w:tcPr>
            <w:tcW w:w="343" w:type="pct"/>
            <w:shd w:val="clear" w:color="000000" w:fill="FFFFFF"/>
            <w:noWrap/>
            <w:vAlign w:val="center"/>
          </w:tcPr>
          <w:p w14:paraId="3348D279"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0BBF3670" w14:textId="77777777" w:rsidR="00AB379C" w:rsidRPr="00D54752" w:rsidRDefault="00AB379C" w:rsidP="007055F6">
            <w:pPr>
              <w:ind w:left="76"/>
              <w:jc w:val="center"/>
              <w:rPr>
                <w:rFonts w:eastAsia="Times New Roman" w:cstheme="minorHAnsi"/>
                <w:lang w:bidi="ar-SA"/>
              </w:rPr>
            </w:pPr>
            <w:r w:rsidRPr="00D54752">
              <w:rPr>
                <w:rFonts w:cstheme="minorHAnsi"/>
              </w:rPr>
              <w:t>63.4%</w:t>
            </w:r>
          </w:p>
        </w:tc>
        <w:tc>
          <w:tcPr>
            <w:tcW w:w="339" w:type="pct"/>
            <w:shd w:val="clear" w:color="000000" w:fill="FFFFFF"/>
            <w:noWrap/>
            <w:vAlign w:val="center"/>
          </w:tcPr>
          <w:p w14:paraId="41982F4B"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4" w:type="pct"/>
            <w:shd w:val="clear" w:color="000000" w:fill="FFFFFF"/>
            <w:vAlign w:val="center"/>
          </w:tcPr>
          <w:p w14:paraId="065B2A77" w14:textId="54AC287C" w:rsidR="00AB379C" w:rsidRPr="00D54752" w:rsidRDefault="00D54752" w:rsidP="007055F6">
            <w:pPr>
              <w:ind w:left="76"/>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30819C73" w14:textId="77777777" w:rsidTr="003B58F7">
        <w:trPr>
          <w:cantSplit/>
          <w:trHeight w:val="142"/>
        </w:trPr>
        <w:tc>
          <w:tcPr>
            <w:tcW w:w="286" w:type="pct"/>
            <w:shd w:val="clear" w:color="auto" w:fill="FFFFFF" w:themeFill="background1"/>
            <w:vAlign w:val="center"/>
            <w:hideMark/>
          </w:tcPr>
          <w:p w14:paraId="1D44E79A"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7775CF31" w14:textId="27009E95"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 and Adolescent Well-Care Visits</w:t>
            </w:r>
            <w:r w:rsidRPr="00D54752">
              <w:rPr>
                <w:rFonts w:eastAsia="Times New Roman" w:cstheme="minorHAnsi"/>
                <w:lang w:bidi="ar-SA"/>
              </w:rPr>
              <w:br/>
              <w:t>(</w:t>
            </w:r>
            <w:r w:rsidR="007A7B45">
              <w:rPr>
                <w:rFonts w:eastAsia="Times New Roman" w:cstheme="minorHAnsi"/>
                <w:lang w:bidi="ar-SA"/>
              </w:rPr>
              <w:t xml:space="preserve">Ages </w:t>
            </w:r>
            <w:r w:rsidRPr="00D54752">
              <w:rPr>
                <w:rFonts w:eastAsia="Times New Roman" w:cstheme="minorHAnsi"/>
                <w:lang w:bidi="ar-SA"/>
              </w:rPr>
              <w:t>18</w:t>
            </w:r>
            <w:r w:rsidR="00EA2591">
              <w:rPr>
                <w:rFonts w:eastAsia="Times New Roman" w:cstheme="minorHAnsi"/>
                <w:lang w:bidi="ar-SA"/>
              </w:rPr>
              <w:t>–</w:t>
            </w:r>
            <w:r w:rsidRPr="00D54752">
              <w:rPr>
                <w:rFonts w:eastAsia="Times New Roman" w:cstheme="minorHAnsi"/>
                <w:lang w:bidi="ar-SA"/>
              </w:rPr>
              <w:t>19 years)</w:t>
            </w:r>
          </w:p>
        </w:tc>
        <w:tc>
          <w:tcPr>
            <w:tcW w:w="250" w:type="pct"/>
            <w:shd w:val="clear" w:color="000000" w:fill="FFFFFF"/>
            <w:noWrap/>
            <w:vAlign w:val="center"/>
          </w:tcPr>
          <w:p w14:paraId="7D9A793E" w14:textId="77777777" w:rsidR="00AB379C" w:rsidRPr="00D54752" w:rsidRDefault="00AB379C" w:rsidP="007055F6">
            <w:pPr>
              <w:ind w:left="76"/>
              <w:jc w:val="center"/>
              <w:rPr>
                <w:rFonts w:eastAsia="Times New Roman" w:cstheme="minorHAnsi"/>
                <w:lang w:bidi="ar-SA"/>
              </w:rPr>
            </w:pPr>
            <w:r w:rsidRPr="00D54752">
              <w:rPr>
                <w:rFonts w:cstheme="minorHAnsi"/>
              </w:rPr>
              <w:t>1,860</w:t>
            </w:r>
          </w:p>
        </w:tc>
        <w:tc>
          <w:tcPr>
            <w:tcW w:w="250" w:type="pct"/>
            <w:shd w:val="clear" w:color="000000" w:fill="FFFFFF"/>
            <w:vAlign w:val="center"/>
          </w:tcPr>
          <w:p w14:paraId="2A2A35D6" w14:textId="77777777" w:rsidR="00AB379C" w:rsidRPr="00D54752" w:rsidRDefault="00AB379C" w:rsidP="007055F6">
            <w:pPr>
              <w:ind w:left="76"/>
              <w:jc w:val="center"/>
              <w:rPr>
                <w:rFonts w:eastAsia="Times New Roman" w:cstheme="minorHAnsi"/>
                <w:lang w:bidi="ar-SA"/>
              </w:rPr>
            </w:pPr>
            <w:r w:rsidRPr="00D54752">
              <w:rPr>
                <w:rFonts w:cstheme="minorHAnsi"/>
              </w:rPr>
              <w:t>983</w:t>
            </w:r>
          </w:p>
        </w:tc>
        <w:tc>
          <w:tcPr>
            <w:tcW w:w="249" w:type="pct"/>
            <w:shd w:val="clear" w:color="000000" w:fill="FFFFFF"/>
            <w:vAlign w:val="center"/>
          </w:tcPr>
          <w:p w14:paraId="30602564" w14:textId="77777777" w:rsidR="00AB379C" w:rsidRPr="00D54752" w:rsidRDefault="00AB379C" w:rsidP="007055F6">
            <w:pPr>
              <w:ind w:left="76"/>
              <w:jc w:val="center"/>
              <w:rPr>
                <w:rFonts w:eastAsia="Times New Roman" w:cstheme="minorHAnsi"/>
                <w:b/>
                <w:bCs/>
                <w:lang w:bidi="ar-SA"/>
              </w:rPr>
            </w:pPr>
            <w:r w:rsidRPr="00D54752">
              <w:rPr>
                <w:rFonts w:cstheme="minorHAnsi"/>
                <w:b/>
                <w:bCs/>
              </w:rPr>
              <w:t>52.9%</w:t>
            </w:r>
          </w:p>
        </w:tc>
        <w:tc>
          <w:tcPr>
            <w:tcW w:w="374" w:type="pct"/>
            <w:shd w:val="clear" w:color="000000" w:fill="FFFFFF"/>
            <w:noWrap/>
            <w:vAlign w:val="center"/>
          </w:tcPr>
          <w:p w14:paraId="73872E37" w14:textId="77777777" w:rsidR="00AB379C" w:rsidRPr="00D54752" w:rsidRDefault="00AB379C" w:rsidP="007055F6">
            <w:pPr>
              <w:ind w:left="76"/>
              <w:jc w:val="center"/>
              <w:rPr>
                <w:rFonts w:eastAsia="Times New Roman" w:cstheme="minorHAnsi"/>
                <w:lang w:bidi="ar-SA"/>
              </w:rPr>
            </w:pPr>
            <w:r w:rsidRPr="00D54752">
              <w:rPr>
                <w:rFonts w:cstheme="minorHAnsi"/>
              </w:rPr>
              <w:t>50.6%</w:t>
            </w:r>
          </w:p>
        </w:tc>
        <w:tc>
          <w:tcPr>
            <w:tcW w:w="406" w:type="pct"/>
            <w:shd w:val="clear" w:color="000000" w:fill="FFFFFF"/>
            <w:noWrap/>
            <w:vAlign w:val="center"/>
          </w:tcPr>
          <w:p w14:paraId="2404D95C" w14:textId="77777777" w:rsidR="00AB379C" w:rsidRPr="00D54752" w:rsidRDefault="00AB379C" w:rsidP="007055F6">
            <w:pPr>
              <w:ind w:left="76"/>
              <w:jc w:val="center"/>
              <w:rPr>
                <w:rFonts w:eastAsia="Times New Roman" w:cstheme="minorHAnsi"/>
                <w:lang w:bidi="ar-SA"/>
              </w:rPr>
            </w:pPr>
            <w:r w:rsidRPr="00D54752">
              <w:rPr>
                <w:rFonts w:cstheme="minorHAnsi"/>
              </w:rPr>
              <w:t>55.1%</w:t>
            </w:r>
          </w:p>
        </w:tc>
        <w:tc>
          <w:tcPr>
            <w:tcW w:w="343" w:type="pct"/>
            <w:shd w:val="clear" w:color="000000" w:fill="FFFFFF"/>
            <w:noWrap/>
            <w:vAlign w:val="center"/>
          </w:tcPr>
          <w:p w14:paraId="69136F1E" w14:textId="77777777" w:rsidR="00AB379C" w:rsidRPr="00D54752" w:rsidRDefault="00AB379C" w:rsidP="007055F6">
            <w:pPr>
              <w:ind w:left="76"/>
              <w:jc w:val="center"/>
              <w:rPr>
                <w:rFonts w:eastAsia="Times New Roman" w:cstheme="minorHAnsi"/>
                <w:lang w:bidi="ar-SA"/>
              </w:rPr>
            </w:pPr>
            <w:r w:rsidRPr="00D54752">
              <w:rPr>
                <w:rFonts w:cstheme="minorHAnsi"/>
              </w:rPr>
              <w:t>53.3%</w:t>
            </w:r>
          </w:p>
        </w:tc>
        <w:tc>
          <w:tcPr>
            <w:tcW w:w="343" w:type="pct"/>
            <w:shd w:val="clear" w:color="000000" w:fill="FFFFFF"/>
            <w:noWrap/>
            <w:vAlign w:val="center"/>
          </w:tcPr>
          <w:p w14:paraId="299AC3CB"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3155F9D2" w14:textId="77777777" w:rsidR="00AB379C" w:rsidRPr="00D54752" w:rsidRDefault="00AB379C" w:rsidP="007055F6">
            <w:pPr>
              <w:ind w:left="76"/>
              <w:jc w:val="center"/>
              <w:rPr>
                <w:rFonts w:eastAsia="Times New Roman" w:cstheme="minorHAnsi"/>
                <w:lang w:bidi="ar-SA"/>
              </w:rPr>
            </w:pPr>
            <w:r w:rsidRPr="00D54752">
              <w:rPr>
                <w:rFonts w:cstheme="minorHAnsi"/>
              </w:rPr>
              <w:t>50.1%</w:t>
            </w:r>
          </w:p>
        </w:tc>
        <w:tc>
          <w:tcPr>
            <w:tcW w:w="339" w:type="pct"/>
            <w:shd w:val="clear" w:color="000000" w:fill="FFFFFF"/>
            <w:noWrap/>
            <w:vAlign w:val="center"/>
          </w:tcPr>
          <w:p w14:paraId="4A5DB42C"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07D5CF62" w14:textId="77777777" w:rsidR="00AB379C" w:rsidRPr="00D54752" w:rsidRDefault="00AB379C" w:rsidP="007055F6">
            <w:pPr>
              <w:ind w:left="76"/>
              <w:jc w:val="center"/>
              <w:rPr>
                <w:rFonts w:eastAsia="Times New Roman" w:cstheme="minorHAnsi"/>
                <w:lang w:bidi="ar-SA"/>
              </w:rPr>
            </w:pPr>
            <w:r w:rsidRPr="00D54752">
              <w:rPr>
                <w:rFonts w:cstheme="minorHAnsi"/>
              </w:rPr>
              <w:t>NA</w:t>
            </w:r>
          </w:p>
        </w:tc>
      </w:tr>
      <w:tr w:rsidR="00AB379C" w:rsidRPr="00D54752" w14:paraId="0556DB02" w14:textId="77777777" w:rsidTr="003B58F7">
        <w:trPr>
          <w:cantSplit/>
          <w:trHeight w:val="67"/>
        </w:trPr>
        <w:tc>
          <w:tcPr>
            <w:tcW w:w="286" w:type="pct"/>
            <w:shd w:val="clear" w:color="auto" w:fill="FFFFFF" w:themeFill="background1"/>
            <w:vAlign w:val="center"/>
            <w:hideMark/>
          </w:tcPr>
          <w:p w14:paraId="775BA3F1"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341" w:type="pct"/>
            <w:shd w:val="clear" w:color="auto" w:fill="FFFFFF" w:themeFill="background1"/>
            <w:vAlign w:val="center"/>
            <w:hideMark/>
          </w:tcPr>
          <w:p w14:paraId="11AD4F49" w14:textId="77777777" w:rsidR="00AB379C" w:rsidRPr="00D54752" w:rsidRDefault="00AB379C" w:rsidP="007055F6">
            <w:pPr>
              <w:ind w:left="76"/>
              <w:jc w:val="left"/>
              <w:rPr>
                <w:rFonts w:eastAsia="Times New Roman" w:cstheme="minorHAnsi"/>
                <w:lang w:bidi="ar-SA"/>
              </w:rPr>
            </w:pPr>
            <w:r w:rsidRPr="00D54752">
              <w:rPr>
                <w:rFonts w:eastAsia="Times New Roman" w:cstheme="minorHAnsi"/>
                <w:lang w:bidi="ar-SA"/>
              </w:rPr>
              <w:t>Child and Adolescent Well-Care Visits</w:t>
            </w:r>
            <w:r w:rsidRPr="00D54752">
              <w:rPr>
                <w:rFonts w:eastAsia="Times New Roman" w:cstheme="minorHAnsi"/>
                <w:lang w:bidi="ar-SA"/>
              </w:rPr>
              <w:br/>
              <w:t>(Total)</w:t>
            </w:r>
          </w:p>
        </w:tc>
        <w:tc>
          <w:tcPr>
            <w:tcW w:w="250" w:type="pct"/>
            <w:shd w:val="clear" w:color="000000" w:fill="FFFFFF"/>
            <w:noWrap/>
            <w:vAlign w:val="center"/>
          </w:tcPr>
          <w:p w14:paraId="40C76B60" w14:textId="77777777" w:rsidR="00AB379C" w:rsidRPr="00D54752" w:rsidRDefault="00AB379C" w:rsidP="007055F6">
            <w:pPr>
              <w:ind w:left="76"/>
              <w:jc w:val="center"/>
              <w:rPr>
                <w:rFonts w:eastAsia="Times New Roman" w:cstheme="minorHAnsi"/>
                <w:lang w:bidi="ar-SA"/>
              </w:rPr>
            </w:pPr>
            <w:r w:rsidRPr="00D54752">
              <w:rPr>
                <w:rFonts w:cstheme="minorHAnsi"/>
              </w:rPr>
              <w:t>26,352</w:t>
            </w:r>
          </w:p>
        </w:tc>
        <w:tc>
          <w:tcPr>
            <w:tcW w:w="250" w:type="pct"/>
            <w:shd w:val="clear" w:color="000000" w:fill="FFFFFF"/>
            <w:vAlign w:val="center"/>
          </w:tcPr>
          <w:p w14:paraId="3D6F2322" w14:textId="77777777" w:rsidR="00AB379C" w:rsidRPr="00D54752" w:rsidRDefault="00AB379C" w:rsidP="007055F6">
            <w:pPr>
              <w:ind w:left="76"/>
              <w:jc w:val="center"/>
              <w:rPr>
                <w:rFonts w:eastAsia="Times New Roman" w:cstheme="minorHAnsi"/>
                <w:lang w:bidi="ar-SA"/>
              </w:rPr>
            </w:pPr>
            <w:r w:rsidRPr="00D54752">
              <w:rPr>
                <w:rFonts w:cstheme="minorHAnsi"/>
              </w:rPr>
              <w:t>17,309</w:t>
            </w:r>
          </w:p>
        </w:tc>
        <w:tc>
          <w:tcPr>
            <w:tcW w:w="249" w:type="pct"/>
            <w:shd w:val="clear" w:color="000000" w:fill="FFFFFF"/>
            <w:vAlign w:val="center"/>
          </w:tcPr>
          <w:p w14:paraId="6BA3A059" w14:textId="77777777" w:rsidR="00AB379C" w:rsidRPr="00D54752" w:rsidRDefault="00AB379C" w:rsidP="007055F6">
            <w:pPr>
              <w:ind w:left="76"/>
              <w:jc w:val="center"/>
              <w:rPr>
                <w:rFonts w:eastAsia="Times New Roman" w:cstheme="minorHAnsi"/>
                <w:b/>
                <w:bCs/>
                <w:lang w:bidi="ar-SA"/>
              </w:rPr>
            </w:pPr>
            <w:r w:rsidRPr="00D54752">
              <w:rPr>
                <w:rFonts w:cstheme="minorHAnsi"/>
                <w:b/>
                <w:bCs/>
              </w:rPr>
              <w:t>65.7%</w:t>
            </w:r>
          </w:p>
        </w:tc>
        <w:tc>
          <w:tcPr>
            <w:tcW w:w="374" w:type="pct"/>
            <w:shd w:val="clear" w:color="000000" w:fill="FFFFFF"/>
            <w:noWrap/>
            <w:vAlign w:val="center"/>
          </w:tcPr>
          <w:p w14:paraId="7F4B5DBB" w14:textId="77777777" w:rsidR="00AB379C" w:rsidRPr="00D54752" w:rsidRDefault="00AB379C" w:rsidP="007055F6">
            <w:pPr>
              <w:ind w:left="76"/>
              <w:jc w:val="center"/>
              <w:rPr>
                <w:rFonts w:eastAsia="Times New Roman" w:cstheme="minorHAnsi"/>
                <w:lang w:bidi="ar-SA"/>
              </w:rPr>
            </w:pPr>
            <w:r w:rsidRPr="00D54752">
              <w:rPr>
                <w:rFonts w:cstheme="minorHAnsi"/>
              </w:rPr>
              <w:t>65.1%</w:t>
            </w:r>
          </w:p>
        </w:tc>
        <w:tc>
          <w:tcPr>
            <w:tcW w:w="406" w:type="pct"/>
            <w:shd w:val="clear" w:color="000000" w:fill="FFFFFF"/>
            <w:noWrap/>
            <w:vAlign w:val="center"/>
          </w:tcPr>
          <w:p w14:paraId="0957C240" w14:textId="77777777" w:rsidR="00AB379C" w:rsidRPr="00D54752" w:rsidRDefault="00AB379C" w:rsidP="007055F6">
            <w:pPr>
              <w:ind w:left="76"/>
              <w:jc w:val="center"/>
              <w:rPr>
                <w:rFonts w:eastAsia="Times New Roman" w:cstheme="minorHAnsi"/>
                <w:lang w:bidi="ar-SA"/>
              </w:rPr>
            </w:pPr>
            <w:r w:rsidRPr="00D54752">
              <w:rPr>
                <w:rFonts w:cstheme="minorHAnsi"/>
              </w:rPr>
              <w:t>66.3%</w:t>
            </w:r>
          </w:p>
        </w:tc>
        <w:tc>
          <w:tcPr>
            <w:tcW w:w="343" w:type="pct"/>
            <w:shd w:val="clear" w:color="000000" w:fill="FFFFFF"/>
            <w:noWrap/>
            <w:vAlign w:val="center"/>
          </w:tcPr>
          <w:p w14:paraId="06C3D9B6" w14:textId="77777777" w:rsidR="00AB379C" w:rsidRPr="00D54752" w:rsidRDefault="00AB379C" w:rsidP="007055F6">
            <w:pPr>
              <w:ind w:left="76"/>
              <w:jc w:val="center"/>
              <w:rPr>
                <w:rFonts w:eastAsia="Times New Roman" w:cstheme="minorHAnsi"/>
                <w:lang w:bidi="ar-SA"/>
              </w:rPr>
            </w:pPr>
            <w:r w:rsidRPr="00D54752">
              <w:rPr>
                <w:rFonts w:cstheme="minorHAnsi"/>
              </w:rPr>
              <w:t>66.3%</w:t>
            </w:r>
          </w:p>
        </w:tc>
        <w:tc>
          <w:tcPr>
            <w:tcW w:w="343" w:type="pct"/>
            <w:shd w:val="clear" w:color="000000" w:fill="FFFFFF"/>
            <w:noWrap/>
            <w:vAlign w:val="center"/>
          </w:tcPr>
          <w:p w14:paraId="2283C108" w14:textId="77777777" w:rsidR="00AB379C" w:rsidRPr="00D54752" w:rsidRDefault="00AB379C" w:rsidP="007055F6">
            <w:pPr>
              <w:ind w:left="76"/>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287" w:type="pct"/>
            <w:shd w:val="clear" w:color="000000" w:fill="FFFFFF"/>
            <w:noWrap/>
            <w:vAlign w:val="center"/>
          </w:tcPr>
          <w:p w14:paraId="3391264D" w14:textId="77777777" w:rsidR="00AB379C" w:rsidRPr="00D54752" w:rsidRDefault="00AB379C" w:rsidP="007055F6">
            <w:pPr>
              <w:ind w:left="76"/>
              <w:jc w:val="center"/>
              <w:rPr>
                <w:rFonts w:eastAsia="Times New Roman" w:cstheme="minorHAnsi"/>
                <w:lang w:bidi="ar-SA"/>
              </w:rPr>
            </w:pPr>
            <w:r w:rsidRPr="00D54752">
              <w:rPr>
                <w:rFonts w:cstheme="minorHAnsi"/>
              </w:rPr>
              <w:t>64.2%</w:t>
            </w:r>
          </w:p>
        </w:tc>
        <w:tc>
          <w:tcPr>
            <w:tcW w:w="339" w:type="pct"/>
            <w:shd w:val="clear" w:color="000000" w:fill="FFFFFF"/>
            <w:noWrap/>
            <w:vAlign w:val="center"/>
          </w:tcPr>
          <w:p w14:paraId="62771C01" w14:textId="77777777" w:rsidR="00AB379C" w:rsidRPr="00D54752" w:rsidRDefault="00AB379C" w:rsidP="007055F6">
            <w:pPr>
              <w:ind w:left="76"/>
              <w:jc w:val="center"/>
              <w:rPr>
                <w:rFonts w:eastAsia="Times New Roman" w:cstheme="minorHAnsi"/>
                <w:lang w:bidi="ar-SA"/>
              </w:rPr>
            </w:pPr>
            <w:r w:rsidRPr="00D54752">
              <w:rPr>
                <w:rFonts w:cstheme="minorHAnsi"/>
              </w:rPr>
              <w:t>+</w:t>
            </w:r>
          </w:p>
        </w:tc>
        <w:tc>
          <w:tcPr>
            <w:tcW w:w="534" w:type="pct"/>
            <w:shd w:val="clear" w:color="000000" w:fill="FFFFFF"/>
            <w:vAlign w:val="center"/>
          </w:tcPr>
          <w:p w14:paraId="0E7A4FDF" w14:textId="77777777" w:rsidR="00AB379C" w:rsidRPr="00D54752" w:rsidRDefault="00AB379C" w:rsidP="007055F6">
            <w:pPr>
              <w:ind w:left="76"/>
              <w:jc w:val="center"/>
              <w:rPr>
                <w:rFonts w:eastAsia="Times New Roman" w:cstheme="minorHAnsi"/>
                <w:lang w:bidi="ar-SA"/>
              </w:rPr>
            </w:pPr>
            <w:r w:rsidRPr="00D54752">
              <w:rPr>
                <w:rFonts w:cstheme="minorHAnsi"/>
              </w:rPr>
              <w:t>NA</w:t>
            </w:r>
          </w:p>
        </w:tc>
      </w:tr>
    </w:tbl>
    <w:p w14:paraId="701C89A8" w14:textId="77777777" w:rsidR="00AB379C" w:rsidRPr="00F7033D" w:rsidRDefault="00AB379C" w:rsidP="00D2000B">
      <w:pPr>
        <w:rPr>
          <w:sz w:val="20"/>
          <w:szCs w:val="20"/>
        </w:rPr>
      </w:pPr>
      <w:r w:rsidRPr="00F7033D">
        <w:rPr>
          <w:sz w:val="20"/>
          <w:szCs w:val="20"/>
          <w:vertAlign w:val="superscript"/>
        </w:rPr>
        <w:t>1</w:t>
      </w:r>
      <w:r w:rsidRPr="00F7033D">
        <w:rPr>
          <w:sz w:val="20"/>
          <w:szCs w:val="20"/>
        </w:rPr>
        <w:t xml:space="preserve"> For comparison of MY 202</w:t>
      </w:r>
      <w:r>
        <w:rPr>
          <w:sz w:val="20"/>
          <w:szCs w:val="20"/>
        </w:rPr>
        <w:t>1</w:t>
      </w:r>
      <w:r w:rsidRPr="00F7033D">
        <w:rPr>
          <w:sz w:val="20"/>
          <w:szCs w:val="20"/>
        </w:rPr>
        <w:t xml:space="preserve"> rates to MY 20</w:t>
      </w:r>
      <w:r>
        <w:rPr>
          <w:sz w:val="20"/>
          <w:szCs w:val="20"/>
        </w:rPr>
        <w:t>20</w:t>
      </w:r>
      <w:r w:rsidRPr="00F7033D">
        <w:rPr>
          <w:sz w:val="20"/>
          <w:szCs w:val="20"/>
        </w:rPr>
        <w:t xml:space="preserve"> rates, statistically significant increases are indicated by “+,” statistically significant decreases by “</w:t>
      </w:r>
      <w:r w:rsidRPr="00F7033D">
        <w:rPr>
          <w:rFonts w:cstheme="minorHAnsi"/>
          <w:sz w:val="20"/>
          <w:szCs w:val="20"/>
        </w:rPr>
        <w:t>−</w:t>
      </w:r>
      <w:r w:rsidRPr="00F7033D">
        <w:rPr>
          <w:sz w:val="20"/>
          <w:szCs w:val="20"/>
        </w:rPr>
        <w:t>,” and no statistically significant change by “</w:t>
      </w:r>
      <w:proofErr w:type="spellStart"/>
      <w:r w:rsidRPr="00F7033D">
        <w:rPr>
          <w:sz w:val="20"/>
          <w:szCs w:val="20"/>
        </w:rPr>
        <w:t>n.s</w:t>
      </w:r>
      <w:proofErr w:type="spellEnd"/>
      <w:r w:rsidRPr="00F7033D">
        <w:rPr>
          <w:sz w:val="20"/>
          <w:szCs w:val="20"/>
        </w:rPr>
        <w:t xml:space="preserve">.” </w:t>
      </w:r>
      <w:r w:rsidRPr="00F7033D">
        <w:rPr>
          <w:bCs/>
          <w:sz w:val="20"/>
          <w:szCs w:val="20"/>
        </w:rPr>
        <w:t>For comparison of MY 202</w:t>
      </w:r>
      <w:r>
        <w:rPr>
          <w:bCs/>
          <w:sz w:val="20"/>
          <w:szCs w:val="20"/>
        </w:rPr>
        <w:t>1</w:t>
      </w:r>
      <w:r w:rsidRPr="00F7033D">
        <w:rPr>
          <w:bCs/>
          <w:sz w:val="20"/>
          <w:szCs w:val="20"/>
        </w:rPr>
        <w:t xml:space="preserve"> rates to CHIP MMC rates, the “+” denotes that the plan rate exceeds the CHIP MMC rate, the “</w:t>
      </w:r>
      <w:r w:rsidRPr="00F7033D">
        <w:rPr>
          <w:rFonts w:cstheme="minorHAnsi"/>
          <w:sz w:val="20"/>
          <w:szCs w:val="20"/>
        </w:rPr>
        <w:t>−</w:t>
      </w:r>
      <w:r w:rsidRPr="00F7033D">
        <w:rPr>
          <w:bCs/>
          <w:sz w:val="20"/>
          <w:szCs w:val="20"/>
        </w:rPr>
        <w:t>” denotes that the MMC rate exceeds the plan rate, and “</w:t>
      </w:r>
      <w:proofErr w:type="spellStart"/>
      <w:r w:rsidRPr="00F7033D">
        <w:rPr>
          <w:bCs/>
          <w:sz w:val="20"/>
          <w:szCs w:val="20"/>
        </w:rPr>
        <w:t>n.s</w:t>
      </w:r>
      <w:proofErr w:type="spellEnd"/>
      <w:r w:rsidRPr="00F7033D">
        <w:rPr>
          <w:bCs/>
          <w:sz w:val="20"/>
          <w:szCs w:val="20"/>
        </w:rPr>
        <w:t>.” denotes no statistically significant difference between the two rates. Gray shading indicates IPRO does</w:t>
      </w:r>
      <w:r>
        <w:rPr>
          <w:bCs/>
          <w:sz w:val="20"/>
          <w:szCs w:val="20"/>
        </w:rPr>
        <w:t xml:space="preserve"> </w:t>
      </w:r>
      <w:r w:rsidRPr="00F7033D">
        <w:rPr>
          <w:bCs/>
          <w:sz w:val="20"/>
          <w:szCs w:val="20"/>
        </w:rPr>
        <w:t>n</w:t>
      </w:r>
      <w:r>
        <w:rPr>
          <w:bCs/>
          <w:sz w:val="20"/>
          <w:szCs w:val="20"/>
        </w:rPr>
        <w:t>o</w:t>
      </w:r>
      <w:r w:rsidRPr="00F7033D">
        <w:rPr>
          <w:bCs/>
          <w:sz w:val="20"/>
          <w:szCs w:val="20"/>
        </w:rPr>
        <w:t>t provide or calculate these rates.</w:t>
      </w:r>
    </w:p>
    <w:p w14:paraId="11D9D923" w14:textId="53D5B6F2" w:rsidR="00AB379C" w:rsidRDefault="00AB379C" w:rsidP="00D2000B">
      <w:pPr>
        <w:rPr>
          <w:sz w:val="20"/>
          <w:szCs w:val="20"/>
        </w:rPr>
      </w:pPr>
      <w:proofErr w:type="spellStart"/>
      <w:r w:rsidRPr="00F7033D">
        <w:rPr>
          <w:sz w:val="20"/>
          <w:szCs w:val="20"/>
        </w:rPr>
        <w:t>Denom</w:t>
      </w:r>
      <w:proofErr w:type="spellEnd"/>
      <w:r w:rsidRPr="00F7033D">
        <w:rPr>
          <w:sz w:val="20"/>
          <w:szCs w:val="20"/>
        </w:rPr>
        <w:t>: denominator; Num: numerator; MY: measurement year; MMC: Medicaid Managed Care; HEDIS: Healthcare Effectiveness Data and Information Set;</w:t>
      </w:r>
      <w:r w:rsidRPr="006440FF">
        <w:rPr>
          <w:sz w:val="20"/>
          <w:szCs w:val="20"/>
        </w:rPr>
        <w:t xml:space="preserve"> </w:t>
      </w:r>
      <w:r w:rsidRPr="00F7033D">
        <w:rPr>
          <w:sz w:val="20"/>
          <w:szCs w:val="20"/>
        </w:rPr>
        <w:t xml:space="preserve">NA: not available, as no HEDIS percentile is available to compare; </w:t>
      </w:r>
      <w:r w:rsidRPr="002F6375">
        <w:rPr>
          <w:sz w:val="20"/>
          <w:szCs w:val="20"/>
        </w:rPr>
        <w:t>N/A</w:t>
      </w:r>
      <w:r>
        <w:rPr>
          <w:sz w:val="20"/>
          <w:szCs w:val="20"/>
        </w:rPr>
        <w:t>:</w:t>
      </w:r>
      <w:r w:rsidRPr="002F6375">
        <w:rPr>
          <w:sz w:val="20"/>
          <w:szCs w:val="20"/>
        </w:rPr>
        <w:t xml:space="preserve"> not applicable,</w:t>
      </w:r>
      <w:r>
        <w:rPr>
          <w:sz w:val="20"/>
          <w:szCs w:val="20"/>
        </w:rPr>
        <w:t xml:space="preserve"> as denominator is less than 30</w:t>
      </w:r>
      <w:r w:rsidRPr="00F7033D">
        <w:rPr>
          <w:sz w:val="20"/>
          <w:szCs w:val="20"/>
        </w:rPr>
        <w:t>.</w:t>
      </w:r>
    </w:p>
    <w:p w14:paraId="48D85169" w14:textId="77777777" w:rsidR="00D2000B" w:rsidRPr="008F2AFA" w:rsidRDefault="00D2000B" w:rsidP="00D2000B">
      <w:pPr>
        <w:rPr>
          <w:sz w:val="20"/>
          <w:szCs w:val="20"/>
        </w:rPr>
      </w:pPr>
    </w:p>
    <w:p w14:paraId="6D6BC4CA" w14:textId="77777777" w:rsidR="00AB379C" w:rsidRPr="00F7033D" w:rsidRDefault="00AB379C" w:rsidP="00AB379C">
      <w:pPr>
        <w:pStyle w:val="Heading3"/>
      </w:pPr>
      <w:bookmarkStart w:id="113" w:name="_Toc98922466"/>
      <w:bookmarkStart w:id="114" w:name="_Toc132641623"/>
      <w:r w:rsidRPr="00F7033D">
        <w:t>EPSDT: Screenings and Follow-up</w:t>
      </w:r>
      <w:bookmarkStart w:id="115" w:name="_Toc478563554"/>
      <w:bookmarkStart w:id="116" w:name="_Toc512521053"/>
      <w:bookmarkEnd w:id="113"/>
      <w:bookmarkEnd w:id="114"/>
    </w:p>
    <w:p w14:paraId="5A69789C" w14:textId="77777777" w:rsidR="00AB379C" w:rsidRDefault="00AB379C" w:rsidP="00AB379C">
      <w:r>
        <w:t>S</w:t>
      </w:r>
      <w:r w:rsidRPr="00F7033D">
        <w:t xml:space="preserve">trengths are identified for the </w:t>
      </w:r>
      <w:r>
        <w:t xml:space="preserve">following </w:t>
      </w:r>
      <w:r w:rsidRPr="00F7033D">
        <w:t>202</w:t>
      </w:r>
      <w:r>
        <w:t>2</w:t>
      </w:r>
      <w:r w:rsidRPr="00F7033D">
        <w:t xml:space="preserve"> (MY 202</w:t>
      </w:r>
      <w:r>
        <w:t>1</w:t>
      </w:r>
      <w:r w:rsidRPr="00F7033D">
        <w:t>) EPSDT: Screenings and Follow-up performance measures</w:t>
      </w:r>
      <w:r>
        <w:t>:</w:t>
      </w:r>
    </w:p>
    <w:p w14:paraId="1B44E2FF" w14:textId="77777777" w:rsidR="00AB379C" w:rsidRDefault="00AB379C" w:rsidP="00D54752">
      <w:pPr>
        <w:pStyle w:val="ListParagraph"/>
        <w:numPr>
          <w:ilvl w:val="0"/>
          <w:numId w:val="22"/>
        </w:numPr>
      </w:pPr>
      <w:r w:rsidRPr="00F7033D">
        <w:t>The following rates are statistically significantly above/better than the 202</w:t>
      </w:r>
      <w:r>
        <w:t>2</w:t>
      </w:r>
      <w:r w:rsidRPr="00F7033D">
        <w:t xml:space="preserve"> (MY 202</w:t>
      </w:r>
      <w:r>
        <w:t>1</w:t>
      </w:r>
      <w:r w:rsidRPr="00F7033D">
        <w:t>) MMC weighted average:</w:t>
      </w:r>
    </w:p>
    <w:p w14:paraId="3CC520CF" w14:textId="69AB09E7" w:rsidR="00AB379C" w:rsidRDefault="00AB379C" w:rsidP="00D54752">
      <w:pPr>
        <w:pStyle w:val="ListParagraph"/>
        <w:numPr>
          <w:ilvl w:val="1"/>
          <w:numId w:val="22"/>
        </w:numPr>
        <w:ind w:left="1080"/>
      </w:pPr>
      <w:r>
        <w:t>Lead Screening in Children (</w:t>
      </w:r>
      <w:r w:rsidR="00EA2591">
        <w:t xml:space="preserve">Age </w:t>
      </w:r>
      <w:r>
        <w:t>2 years) – 7.7 percentage points;</w:t>
      </w:r>
    </w:p>
    <w:p w14:paraId="71888CAC" w14:textId="77777777" w:rsidR="00AB379C" w:rsidRDefault="00AB379C" w:rsidP="00D54752">
      <w:pPr>
        <w:pStyle w:val="ListParagraph"/>
        <w:numPr>
          <w:ilvl w:val="1"/>
          <w:numId w:val="22"/>
        </w:numPr>
        <w:ind w:left="1080"/>
      </w:pPr>
      <w:r>
        <w:t>Developmental Screening in the First Three Years of Life— Total – 9.7 percentage points;</w:t>
      </w:r>
    </w:p>
    <w:p w14:paraId="1E899CC5" w14:textId="77777777" w:rsidR="00AB379C" w:rsidRDefault="00AB379C" w:rsidP="00D54752">
      <w:pPr>
        <w:pStyle w:val="ListParagraph"/>
        <w:numPr>
          <w:ilvl w:val="1"/>
          <w:numId w:val="22"/>
        </w:numPr>
        <w:ind w:left="1080"/>
      </w:pPr>
      <w:r>
        <w:t>Developmental Screening in the First Three Years of Life—1 year – 8.3 percentage points;</w:t>
      </w:r>
    </w:p>
    <w:p w14:paraId="204FF5D4" w14:textId="77777777" w:rsidR="00AB379C" w:rsidRDefault="00AB379C" w:rsidP="00D54752">
      <w:pPr>
        <w:pStyle w:val="ListParagraph"/>
        <w:numPr>
          <w:ilvl w:val="1"/>
          <w:numId w:val="22"/>
        </w:numPr>
        <w:ind w:left="1080"/>
      </w:pPr>
      <w:r>
        <w:t>Developmental Screening in the First Three Years of Life—2 years – 5.9 percentage points;</w:t>
      </w:r>
    </w:p>
    <w:p w14:paraId="36968BB3" w14:textId="77777777" w:rsidR="00AB379C" w:rsidRDefault="00AB379C" w:rsidP="00D54752">
      <w:pPr>
        <w:pStyle w:val="ListParagraph"/>
        <w:numPr>
          <w:ilvl w:val="1"/>
          <w:numId w:val="22"/>
        </w:numPr>
        <w:ind w:left="1080"/>
      </w:pPr>
      <w:r>
        <w:t>Developmental Screening in the First Three Years of Life—3 years – 11.0 percentage points; and</w:t>
      </w:r>
    </w:p>
    <w:p w14:paraId="487A2905" w14:textId="77777777" w:rsidR="00AB379C" w:rsidRPr="00F7033D" w:rsidRDefault="00AB379C" w:rsidP="00D54752">
      <w:pPr>
        <w:pStyle w:val="ListParagraph"/>
        <w:numPr>
          <w:ilvl w:val="1"/>
          <w:numId w:val="22"/>
        </w:numPr>
        <w:ind w:left="1080"/>
      </w:pPr>
      <w:r>
        <w:t>Follow Up Care for Children Prescribed ADHD Medication— Initiation Phase – 8.3 percentage points.</w:t>
      </w:r>
    </w:p>
    <w:p w14:paraId="11847A3D" w14:textId="77777777" w:rsidR="00AB379C" w:rsidRPr="00F7033D" w:rsidRDefault="00AB379C" w:rsidP="00AB379C"/>
    <w:p w14:paraId="22522C56" w14:textId="77777777" w:rsidR="00AB379C" w:rsidRPr="00F7033D" w:rsidRDefault="00AB379C" w:rsidP="00AB379C">
      <w:r>
        <w:t>No o</w:t>
      </w:r>
      <w:r w:rsidRPr="00F7033D">
        <w:t>pportunities for improvement are identified for the 202</w:t>
      </w:r>
      <w:r>
        <w:t>2</w:t>
      </w:r>
      <w:r w:rsidRPr="00F7033D">
        <w:t xml:space="preserve"> (MY 202</w:t>
      </w:r>
      <w:r>
        <w:t>1</w:t>
      </w:r>
      <w:r w:rsidRPr="00F7033D">
        <w:t>) EPSDT: Screenings and Follow-up performance measures.</w:t>
      </w:r>
    </w:p>
    <w:p w14:paraId="457B9F3B" w14:textId="77777777" w:rsidR="00AB379C" w:rsidRPr="00F7033D" w:rsidRDefault="00AB379C" w:rsidP="00AB379C">
      <w:pPr>
        <w:pStyle w:val="tableheading"/>
      </w:pPr>
      <w:bookmarkStart w:id="117" w:name="_Toc98922502"/>
      <w:bookmarkStart w:id="118" w:name="_Toc132641664"/>
      <w:r w:rsidRPr="00F7033D">
        <w:lastRenderedPageBreak/>
        <w:t>Table 2.4: EPSDT: Screenings and Follow-up</w:t>
      </w:r>
      <w:bookmarkEnd w:id="115"/>
      <w:bookmarkEnd w:id="116"/>
      <w:bookmarkEnd w:id="117"/>
      <w:bookmarkEnd w:id="118"/>
    </w:p>
    <w:tbl>
      <w:tblPr>
        <w:tblW w:w="5064"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816"/>
        <w:gridCol w:w="3058"/>
        <w:gridCol w:w="895"/>
        <w:gridCol w:w="895"/>
        <w:gridCol w:w="807"/>
        <w:gridCol w:w="1055"/>
        <w:gridCol w:w="1076"/>
        <w:gridCol w:w="1073"/>
        <w:gridCol w:w="1256"/>
        <w:gridCol w:w="895"/>
        <w:gridCol w:w="1020"/>
        <w:gridCol w:w="1728"/>
      </w:tblGrid>
      <w:tr w:rsidR="00AB379C" w:rsidRPr="00D54752" w14:paraId="582B9D8A" w14:textId="77777777" w:rsidTr="00D2000B">
        <w:trPr>
          <w:cantSplit/>
          <w:trHeight w:val="304"/>
          <w:tblHeader/>
        </w:trPr>
        <w:tc>
          <w:tcPr>
            <w:tcW w:w="1329" w:type="pct"/>
            <w:gridSpan w:val="2"/>
            <w:shd w:val="clear" w:color="000000" w:fill="5F497A"/>
            <w:vAlign w:val="bottom"/>
            <w:hideMark/>
          </w:tcPr>
          <w:p w14:paraId="329878EB" w14:textId="77777777" w:rsidR="00AB379C" w:rsidRPr="00D54752" w:rsidRDefault="00AB379C" w:rsidP="007055F6">
            <w:pPr>
              <w:jc w:val="center"/>
              <w:rPr>
                <w:rFonts w:eastAsia="Times New Roman" w:cstheme="minorHAnsi"/>
                <w:b/>
                <w:color w:val="FFFFFF"/>
                <w:lang w:bidi="ar-SA"/>
              </w:rPr>
            </w:pPr>
            <w:bookmarkStart w:id="119" w:name="RANGE!A1:L5"/>
            <w:r w:rsidRPr="00D54752">
              <w:rPr>
                <w:rFonts w:eastAsia="Times New Roman" w:cstheme="minorHAnsi"/>
                <w:b/>
                <w:color w:val="FFFFFF"/>
                <w:lang w:bidi="ar-SA"/>
              </w:rPr>
              <w:t>Indicator</w:t>
            </w:r>
            <w:bookmarkEnd w:id="119"/>
          </w:p>
        </w:tc>
        <w:tc>
          <w:tcPr>
            <w:tcW w:w="1622" w:type="pct"/>
            <w:gridSpan w:val="5"/>
            <w:shd w:val="clear" w:color="000000" w:fill="5F497A"/>
            <w:vAlign w:val="bottom"/>
            <w:hideMark/>
          </w:tcPr>
          <w:p w14:paraId="1E63AB16"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2022 (MY 2021)</w:t>
            </w:r>
          </w:p>
        </w:tc>
        <w:tc>
          <w:tcPr>
            <w:tcW w:w="2050" w:type="pct"/>
            <w:gridSpan w:val="5"/>
            <w:shd w:val="clear" w:color="000000" w:fill="5F497A"/>
            <w:vAlign w:val="bottom"/>
            <w:hideMark/>
          </w:tcPr>
          <w:p w14:paraId="70A72B0E" w14:textId="77777777" w:rsidR="00AB379C" w:rsidRPr="00D54752" w:rsidRDefault="00AB379C" w:rsidP="007055F6">
            <w:pPr>
              <w:jc w:val="center"/>
              <w:rPr>
                <w:rFonts w:eastAsia="Times New Roman" w:cstheme="minorHAnsi"/>
                <w:b/>
                <w:color w:val="FFFFFF"/>
                <w:vertAlign w:val="superscript"/>
                <w:lang w:bidi="ar-SA"/>
              </w:rPr>
            </w:pPr>
            <w:r w:rsidRPr="00D54752">
              <w:rPr>
                <w:rFonts w:eastAsia="Times New Roman" w:cstheme="minorHAnsi"/>
                <w:b/>
                <w:color w:val="FFFFFF"/>
                <w:lang w:bidi="ar-SA"/>
              </w:rPr>
              <w:t>Rate Comparison</w:t>
            </w:r>
            <w:r w:rsidRPr="00D54752">
              <w:rPr>
                <w:rFonts w:eastAsia="Times New Roman" w:cstheme="minorHAnsi"/>
                <w:b/>
                <w:color w:val="FFFFFF"/>
                <w:vertAlign w:val="superscript"/>
                <w:lang w:bidi="ar-SA"/>
              </w:rPr>
              <w:t>1</w:t>
            </w:r>
          </w:p>
        </w:tc>
      </w:tr>
      <w:tr w:rsidR="00AB379C" w:rsidRPr="00D54752" w14:paraId="0A0ED1BE" w14:textId="77777777" w:rsidTr="00D2000B">
        <w:trPr>
          <w:cantSplit/>
          <w:trHeight w:val="67"/>
          <w:tblHeader/>
        </w:trPr>
        <w:tc>
          <w:tcPr>
            <w:tcW w:w="280" w:type="pct"/>
            <w:shd w:val="clear" w:color="000000" w:fill="5F497A"/>
            <w:vAlign w:val="bottom"/>
            <w:hideMark/>
          </w:tcPr>
          <w:p w14:paraId="1C478EE0"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Source</w:t>
            </w:r>
          </w:p>
        </w:tc>
        <w:tc>
          <w:tcPr>
            <w:tcW w:w="1048" w:type="pct"/>
            <w:shd w:val="clear" w:color="000000" w:fill="5F497A"/>
            <w:vAlign w:val="bottom"/>
            <w:hideMark/>
          </w:tcPr>
          <w:p w14:paraId="0040F5C1" w14:textId="77777777" w:rsidR="00AB379C" w:rsidRPr="00D54752" w:rsidRDefault="00AB379C" w:rsidP="007055F6">
            <w:pPr>
              <w:ind w:left="76"/>
              <w:jc w:val="center"/>
              <w:rPr>
                <w:rFonts w:eastAsia="Times New Roman" w:cstheme="minorHAnsi"/>
                <w:b/>
                <w:color w:val="FFFFFF"/>
                <w:lang w:bidi="ar-SA"/>
              </w:rPr>
            </w:pPr>
            <w:r w:rsidRPr="00D54752">
              <w:rPr>
                <w:rFonts w:eastAsia="Times New Roman" w:cstheme="minorHAnsi"/>
                <w:b/>
                <w:color w:val="FFFFFF"/>
                <w:lang w:bidi="ar-SA"/>
              </w:rPr>
              <w:t>Name</w:t>
            </w:r>
          </w:p>
        </w:tc>
        <w:tc>
          <w:tcPr>
            <w:tcW w:w="307" w:type="pct"/>
            <w:shd w:val="clear" w:color="000000" w:fill="5F497A"/>
            <w:vAlign w:val="bottom"/>
            <w:hideMark/>
          </w:tcPr>
          <w:p w14:paraId="5720A070" w14:textId="77777777" w:rsidR="00AB379C" w:rsidRPr="00D54752" w:rsidRDefault="00AB379C" w:rsidP="007055F6">
            <w:pPr>
              <w:jc w:val="center"/>
              <w:rPr>
                <w:rFonts w:eastAsia="Times New Roman" w:cstheme="minorHAnsi"/>
                <w:b/>
                <w:color w:val="FFFFFF"/>
                <w:lang w:bidi="ar-SA"/>
              </w:rPr>
            </w:pPr>
            <w:proofErr w:type="spellStart"/>
            <w:r w:rsidRPr="00D54752">
              <w:rPr>
                <w:rFonts w:eastAsia="Times New Roman" w:cstheme="minorHAnsi"/>
                <w:b/>
                <w:color w:val="FFFFFF"/>
                <w:lang w:bidi="ar-SA"/>
              </w:rPr>
              <w:t>Denom</w:t>
            </w:r>
            <w:proofErr w:type="spellEnd"/>
          </w:p>
        </w:tc>
        <w:tc>
          <w:tcPr>
            <w:tcW w:w="307" w:type="pct"/>
            <w:shd w:val="clear" w:color="000000" w:fill="5F497A"/>
            <w:vAlign w:val="bottom"/>
            <w:hideMark/>
          </w:tcPr>
          <w:p w14:paraId="19B7D2CA"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Num</w:t>
            </w:r>
          </w:p>
        </w:tc>
        <w:tc>
          <w:tcPr>
            <w:tcW w:w="277" w:type="pct"/>
            <w:shd w:val="clear" w:color="000000" w:fill="5F497A"/>
            <w:vAlign w:val="bottom"/>
            <w:hideMark/>
          </w:tcPr>
          <w:p w14:paraId="3C1E590A"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Rate</w:t>
            </w:r>
          </w:p>
        </w:tc>
        <w:tc>
          <w:tcPr>
            <w:tcW w:w="362" w:type="pct"/>
            <w:shd w:val="clear" w:color="000000" w:fill="5F497A"/>
            <w:vAlign w:val="bottom"/>
            <w:hideMark/>
          </w:tcPr>
          <w:p w14:paraId="734A9D4F"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Lower 95% Confidence Limit</w:t>
            </w:r>
          </w:p>
        </w:tc>
        <w:tc>
          <w:tcPr>
            <w:tcW w:w="369" w:type="pct"/>
            <w:shd w:val="clear" w:color="000000" w:fill="5F497A"/>
            <w:vAlign w:val="bottom"/>
            <w:hideMark/>
          </w:tcPr>
          <w:p w14:paraId="1081E73F"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Upper 95% Confidence Limit</w:t>
            </w:r>
          </w:p>
        </w:tc>
        <w:tc>
          <w:tcPr>
            <w:tcW w:w="368" w:type="pct"/>
            <w:shd w:val="clear" w:color="000000" w:fill="5F497A"/>
            <w:vAlign w:val="bottom"/>
            <w:hideMark/>
          </w:tcPr>
          <w:p w14:paraId="629125FD"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2021 (MY 2020) Rate</w:t>
            </w:r>
          </w:p>
        </w:tc>
        <w:tc>
          <w:tcPr>
            <w:tcW w:w="431" w:type="pct"/>
            <w:shd w:val="clear" w:color="000000" w:fill="5F497A"/>
            <w:vAlign w:val="bottom"/>
            <w:hideMark/>
          </w:tcPr>
          <w:p w14:paraId="756B4D66"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2021</w:t>
            </w:r>
          </w:p>
        </w:tc>
        <w:tc>
          <w:tcPr>
            <w:tcW w:w="307" w:type="pct"/>
            <w:shd w:val="clear" w:color="000000" w:fill="5F497A"/>
            <w:vAlign w:val="bottom"/>
            <w:hideMark/>
          </w:tcPr>
          <w:p w14:paraId="308530E0"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MMC</w:t>
            </w:r>
          </w:p>
        </w:tc>
        <w:tc>
          <w:tcPr>
            <w:tcW w:w="350" w:type="pct"/>
            <w:shd w:val="clear" w:color="000000" w:fill="5F497A"/>
            <w:vAlign w:val="bottom"/>
            <w:hideMark/>
          </w:tcPr>
          <w:p w14:paraId="00B0CDBB"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MMC</w:t>
            </w:r>
          </w:p>
        </w:tc>
        <w:tc>
          <w:tcPr>
            <w:tcW w:w="595" w:type="pct"/>
            <w:shd w:val="clear" w:color="000000" w:fill="5F497A"/>
            <w:vAlign w:val="bottom"/>
            <w:hideMark/>
          </w:tcPr>
          <w:p w14:paraId="19D135EF" w14:textId="77777777" w:rsidR="00AB379C" w:rsidRPr="00D54752" w:rsidRDefault="00AB379C" w:rsidP="007055F6">
            <w:pPr>
              <w:jc w:val="center"/>
              <w:rPr>
                <w:rFonts w:eastAsia="Times New Roman" w:cstheme="minorHAnsi"/>
                <w:b/>
                <w:color w:val="FFFFFF"/>
                <w:lang w:bidi="ar-SA"/>
              </w:rPr>
            </w:pPr>
            <w:r w:rsidRPr="00D54752">
              <w:rPr>
                <w:rFonts w:eastAsia="Times New Roman" w:cstheme="minorHAnsi"/>
                <w:b/>
                <w:color w:val="FFFFFF"/>
                <w:lang w:bidi="ar-SA"/>
              </w:rPr>
              <w:t>HEDIS 2022 Percentile</w:t>
            </w:r>
          </w:p>
        </w:tc>
      </w:tr>
      <w:tr w:rsidR="00AB379C" w:rsidRPr="00D54752" w14:paraId="457ECB7D" w14:textId="77777777" w:rsidTr="00D2000B">
        <w:trPr>
          <w:cantSplit/>
          <w:trHeight w:val="313"/>
        </w:trPr>
        <w:tc>
          <w:tcPr>
            <w:tcW w:w="280" w:type="pct"/>
            <w:shd w:val="clear" w:color="auto" w:fill="FFFFFF" w:themeFill="background1"/>
            <w:vAlign w:val="center"/>
            <w:hideMark/>
          </w:tcPr>
          <w:p w14:paraId="759122AD"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048" w:type="pct"/>
            <w:shd w:val="clear" w:color="auto" w:fill="FFFFFF" w:themeFill="background1"/>
            <w:vAlign w:val="center"/>
            <w:hideMark/>
          </w:tcPr>
          <w:p w14:paraId="5BEC3554" w14:textId="1BD8824D"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Lead Screening in Children (</w:t>
            </w:r>
            <w:r w:rsidR="00EA2591">
              <w:rPr>
                <w:rFonts w:eastAsia="Times New Roman" w:cstheme="minorHAnsi"/>
                <w:lang w:bidi="ar-SA"/>
              </w:rPr>
              <w:t xml:space="preserve">Age </w:t>
            </w:r>
            <w:r w:rsidRPr="00D54752">
              <w:rPr>
                <w:rFonts w:eastAsia="Times New Roman" w:cstheme="minorHAnsi"/>
                <w:lang w:bidi="ar-SA"/>
              </w:rPr>
              <w:t>2 years)</w:t>
            </w:r>
          </w:p>
        </w:tc>
        <w:tc>
          <w:tcPr>
            <w:tcW w:w="307" w:type="pct"/>
            <w:shd w:val="clear" w:color="000000" w:fill="FFFFFF"/>
            <w:noWrap/>
            <w:vAlign w:val="center"/>
          </w:tcPr>
          <w:p w14:paraId="0FC6BE19" w14:textId="77777777" w:rsidR="00AB379C" w:rsidRPr="00D54752" w:rsidRDefault="00AB379C" w:rsidP="007055F6">
            <w:pPr>
              <w:ind w:right="-102"/>
              <w:jc w:val="center"/>
              <w:rPr>
                <w:rFonts w:eastAsia="Times New Roman" w:cstheme="minorHAnsi"/>
                <w:lang w:bidi="ar-SA"/>
              </w:rPr>
            </w:pPr>
            <w:r w:rsidRPr="00D54752">
              <w:rPr>
                <w:rFonts w:cstheme="minorHAnsi"/>
              </w:rPr>
              <w:t>410</w:t>
            </w:r>
          </w:p>
        </w:tc>
        <w:tc>
          <w:tcPr>
            <w:tcW w:w="307" w:type="pct"/>
            <w:shd w:val="clear" w:color="000000" w:fill="FFFFFF"/>
            <w:vAlign w:val="center"/>
          </w:tcPr>
          <w:p w14:paraId="56776BBE" w14:textId="77777777" w:rsidR="00AB379C" w:rsidRPr="00D54752" w:rsidRDefault="00AB379C" w:rsidP="007055F6">
            <w:pPr>
              <w:ind w:right="-102"/>
              <w:jc w:val="center"/>
              <w:rPr>
                <w:rFonts w:eastAsia="Times New Roman" w:cstheme="minorHAnsi"/>
                <w:lang w:bidi="ar-SA"/>
              </w:rPr>
            </w:pPr>
            <w:r w:rsidRPr="00D54752">
              <w:rPr>
                <w:rFonts w:cstheme="minorHAnsi"/>
              </w:rPr>
              <w:t>309</w:t>
            </w:r>
          </w:p>
        </w:tc>
        <w:tc>
          <w:tcPr>
            <w:tcW w:w="277" w:type="pct"/>
            <w:shd w:val="clear" w:color="000000" w:fill="FFFFFF"/>
            <w:vAlign w:val="center"/>
          </w:tcPr>
          <w:p w14:paraId="3E6D4DBC"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75.4%</w:t>
            </w:r>
          </w:p>
        </w:tc>
        <w:tc>
          <w:tcPr>
            <w:tcW w:w="362" w:type="pct"/>
            <w:shd w:val="clear" w:color="000000" w:fill="FFFFFF"/>
            <w:noWrap/>
            <w:vAlign w:val="center"/>
          </w:tcPr>
          <w:p w14:paraId="024C0CDA" w14:textId="77777777" w:rsidR="00AB379C" w:rsidRPr="00D54752" w:rsidRDefault="00AB379C" w:rsidP="007055F6">
            <w:pPr>
              <w:ind w:right="-102"/>
              <w:jc w:val="center"/>
              <w:rPr>
                <w:rFonts w:eastAsia="Times New Roman" w:cstheme="minorHAnsi"/>
                <w:lang w:bidi="ar-SA"/>
              </w:rPr>
            </w:pPr>
            <w:r w:rsidRPr="00D54752">
              <w:rPr>
                <w:rFonts w:cstheme="minorHAnsi"/>
              </w:rPr>
              <w:t>71.1%</w:t>
            </w:r>
          </w:p>
        </w:tc>
        <w:tc>
          <w:tcPr>
            <w:tcW w:w="369" w:type="pct"/>
            <w:shd w:val="clear" w:color="000000" w:fill="FFFFFF"/>
            <w:noWrap/>
            <w:vAlign w:val="center"/>
          </w:tcPr>
          <w:p w14:paraId="3A95BBB9" w14:textId="77777777" w:rsidR="00AB379C" w:rsidRPr="00D54752" w:rsidRDefault="00AB379C" w:rsidP="007055F6">
            <w:pPr>
              <w:ind w:right="-102"/>
              <w:jc w:val="center"/>
              <w:rPr>
                <w:rFonts w:eastAsia="Times New Roman" w:cstheme="minorHAnsi"/>
                <w:lang w:bidi="ar-SA"/>
              </w:rPr>
            </w:pPr>
            <w:r w:rsidRPr="00D54752">
              <w:rPr>
                <w:rFonts w:cstheme="minorHAnsi"/>
              </w:rPr>
              <w:t>79.7%</w:t>
            </w:r>
          </w:p>
        </w:tc>
        <w:tc>
          <w:tcPr>
            <w:tcW w:w="368" w:type="pct"/>
            <w:shd w:val="clear" w:color="000000" w:fill="FFFFFF"/>
            <w:noWrap/>
            <w:vAlign w:val="center"/>
          </w:tcPr>
          <w:p w14:paraId="1D4F685A" w14:textId="77777777" w:rsidR="00AB379C" w:rsidRPr="00D54752" w:rsidRDefault="00AB379C" w:rsidP="007055F6">
            <w:pPr>
              <w:ind w:right="-102"/>
              <w:jc w:val="center"/>
              <w:rPr>
                <w:rFonts w:eastAsia="Times New Roman" w:cstheme="minorHAnsi"/>
                <w:lang w:bidi="ar-SA"/>
              </w:rPr>
            </w:pPr>
            <w:r w:rsidRPr="00D54752">
              <w:rPr>
                <w:rFonts w:cstheme="minorHAnsi"/>
              </w:rPr>
              <w:t>85.6%</w:t>
            </w:r>
          </w:p>
        </w:tc>
        <w:tc>
          <w:tcPr>
            <w:tcW w:w="431" w:type="pct"/>
            <w:shd w:val="clear" w:color="000000" w:fill="FFFFFF"/>
            <w:noWrap/>
            <w:vAlign w:val="center"/>
          </w:tcPr>
          <w:p w14:paraId="0A62FB66"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307" w:type="pct"/>
            <w:shd w:val="clear" w:color="000000" w:fill="FFFFFF"/>
            <w:noWrap/>
            <w:vAlign w:val="center"/>
          </w:tcPr>
          <w:p w14:paraId="12531C19" w14:textId="77777777" w:rsidR="00AB379C" w:rsidRPr="00D54752" w:rsidRDefault="00AB379C" w:rsidP="007055F6">
            <w:pPr>
              <w:ind w:right="-102"/>
              <w:jc w:val="center"/>
              <w:rPr>
                <w:rFonts w:eastAsia="Times New Roman" w:cstheme="minorHAnsi"/>
                <w:lang w:bidi="ar-SA"/>
              </w:rPr>
            </w:pPr>
            <w:r w:rsidRPr="00D54752">
              <w:rPr>
                <w:rFonts w:cstheme="minorHAnsi"/>
              </w:rPr>
              <w:t>67.6%</w:t>
            </w:r>
          </w:p>
        </w:tc>
        <w:tc>
          <w:tcPr>
            <w:tcW w:w="350" w:type="pct"/>
            <w:shd w:val="clear" w:color="000000" w:fill="FFFFFF"/>
            <w:noWrap/>
            <w:vAlign w:val="center"/>
          </w:tcPr>
          <w:p w14:paraId="1969ACB9"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95" w:type="pct"/>
            <w:shd w:val="clear" w:color="000000" w:fill="FFFFFF"/>
            <w:vAlign w:val="center"/>
          </w:tcPr>
          <w:p w14:paraId="0613ED2F" w14:textId="0C4AF805" w:rsidR="00AB379C" w:rsidRPr="00D54752" w:rsidRDefault="00D54752" w:rsidP="007055F6">
            <w:pPr>
              <w:ind w:right="-102"/>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486572B5" w14:textId="77777777" w:rsidTr="00D2000B">
        <w:trPr>
          <w:cantSplit/>
          <w:trHeight w:val="277"/>
        </w:trPr>
        <w:tc>
          <w:tcPr>
            <w:tcW w:w="280" w:type="pct"/>
            <w:shd w:val="clear" w:color="auto" w:fill="FFFFFF" w:themeFill="background1"/>
            <w:vAlign w:val="center"/>
            <w:hideMark/>
          </w:tcPr>
          <w:p w14:paraId="2C5142B8"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048" w:type="pct"/>
            <w:shd w:val="clear" w:color="auto" w:fill="FFFFFF" w:themeFill="background1"/>
            <w:vAlign w:val="center"/>
            <w:hideMark/>
          </w:tcPr>
          <w:p w14:paraId="44794B2F" w14:textId="203E220C"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Chlamydia Screening in Women (</w:t>
            </w:r>
            <w:r w:rsidR="00EA2591">
              <w:rPr>
                <w:rFonts w:eastAsia="Times New Roman" w:cstheme="minorHAnsi"/>
                <w:lang w:bidi="ar-SA"/>
              </w:rPr>
              <w:t xml:space="preserve">Ages </w:t>
            </w:r>
            <w:r w:rsidRPr="00D54752">
              <w:rPr>
                <w:rFonts w:eastAsia="Times New Roman" w:cstheme="minorHAnsi"/>
                <w:lang w:bidi="ar-SA"/>
              </w:rPr>
              <w:t>16–20 years)</w:t>
            </w:r>
          </w:p>
        </w:tc>
        <w:tc>
          <w:tcPr>
            <w:tcW w:w="307" w:type="pct"/>
            <w:shd w:val="clear" w:color="000000" w:fill="FFFFFF"/>
            <w:noWrap/>
            <w:vAlign w:val="center"/>
          </w:tcPr>
          <w:p w14:paraId="7C4628B5" w14:textId="77777777" w:rsidR="00AB379C" w:rsidRPr="00D54752" w:rsidRDefault="00AB379C" w:rsidP="007055F6">
            <w:pPr>
              <w:ind w:right="-102"/>
              <w:jc w:val="center"/>
              <w:rPr>
                <w:rFonts w:eastAsia="Times New Roman" w:cstheme="minorHAnsi"/>
                <w:lang w:bidi="ar-SA"/>
              </w:rPr>
            </w:pPr>
            <w:r w:rsidRPr="00D54752">
              <w:rPr>
                <w:rFonts w:cstheme="minorHAnsi"/>
              </w:rPr>
              <w:t>1,201</w:t>
            </w:r>
          </w:p>
        </w:tc>
        <w:tc>
          <w:tcPr>
            <w:tcW w:w="307" w:type="pct"/>
            <w:shd w:val="clear" w:color="000000" w:fill="FFFFFF"/>
            <w:vAlign w:val="center"/>
          </w:tcPr>
          <w:p w14:paraId="2A949168" w14:textId="77777777" w:rsidR="00AB379C" w:rsidRPr="00D54752" w:rsidRDefault="00AB379C" w:rsidP="007055F6">
            <w:pPr>
              <w:ind w:right="-102"/>
              <w:jc w:val="center"/>
              <w:rPr>
                <w:rFonts w:eastAsia="Times New Roman" w:cstheme="minorHAnsi"/>
                <w:lang w:bidi="ar-SA"/>
              </w:rPr>
            </w:pPr>
            <w:r w:rsidRPr="00D54752">
              <w:rPr>
                <w:rFonts w:cstheme="minorHAnsi"/>
              </w:rPr>
              <w:t>409</w:t>
            </w:r>
          </w:p>
        </w:tc>
        <w:tc>
          <w:tcPr>
            <w:tcW w:w="277" w:type="pct"/>
            <w:shd w:val="clear" w:color="000000" w:fill="FFFFFF"/>
            <w:vAlign w:val="center"/>
          </w:tcPr>
          <w:p w14:paraId="209AFAC1"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34.1%</w:t>
            </w:r>
          </w:p>
        </w:tc>
        <w:tc>
          <w:tcPr>
            <w:tcW w:w="362" w:type="pct"/>
            <w:shd w:val="clear" w:color="000000" w:fill="FFFFFF"/>
            <w:noWrap/>
            <w:vAlign w:val="center"/>
          </w:tcPr>
          <w:p w14:paraId="74928BE3" w14:textId="77777777" w:rsidR="00AB379C" w:rsidRPr="00D54752" w:rsidRDefault="00AB379C" w:rsidP="007055F6">
            <w:pPr>
              <w:ind w:right="-102"/>
              <w:jc w:val="center"/>
              <w:rPr>
                <w:rFonts w:eastAsia="Times New Roman" w:cstheme="minorHAnsi"/>
                <w:lang w:bidi="ar-SA"/>
              </w:rPr>
            </w:pPr>
            <w:r w:rsidRPr="00D54752">
              <w:rPr>
                <w:rFonts w:cstheme="minorHAnsi"/>
              </w:rPr>
              <w:t>31.3%</w:t>
            </w:r>
          </w:p>
        </w:tc>
        <w:tc>
          <w:tcPr>
            <w:tcW w:w="369" w:type="pct"/>
            <w:shd w:val="clear" w:color="000000" w:fill="FFFFFF"/>
            <w:noWrap/>
            <w:vAlign w:val="center"/>
          </w:tcPr>
          <w:p w14:paraId="350D7223" w14:textId="77777777" w:rsidR="00AB379C" w:rsidRPr="00D54752" w:rsidRDefault="00AB379C" w:rsidP="007055F6">
            <w:pPr>
              <w:ind w:right="-102"/>
              <w:jc w:val="center"/>
              <w:rPr>
                <w:rFonts w:eastAsia="Times New Roman" w:cstheme="minorHAnsi"/>
                <w:lang w:bidi="ar-SA"/>
              </w:rPr>
            </w:pPr>
            <w:r w:rsidRPr="00D54752">
              <w:rPr>
                <w:rFonts w:cstheme="minorHAnsi"/>
              </w:rPr>
              <w:t>36.8%</w:t>
            </w:r>
          </w:p>
        </w:tc>
        <w:tc>
          <w:tcPr>
            <w:tcW w:w="368" w:type="pct"/>
            <w:shd w:val="clear" w:color="000000" w:fill="FFFFFF"/>
            <w:noWrap/>
            <w:vAlign w:val="center"/>
          </w:tcPr>
          <w:p w14:paraId="5FE06721" w14:textId="77777777" w:rsidR="00AB379C" w:rsidRPr="00D54752" w:rsidRDefault="00AB379C" w:rsidP="007055F6">
            <w:pPr>
              <w:ind w:right="-102"/>
              <w:jc w:val="center"/>
              <w:rPr>
                <w:rFonts w:eastAsia="Times New Roman" w:cstheme="minorHAnsi"/>
                <w:lang w:bidi="ar-SA"/>
              </w:rPr>
            </w:pPr>
            <w:r w:rsidRPr="00D54752">
              <w:rPr>
                <w:rFonts w:cstheme="minorHAnsi"/>
              </w:rPr>
              <w:t>36.4%</w:t>
            </w:r>
          </w:p>
        </w:tc>
        <w:tc>
          <w:tcPr>
            <w:tcW w:w="431" w:type="pct"/>
            <w:shd w:val="clear" w:color="000000" w:fill="FFFFFF"/>
            <w:noWrap/>
            <w:vAlign w:val="center"/>
          </w:tcPr>
          <w:p w14:paraId="3EE14297"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07" w:type="pct"/>
            <w:shd w:val="clear" w:color="000000" w:fill="FFFFFF"/>
            <w:noWrap/>
            <w:vAlign w:val="center"/>
          </w:tcPr>
          <w:p w14:paraId="62C48062" w14:textId="77777777" w:rsidR="00AB379C" w:rsidRPr="00D54752" w:rsidRDefault="00AB379C" w:rsidP="007055F6">
            <w:pPr>
              <w:ind w:right="-102"/>
              <w:jc w:val="center"/>
              <w:rPr>
                <w:rFonts w:eastAsia="Times New Roman" w:cstheme="minorHAnsi"/>
                <w:lang w:bidi="ar-SA"/>
              </w:rPr>
            </w:pPr>
            <w:r w:rsidRPr="00D54752">
              <w:rPr>
                <w:rFonts w:cstheme="minorHAnsi"/>
              </w:rPr>
              <w:t>36.5%</w:t>
            </w:r>
          </w:p>
        </w:tc>
        <w:tc>
          <w:tcPr>
            <w:tcW w:w="350" w:type="pct"/>
            <w:shd w:val="clear" w:color="000000" w:fill="FFFFFF"/>
            <w:noWrap/>
            <w:vAlign w:val="center"/>
          </w:tcPr>
          <w:p w14:paraId="277E0E2A"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95" w:type="pct"/>
            <w:shd w:val="clear" w:color="000000" w:fill="FFFFFF"/>
            <w:vAlign w:val="center"/>
          </w:tcPr>
          <w:p w14:paraId="29F21D94" w14:textId="77777777" w:rsidR="00AB379C" w:rsidRPr="00D54752" w:rsidRDefault="00AB379C" w:rsidP="007055F6">
            <w:pPr>
              <w:ind w:right="-102"/>
              <w:jc w:val="center"/>
              <w:rPr>
                <w:rFonts w:eastAsia="Times New Roman" w:cstheme="minorHAnsi"/>
                <w:lang w:bidi="ar-SA"/>
              </w:rPr>
            </w:pPr>
            <w:r w:rsidRPr="00D54752">
              <w:rPr>
                <w:rFonts w:cstheme="minorHAnsi"/>
              </w:rPr>
              <w:t xml:space="preserve">&lt; 10th percentile </w:t>
            </w:r>
          </w:p>
        </w:tc>
      </w:tr>
      <w:tr w:rsidR="00AB379C" w:rsidRPr="00D54752" w14:paraId="1AC95BC8" w14:textId="77777777" w:rsidTr="00D2000B">
        <w:trPr>
          <w:cantSplit/>
          <w:trHeight w:val="439"/>
        </w:trPr>
        <w:tc>
          <w:tcPr>
            <w:tcW w:w="280" w:type="pct"/>
            <w:shd w:val="clear" w:color="auto" w:fill="FFFFFF" w:themeFill="background1"/>
            <w:vAlign w:val="center"/>
            <w:hideMark/>
          </w:tcPr>
          <w:p w14:paraId="76EE6F94"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PA EQR</w:t>
            </w:r>
          </w:p>
        </w:tc>
        <w:tc>
          <w:tcPr>
            <w:tcW w:w="1048" w:type="pct"/>
            <w:shd w:val="clear" w:color="auto" w:fill="FFFFFF" w:themeFill="background1"/>
            <w:vAlign w:val="center"/>
            <w:hideMark/>
          </w:tcPr>
          <w:p w14:paraId="343B7B33"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Developmental Screening in the First Three Years of Life— Total</w:t>
            </w:r>
          </w:p>
        </w:tc>
        <w:tc>
          <w:tcPr>
            <w:tcW w:w="307" w:type="pct"/>
            <w:shd w:val="clear" w:color="000000" w:fill="FFFFFF"/>
            <w:noWrap/>
            <w:vAlign w:val="center"/>
          </w:tcPr>
          <w:p w14:paraId="68F225DF" w14:textId="77777777" w:rsidR="00AB379C" w:rsidRPr="00D54752" w:rsidRDefault="00AB379C" w:rsidP="007055F6">
            <w:pPr>
              <w:ind w:right="-102"/>
              <w:jc w:val="center"/>
              <w:rPr>
                <w:rFonts w:eastAsia="Times New Roman" w:cstheme="minorHAnsi"/>
                <w:lang w:bidi="ar-SA"/>
              </w:rPr>
            </w:pPr>
            <w:r w:rsidRPr="00D54752">
              <w:rPr>
                <w:rFonts w:cstheme="minorHAnsi"/>
              </w:rPr>
              <w:t>1,675</w:t>
            </w:r>
          </w:p>
        </w:tc>
        <w:tc>
          <w:tcPr>
            <w:tcW w:w="307" w:type="pct"/>
            <w:shd w:val="clear" w:color="000000" w:fill="FFFFFF"/>
            <w:vAlign w:val="center"/>
          </w:tcPr>
          <w:p w14:paraId="2CA3CDC1" w14:textId="77777777" w:rsidR="00AB379C" w:rsidRPr="00D54752" w:rsidRDefault="00AB379C" w:rsidP="007055F6">
            <w:pPr>
              <w:ind w:right="-102"/>
              <w:jc w:val="center"/>
              <w:rPr>
                <w:rFonts w:eastAsia="Times New Roman" w:cstheme="minorHAnsi"/>
                <w:lang w:bidi="ar-SA"/>
              </w:rPr>
            </w:pPr>
            <w:r w:rsidRPr="00D54752">
              <w:rPr>
                <w:rFonts w:cstheme="minorHAnsi"/>
              </w:rPr>
              <w:t>1,268</w:t>
            </w:r>
          </w:p>
        </w:tc>
        <w:tc>
          <w:tcPr>
            <w:tcW w:w="277" w:type="pct"/>
            <w:shd w:val="clear" w:color="000000" w:fill="FFFFFF"/>
            <w:vAlign w:val="center"/>
          </w:tcPr>
          <w:p w14:paraId="2319349D"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75.7%</w:t>
            </w:r>
          </w:p>
        </w:tc>
        <w:tc>
          <w:tcPr>
            <w:tcW w:w="362" w:type="pct"/>
            <w:shd w:val="clear" w:color="000000" w:fill="FFFFFF"/>
            <w:noWrap/>
            <w:vAlign w:val="center"/>
          </w:tcPr>
          <w:p w14:paraId="19043A2A" w14:textId="77777777" w:rsidR="00AB379C" w:rsidRPr="00D54752" w:rsidRDefault="00AB379C" w:rsidP="007055F6">
            <w:pPr>
              <w:ind w:right="-102"/>
              <w:jc w:val="center"/>
              <w:rPr>
                <w:rFonts w:eastAsia="Times New Roman" w:cstheme="minorHAnsi"/>
                <w:lang w:bidi="ar-SA"/>
              </w:rPr>
            </w:pPr>
            <w:r w:rsidRPr="00D54752">
              <w:rPr>
                <w:rFonts w:cstheme="minorHAnsi"/>
              </w:rPr>
              <w:t>73.6%</w:t>
            </w:r>
          </w:p>
        </w:tc>
        <w:tc>
          <w:tcPr>
            <w:tcW w:w="369" w:type="pct"/>
            <w:shd w:val="clear" w:color="000000" w:fill="FFFFFF"/>
            <w:noWrap/>
            <w:vAlign w:val="center"/>
          </w:tcPr>
          <w:p w14:paraId="5238098A" w14:textId="77777777" w:rsidR="00AB379C" w:rsidRPr="00D54752" w:rsidRDefault="00AB379C" w:rsidP="007055F6">
            <w:pPr>
              <w:ind w:right="-102"/>
              <w:jc w:val="center"/>
              <w:rPr>
                <w:rFonts w:eastAsia="Times New Roman" w:cstheme="minorHAnsi"/>
                <w:lang w:bidi="ar-SA"/>
              </w:rPr>
            </w:pPr>
            <w:r w:rsidRPr="00D54752">
              <w:rPr>
                <w:rFonts w:cstheme="minorHAnsi"/>
              </w:rPr>
              <w:t>77.8%</w:t>
            </w:r>
          </w:p>
        </w:tc>
        <w:tc>
          <w:tcPr>
            <w:tcW w:w="368" w:type="pct"/>
            <w:shd w:val="clear" w:color="000000" w:fill="FFFFFF"/>
            <w:noWrap/>
            <w:vAlign w:val="center"/>
          </w:tcPr>
          <w:p w14:paraId="4AD2DA62" w14:textId="77777777" w:rsidR="00AB379C" w:rsidRPr="00D54752" w:rsidRDefault="00AB379C" w:rsidP="007055F6">
            <w:pPr>
              <w:ind w:right="-102"/>
              <w:jc w:val="center"/>
              <w:rPr>
                <w:rFonts w:eastAsia="Times New Roman" w:cstheme="minorHAnsi"/>
                <w:lang w:bidi="ar-SA"/>
              </w:rPr>
            </w:pPr>
            <w:r w:rsidRPr="00D54752">
              <w:rPr>
                <w:rFonts w:cstheme="minorHAnsi"/>
              </w:rPr>
              <w:t>74.4%</w:t>
            </w:r>
          </w:p>
        </w:tc>
        <w:tc>
          <w:tcPr>
            <w:tcW w:w="431" w:type="pct"/>
            <w:shd w:val="clear" w:color="000000" w:fill="FFFFFF"/>
            <w:noWrap/>
            <w:vAlign w:val="center"/>
          </w:tcPr>
          <w:p w14:paraId="1610C6FC"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07" w:type="pct"/>
            <w:shd w:val="clear" w:color="000000" w:fill="FFFFFF"/>
            <w:noWrap/>
            <w:vAlign w:val="center"/>
          </w:tcPr>
          <w:p w14:paraId="1CAE5BCF" w14:textId="77777777" w:rsidR="00AB379C" w:rsidRPr="00D54752" w:rsidRDefault="00AB379C" w:rsidP="007055F6">
            <w:pPr>
              <w:ind w:right="-102"/>
              <w:jc w:val="center"/>
              <w:rPr>
                <w:rFonts w:eastAsia="Times New Roman" w:cstheme="minorHAnsi"/>
                <w:lang w:bidi="ar-SA"/>
              </w:rPr>
            </w:pPr>
            <w:r w:rsidRPr="00D54752">
              <w:rPr>
                <w:rFonts w:cstheme="minorHAnsi"/>
              </w:rPr>
              <w:t>66.0%</w:t>
            </w:r>
          </w:p>
        </w:tc>
        <w:tc>
          <w:tcPr>
            <w:tcW w:w="350" w:type="pct"/>
            <w:shd w:val="clear" w:color="000000" w:fill="FFFFFF"/>
            <w:noWrap/>
            <w:vAlign w:val="center"/>
          </w:tcPr>
          <w:p w14:paraId="6804D8C2"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95" w:type="pct"/>
            <w:shd w:val="clear" w:color="000000" w:fill="FFFFFF"/>
            <w:vAlign w:val="center"/>
          </w:tcPr>
          <w:p w14:paraId="1CFC6C09" w14:textId="77777777" w:rsidR="00AB379C" w:rsidRPr="00D54752" w:rsidRDefault="00AB379C" w:rsidP="007055F6">
            <w:pPr>
              <w:ind w:right="-102"/>
              <w:jc w:val="center"/>
              <w:rPr>
                <w:rFonts w:eastAsia="Times New Roman" w:cstheme="minorHAnsi"/>
                <w:lang w:bidi="ar-SA"/>
              </w:rPr>
            </w:pPr>
            <w:r w:rsidRPr="00D54752">
              <w:rPr>
                <w:rFonts w:cstheme="minorHAnsi"/>
              </w:rPr>
              <w:t>NA</w:t>
            </w:r>
          </w:p>
        </w:tc>
      </w:tr>
      <w:tr w:rsidR="00AB379C" w:rsidRPr="00D54752" w14:paraId="65618DD9" w14:textId="77777777" w:rsidTr="00D2000B">
        <w:trPr>
          <w:cantSplit/>
          <w:trHeight w:val="67"/>
        </w:trPr>
        <w:tc>
          <w:tcPr>
            <w:tcW w:w="280" w:type="pct"/>
            <w:shd w:val="clear" w:color="auto" w:fill="FFFFFF" w:themeFill="background1"/>
            <w:vAlign w:val="center"/>
            <w:hideMark/>
          </w:tcPr>
          <w:p w14:paraId="39D2B836"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PA EQR</w:t>
            </w:r>
          </w:p>
        </w:tc>
        <w:tc>
          <w:tcPr>
            <w:tcW w:w="1048" w:type="pct"/>
            <w:shd w:val="clear" w:color="auto" w:fill="FFFFFF" w:themeFill="background1"/>
            <w:vAlign w:val="center"/>
            <w:hideMark/>
          </w:tcPr>
          <w:p w14:paraId="63F1BE11"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Developmental Screening in the First Three Years of Life—</w:t>
            </w:r>
            <w:r w:rsidRPr="00D54752">
              <w:rPr>
                <w:rFonts w:eastAsia="Times New Roman" w:cstheme="minorHAnsi"/>
                <w:lang w:bidi="ar-SA"/>
              </w:rPr>
              <w:br/>
              <w:t>1 year</w:t>
            </w:r>
          </w:p>
        </w:tc>
        <w:tc>
          <w:tcPr>
            <w:tcW w:w="307" w:type="pct"/>
            <w:shd w:val="clear" w:color="000000" w:fill="FFFFFF"/>
            <w:noWrap/>
            <w:vAlign w:val="center"/>
          </w:tcPr>
          <w:p w14:paraId="4C1572D5" w14:textId="77777777" w:rsidR="00AB379C" w:rsidRPr="00D54752" w:rsidRDefault="00AB379C" w:rsidP="007055F6">
            <w:pPr>
              <w:ind w:right="-102"/>
              <w:jc w:val="center"/>
              <w:rPr>
                <w:rFonts w:eastAsia="Times New Roman" w:cstheme="minorHAnsi"/>
                <w:lang w:bidi="ar-SA"/>
              </w:rPr>
            </w:pPr>
            <w:r w:rsidRPr="00D54752">
              <w:rPr>
                <w:rFonts w:cstheme="minorHAnsi"/>
              </w:rPr>
              <w:t>275</w:t>
            </w:r>
          </w:p>
        </w:tc>
        <w:tc>
          <w:tcPr>
            <w:tcW w:w="307" w:type="pct"/>
            <w:shd w:val="clear" w:color="000000" w:fill="FFFFFF"/>
            <w:vAlign w:val="center"/>
          </w:tcPr>
          <w:p w14:paraId="6DE33B5B" w14:textId="77777777" w:rsidR="00AB379C" w:rsidRPr="00D54752" w:rsidRDefault="00AB379C" w:rsidP="007055F6">
            <w:pPr>
              <w:ind w:right="-102"/>
              <w:jc w:val="center"/>
              <w:rPr>
                <w:rFonts w:eastAsia="Times New Roman" w:cstheme="minorHAnsi"/>
                <w:lang w:bidi="ar-SA"/>
              </w:rPr>
            </w:pPr>
            <w:r w:rsidRPr="00D54752">
              <w:rPr>
                <w:rFonts w:cstheme="minorHAnsi"/>
              </w:rPr>
              <w:t>208</w:t>
            </w:r>
          </w:p>
        </w:tc>
        <w:tc>
          <w:tcPr>
            <w:tcW w:w="277" w:type="pct"/>
            <w:shd w:val="clear" w:color="000000" w:fill="FFFFFF"/>
            <w:vAlign w:val="center"/>
          </w:tcPr>
          <w:p w14:paraId="4168F411"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75.6%</w:t>
            </w:r>
          </w:p>
        </w:tc>
        <w:tc>
          <w:tcPr>
            <w:tcW w:w="362" w:type="pct"/>
            <w:shd w:val="clear" w:color="000000" w:fill="FFFFFF"/>
            <w:noWrap/>
            <w:vAlign w:val="center"/>
          </w:tcPr>
          <w:p w14:paraId="7267FA21" w14:textId="77777777" w:rsidR="00AB379C" w:rsidRPr="00D54752" w:rsidRDefault="00AB379C" w:rsidP="007055F6">
            <w:pPr>
              <w:ind w:right="-102"/>
              <w:jc w:val="center"/>
              <w:rPr>
                <w:rFonts w:eastAsia="Times New Roman" w:cstheme="minorHAnsi"/>
                <w:lang w:bidi="ar-SA"/>
              </w:rPr>
            </w:pPr>
            <w:r w:rsidRPr="00D54752">
              <w:rPr>
                <w:rFonts w:cstheme="minorHAnsi"/>
              </w:rPr>
              <w:t>70.4%</w:t>
            </w:r>
          </w:p>
        </w:tc>
        <w:tc>
          <w:tcPr>
            <w:tcW w:w="369" w:type="pct"/>
            <w:shd w:val="clear" w:color="000000" w:fill="FFFFFF"/>
            <w:noWrap/>
            <w:vAlign w:val="center"/>
          </w:tcPr>
          <w:p w14:paraId="19F3A88B" w14:textId="77777777" w:rsidR="00AB379C" w:rsidRPr="00D54752" w:rsidRDefault="00AB379C" w:rsidP="007055F6">
            <w:pPr>
              <w:ind w:right="-102"/>
              <w:jc w:val="center"/>
              <w:rPr>
                <w:rFonts w:eastAsia="Times New Roman" w:cstheme="minorHAnsi"/>
                <w:lang w:bidi="ar-SA"/>
              </w:rPr>
            </w:pPr>
            <w:r w:rsidRPr="00D54752">
              <w:rPr>
                <w:rFonts w:cstheme="minorHAnsi"/>
              </w:rPr>
              <w:t>80.9%</w:t>
            </w:r>
          </w:p>
        </w:tc>
        <w:tc>
          <w:tcPr>
            <w:tcW w:w="368" w:type="pct"/>
            <w:shd w:val="clear" w:color="000000" w:fill="FFFFFF"/>
            <w:noWrap/>
            <w:vAlign w:val="center"/>
          </w:tcPr>
          <w:p w14:paraId="3395AD58" w14:textId="77777777" w:rsidR="00AB379C" w:rsidRPr="00D54752" w:rsidRDefault="00AB379C" w:rsidP="007055F6">
            <w:pPr>
              <w:ind w:right="-102"/>
              <w:jc w:val="center"/>
              <w:rPr>
                <w:rFonts w:eastAsia="Times New Roman" w:cstheme="minorHAnsi"/>
                <w:lang w:bidi="ar-SA"/>
              </w:rPr>
            </w:pPr>
            <w:r w:rsidRPr="00D54752">
              <w:rPr>
                <w:rFonts w:cstheme="minorHAnsi"/>
              </w:rPr>
              <w:t>72.3%</w:t>
            </w:r>
          </w:p>
        </w:tc>
        <w:tc>
          <w:tcPr>
            <w:tcW w:w="431" w:type="pct"/>
            <w:shd w:val="clear" w:color="000000" w:fill="FFFFFF"/>
            <w:noWrap/>
            <w:vAlign w:val="center"/>
          </w:tcPr>
          <w:p w14:paraId="1027E270"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07" w:type="pct"/>
            <w:shd w:val="clear" w:color="000000" w:fill="FFFFFF"/>
            <w:noWrap/>
            <w:vAlign w:val="center"/>
          </w:tcPr>
          <w:p w14:paraId="65269184" w14:textId="77777777" w:rsidR="00AB379C" w:rsidRPr="00D54752" w:rsidRDefault="00AB379C" w:rsidP="007055F6">
            <w:pPr>
              <w:ind w:right="-102"/>
              <w:jc w:val="center"/>
              <w:rPr>
                <w:rFonts w:eastAsia="Times New Roman" w:cstheme="minorHAnsi"/>
                <w:lang w:bidi="ar-SA"/>
              </w:rPr>
            </w:pPr>
            <w:r w:rsidRPr="00D54752">
              <w:rPr>
                <w:rFonts w:cstheme="minorHAnsi"/>
              </w:rPr>
              <w:t>67.3%</w:t>
            </w:r>
          </w:p>
        </w:tc>
        <w:tc>
          <w:tcPr>
            <w:tcW w:w="350" w:type="pct"/>
            <w:shd w:val="clear" w:color="000000" w:fill="FFFFFF"/>
            <w:noWrap/>
            <w:vAlign w:val="center"/>
          </w:tcPr>
          <w:p w14:paraId="13A962F3"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95" w:type="pct"/>
            <w:shd w:val="clear" w:color="000000" w:fill="FFFFFF"/>
            <w:vAlign w:val="center"/>
          </w:tcPr>
          <w:p w14:paraId="6445D0A1" w14:textId="77777777" w:rsidR="00AB379C" w:rsidRPr="00D54752" w:rsidRDefault="00AB379C" w:rsidP="007055F6">
            <w:pPr>
              <w:ind w:right="-102"/>
              <w:jc w:val="center"/>
              <w:rPr>
                <w:rFonts w:eastAsia="Times New Roman" w:cstheme="minorHAnsi"/>
                <w:lang w:bidi="ar-SA"/>
              </w:rPr>
            </w:pPr>
            <w:r w:rsidRPr="00D54752">
              <w:rPr>
                <w:rFonts w:cstheme="minorHAnsi"/>
              </w:rPr>
              <w:t>NA</w:t>
            </w:r>
          </w:p>
        </w:tc>
      </w:tr>
      <w:tr w:rsidR="00AB379C" w:rsidRPr="00D54752" w14:paraId="16C2641A" w14:textId="77777777" w:rsidTr="00D2000B">
        <w:trPr>
          <w:cantSplit/>
          <w:trHeight w:val="67"/>
        </w:trPr>
        <w:tc>
          <w:tcPr>
            <w:tcW w:w="280" w:type="pct"/>
            <w:shd w:val="clear" w:color="auto" w:fill="FFFFFF" w:themeFill="background1"/>
            <w:vAlign w:val="center"/>
            <w:hideMark/>
          </w:tcPr>
          <w:p w14:paraId="6A8BA41B"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PA EQR</w:t>
            </w:r>
          </w:p>
        </w:tc>
        <w:tc>
          <w:tcPr>
            <w:tcW w:w="1048" w:type="pct"/>
            <w:shd w:val="clear" w:color="auto" w:fill="FFFFFF" w:themeFill="background1"/>
            <w:vAlign w:val="center"/>
            <w:hideMark/>
          </w:tcPr>
          <w:p w14:paraId="0A239DB1"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Developmental Screening in the First Three Years of Life—</w:t>
            </w:r>
            <w:r w:rsidRPr="00D54752">
              <w:rPr>
                <w:rFonts w:eastAsia="Times New Roman" w:cstheme="minorHAnsi"/>
                <w:lang w:bidi="ar-SA"/>
              </w:rPr>
              <w:br/>
              <w:t>2 years</w:t>
            </w:r>
          </w:p>
        </w:tc>
        <w:tc>
          <w:tcPr>
            <w:tcW w:w="307" w:type="pct"/>
            <w:shd w:val="clear" w:color="000000" w:fill="FFFFFF"/>
            <w:noWrap/>
            <w:vAlign w:val="center"/>
          </w:tcPr>
          <w:p w14:paraId="136548C6" w14:textId="77777777" w:rsidR="00AB379C" w:rsidRPr="00D54752" w:rsidRDefault="00AB379C" w:rsidP="007055F6">
            <w:pPr>
              <w:ind w:right="-102"/>
              <w:jc w:val="center"/>
              <w:rPr>
                <w:rFonts w:eastAsia="Times New Roman" w:cstheme="minorHAnsi"/>
                <w:lang w:bidi="ar-SA"/>
              </w:rPr>
            </w:pPr>
            <w:r w:rsidRPr="00D54752">
              <w:rPr>
                <w:rFonts w:cstheme="minorHAnsi"/>
              </w:rPr>
              <w:t>450</w:t>
            </w:r>
          </w:p>
        </w:tc>
        <w:tc>
          <w:tcPr>
            <w:tcW w:w="307" w:type="pct"/>
            <w:shd w:val="clear" w:color="000000" w:fill="FFFFFF"/>
            <w:vAlign w:val="center"/>
          </w:tcPr>
          <w:p w14:paraId="2FA5939F" w14:textId="77777777" w:rsidR="00AB379C" w:rsidRPr="00D54752" w:rsidRDefault="00AB379C" w:rsidP="007055F6">
            <w:pPr>
              <w:ind w:right="-102"/>
              <w:jc w:val="center"/>
              <w:rPr>
                <w:rFonts w:eastAsia="Times New Roman" w:cstheme="minorHAnsi"/>
                <w:lang w:bidi="ar-SA"/>
              </w:rPr>
            </w:pPr>
            <w:r w:rsidRPr="00D54752">
              <w:rPr>
                <w:rFonts w:cstheme="minorHAnsi"/>
              </w:rPr>
              <w:t>351</w:t>
            </w:r>
          </w:p>
        </w:tc>
        <w:tc>
          <w:tcPr>
            <w:tcW w:w="277" w:type="pct"/>
            <w:shd w:val="clear" w:color="000000" w:fill="FFFFFF"/>
            <w:vAlign w:val="center"/>
          </w:tcPr>
          <w:p w14:paraId="7E1CFD5F"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78.0%</w:t>
            </w:r>
          </w:p>
        </w:tc>
        <w:tc>
          <w:tcPr>
            <w:tcW w:w="362" w:type="pct"/>
            <w:shd w:val="clear" w:color="000000" w:fill="FFFFFF"/>
            <w:noWrap/>
            <w:vAlign w:val="center"/>
          </w:tcPr>
          <w:p w14:paraId="393111B5" w14:textId="77777777" w:rsidR="00AB379C" w:rsidRPr="00D54752" w:rsidRDefault="00AB379C" w:rsidP="007055F6">
            <w:pPr>
              <w:ind w:right="-102"/>
              <w:jc w:val="center"/>
              <w:rPr>
                <w:rFonts w:eastAsia="Times New Roman" w:cstheme="minorHAnsi"/>
                <w:lang w:bidi="ar-SA"/>
              </w:rPr>
            </w:pPr>
            <w:r w:rsidRPr="00D54752">
              <w:rPr>
                <w:rFonts w:cstheme="minorHAnsi"/>
              </w:rPr>
              <w:t>74.1%</w:t>
            </w:r>
          </w:p>
        </w:tc>
        <w:tc>
          <w:tcPr>
            <w:tcW w:w="369" w:type="pct"/>
            <w:shd w:val="clear" w:color="000000" w:fill="FFFFFF"/>
            <w:noWrap/>
            <w:vAlign w:val="center"/>
          </w:tcPr>
          <w:p w14:paraId="2A8131AF" w14:textId="77777777" w:rsidR="00AB379C" w:rsidRPr="00D54752" w:rsidRDefault="00AB379C" w:rsidP="007055F6">
            <w:pPr>
              <w:ind w:right="-102"/>
              <w:jc w:val="center"/>
              <w:rPr>
                <w:rFonts w:eastAsia="Times New Roman" w:cstheme="minorHAnsi"/>
                <w:lang w:bidi="ar-SA"/>
              </w:rPr>
            </w:pPr>
            <w:r w:rsidRPr="00D54752">
              <w:rPr>
                <w:rFonts w:cstheme="minorHAnsi"/>
              </w:rPr>
              <w:t>81.9%</w:t>
            </w:r>
          </w:p>
        </w:tc>
        <w:tc>
          <w:tcPr>
            <w:tcW w:w="368" w:type="pct"/>
            <w:shd w:val="clear" w:color="000000" w:fill="FFFFFF"/>
            <w:noWrap/>
            <w:vAlign w:val="center"/>
          </w:tcPr>
          <w:p w14:paraId="395BD3C0" w14:textId="77777777" w:rsidR="00AB379C" w:rsidRPr="00D54752" w:rsidRDefault="00AB379C" w:rsidP="007055F6">
            <w:pPr>
              <w:ind w:right="-102"/>
              <w:jc w:val="center"/>
              <w:rPr>
                <w:rFonts w:eastAsia="Times New Roman" w:cstheme="minorHAnsi"/>
                <w:lang w:bidi="ar-SA"/>
              </w:rPr>
            </w:pPr>
            <w:r w:rsidRPr="00D54752">
              <w:rPr>
                <w:rFonts w:cstheme="minorHAnsi"/>
              </w:rPr>
              <w:t>77.9%</w:t>
            </w:r>
          </w:p>
        </w:tc>
        <w:tc>
          <w:tcPr>
            <w:tcW w:w="431" w:type="pct"/>
            <w:shd w:val="clear" w:color="000000" w:fill="FFFFFF"/>
            <w:noWrap/>
            <w:vAlign w:val="center"/>
          </w:tcPr>
          <w:p w14:paraId="12D74A0A"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07" w:type="pct"/>
            <w:shd w:val="clear" w:color="000000" w:fill="FFFFFF"/>
            <w:noWrap/>
            <w:vAlign w:val="center"/>
          </w:tcPr>
          <w:p w14:paraId="68401A94" w14:textId="77777777" w:rsidR="00AB379C" w:rsidRPr="00D54752" w:rsidRDefault="00AB379C" w:rsidP="007055F6">
            <w:pPr>
              <w:ind w:right="-102"/>
              <w:jc w:val="center"/>
              <w:rPr>
                <w:rFonts w:eastAsia="Times New Roman" w:cstheme="minorHAnsi"/>
                <w:lang w:bidi="ar-SA"/>
              </w:rPr>
            </w:pPr>
            <w:r w:rsidRPr="00D54752">
              <w:rPr>
                <w:rFonts w:cstheme="minorHAnsi"/>
              </w:rPr>
              <w:t>72.1%</w:t>
            </w:r>
          </w:p>
        </w:tc>
        <w:tc>
          <w:tcPr>
            <w:tcW w:w="350" w:type="pct"/>
            <w:shd w:val="clear" w:color="000000" w:fill="FFFFFF"/>
            <w:noWrap/>
            <w:vAlign w:val="center"/>
          </w:tcPr>
          <w:p w14:paraId="7E487B66"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95" w:type="pct"/>
            <w:shd w:val="clear" w:color="000000" w:fill="FFFFFF"/>
            <w:vAlign w:val="center"/>
          </w:tcPr>
          <w:p w14:paraId="3DB2FDE1" w14:textId="77777777" w:rsidR="00AB379C" w:rsidRPr="00D54752" w:rsidRDefault="00AB379C" w:rsidP="007055F6">
            <w:pPr>
              <w:ind w:right="-102"/>
              <w:jc w:val="center"/>
              <w:rPr>
                <w:rFonts w:eastAsia="Times New Roman" w:cstheme="minorHAnsi"/>
                <w:lang w:bidi="ar-SA"/>
              </w:rPr>
            </w:pPr>
            <w:r w:rsidRPr="00D54752">
              <w:rPr>
                <w:rFonts w:cstheme="minorHAnsi"/>
              </w:rPr>
              <w:t>NA</w:t>
            </w:r>
          </w:p>
        </w:tc>
      </w:tr>
      <w:tr w:rsidR="00AB379C" w:rsidRPr="00D54752" w14:paraId="2237CFE3" w14:textId="77777777" w:rsidTr="00D2000B">
        <w:trPr>
          <w:cantSplit/>
          <w:trHeight w:val="67"/>
        </w:trPr>
        <w:tc>
          <w:tcPr>
            <w:tcW w:w="280" w:type="pct"/>
            <w:shd w:val="clear" w:color="auto" w:fill="FFFFFF" w:themeFill="background1"/>
            <w:vAlign w:val="center"/>
            <w:hideMark/>
          </w:tcPr>
          <w:p w14:paraId="3A86F83C"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PA EQR</w:t>
            </w:r>
          </w:p>
        </w:tc>
        <w:tc>
          <w:tcPr>
            <w:tcW w:w="1048" w:type="pct"/>
            <w:shd w:val="clear" w:color="auto" w:fill="FFFFFF" w:themeFill="background1"/>
            <w:vAlign w:val="center"/>
            <w:hideMark/>
          </w:tcPr>
          <w:p w14:paraId="66EDF7E0"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Developmental Screening in the First Three Years of Life—</w:t>
            </w:r>
            <w:r w:rsidRPr="00D54752">
              <w:rPr>
                <w:rFonts w:eastAsia="Times New Roman" w:cstheme="minorHAnsi"/>
                <w:lang w:bidi="ar-SA"/>
              </w:rPr>
              <w:br/>
              <w:t>3 years</w:t>
            </w:r>
          </w:p>
        </w:tc>
        <w:tc>
          <w:tcPr>
            <w:tcW w:w="307" w:type="pct"/>
            <w:shd w:val="clear" w:color="000000" w:fill="FFFFFF"/>
            <w:noWrap/>
            <w:vAlign w:val="center"/>
          </w:tcPr>
          <w:p w14:paraId="524B43A9" w14:textId="77777777" w:rsidR="00AB379C" w:rsidRPr="00D54752" w:rsidRDefault="00AB379C" w:rsidP="007055F6">
            <w:pPr>
              <w:ind w:right="-102"/>
              <w:jc w:val="center"/>
              <w:rPr>
                <w:rFonts w:eastAsia="Times New Roman" w:cstheme="minorHAnsi"/>
                <w:lang w:bidi="ar-SA"/>
              </w:rPr>
            </w:pPr>
            <w:r w:rsidRPr="00D54752">
              <w:rPr>
                <w:rFonts w:cstheme="minorHAnsi"/>
              </w:rPr>
              <w:t>950</w:t>
            </w:r>
          </w:p>
        </w:tc>
        <w:tc>
          <w:tcPr>
            <w:tcW w:w="307" w:type="pct"/>
            <w:shd w:val="clear" w:color="000000" w:fill="FFFFFF"/>
            <w:vAlign w:val="center"/>
          </w:tcPr>
          <w:p w14:paraId="2C6F8AD4" w14:textId="77777777" w:rsidR="00AB379C" w:rsidRPr="00D54752" w:rsidRDefault="00AB379C" w:rsidP="007055F6">
            <w:pPr>
              <w:ind w:right="-102"/>
              <w:jc w:val="center"/>
              <w:rPr>
                <w:rFonts w:eastAsia="Times New Roman" w:cstheme="minorHAnsi"/>
                <w:lang w:bidi="ar-SA"/>
              </w:rPr>
            </w:pPr>
            <w:r w:rsidRPr="00D54752">
              <w:rPr>
                <w:rFonts w:cstheme="minorHAnsi"/>
              </w:rPr>
              <w:t>709</w:t>
            </w:r>
          </w:p>
        </w:tc>
        <w:tc>
          <w:tcPr>
            <w:tcW w:w="277" w:type="pct"/>
            <w:shd w:val="clear" w:color="000000" w:fill="FFFFFF"/>
            <w:vAlign w:val="center"/>
          </w:tcPr>
          <w:p w14:paraId="4E2DB816"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74.6%</w:t>
            </w:r>
          </w:p>
        </w:tc>
        <w:tc>
          <w:tcPr>
            <w:tcW w:w="362" w:type="pct"/>
            <w:shd w:val="clear" w:color="000000" w:fill="FFFFFF"/>
            <w:noWrap/>
            <w:vAlign w:val="center"/>
          </w:tcPr>
          <w:p w14:paraId="4AFC125C" w14:textId="77777777" w:rsidR="00AB379C" w:rsidRPr="00D54752" w:rsidRDefault="00AB379C" w:rsidP="007055F6">
            <w:pPr>
              <w:ind w:right="-102"/>
              <w:jc w:val="center"/>
              <w:rPr>
                <w:rFonts w:eastAsia="Times New Roman" w:cstheme="minorHAnsi"/>
                <w:lang w:bidi="ar-SA"/>
              </w:rPr>
            </w:pPr>
            <w:r w:rsidRPr="00D54752">
              <w:rPr>
                <w:rFonts w:cstheme="minorHAnsi"/>
              </w:rPr>
              <w:t>71.8%</w:t>
            </w:r>
          </w:p>
        </w:tc>
        <w:tc>
          <w:tcPr>
            <w:tcW w:w="369" w:type="pct"/>
            <w:shd w:val="clear" w:color="000000" w:fill="FFFFFF"/>
            <w:noWrap/>
            <w:vAlign w:val="center"/>
          </w:tcPr>
          <w:p w14:paraId="4359429E" w14:textId="77777777" w:rsidR="00AB379C" w:rsidRPr="00D54752" w:rsidRDefault="00AB379C" w:rsidP="007055F6">
            <w:pPr>
              <w:ind w:right="-102"/>
              <w:jc w:val="center"/>
              <w:rPr>
                <w:rFonts w:eastAsia="Times New Roman" w:cstheme="minorHAnsi"/>
                <w:lang w:bidi="ar-SA"/>
              </w:rPr>
            </w:pPr>
            <w:r w:rsidRPr="00D54752">
              <w:rPr>
                <w:rFonts w:cstheme="minorHAnsi"/>
              </w:rPr>
              <w:t>77.4%</w:t>
            </w:r>
          </w:p>
        </w:tc>
        <w:tc>
          <w:tcPr>
            <w:tcW w:w="368" w:type="pct"/>
            <w:shd w:val="clear" w:color="000000" w:fill="FFFFFF"/>
            <w:noWrap/>
            <w:vAlign w:val="center"/>
          </w:tcPr>
          <w:p w14:paraId="525D7027" w14:textId="77777777" w:rsidR="00AB379C" w:rsidRPr="00D54752" w:rsidRDefault="00AB379C" w:rsidP="007055F6">
            <w:pPr>
              <w:ind w:right="-102"/>
              <w:jc w:val="center"/>
              <w:rPr>
                <w:rFonts w:eastAsia="Times New Roman" w:cstheme="minorHAnsi"/>
                <w:lang w:bidi="ar-SA"/>
              </w:rPr>
            </w:pPr>
            <w:r w:rsidRPr="00D54752">
              <w:rPr>
                <w:rFonts w:cstheme="minorHAnsi"/>
              </w:rPr>
              <w:t>72.4%</w:t>
            </w:r>
          </w:p>
        </w:tc>
        <w:tc>
          <w:tcPr>
            <w:tcW w:w="431" w:type="pct"/>
            <w:shd w:val="clear" w:color="000000" w:fill="FFFFFF"/>
            <w:noWrap/>
            <w:vAlign w:val="center"/>
          </w:tcPr>
          <w:p w14:paraId="65A47051"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07" w:type="pct"/>
            <w:shd w:val="clear" w:color="000000" w:fill="FFFFFF"/>
            <w:noWrap/>
            <w:vAlign w:val="center"/>
          </w:tcPr>
          <w:p w14:paraId="7075BFB2" w14:textId="77777777" w:rsidR="00AB379C" w:rsidRPr="00D54752" w:rsidRDefault="00AB379C" w:rsidP="007055F6">
            <w:pPr>
              <w:ind w:right="-102"/>
              <w:jc w:val="center"/>
              <w:rPr>
                <w:rFonts w:eastAsia="Times New Roman" w:cstheme="minorHAnsi"/>
                <w:lang w:bidi="ar-SA"/>
              </w:rPr>
            </w:pPr>
            <w:r w:rsidRPr="00D54752">
              <w:rPr>
                <w:rFonts w:cstheme="minorHAnsi"/>
              </w:rPr>
              <w:t>63.6%</w:t>
            </w:r>
          </w:p>
        </w:tc>
        <w:tc>
          <w:tcPr>
            <w:tcW w:w="350" w:type="pct"/>
            <w:shd w:val="clear" w:color="000000" w:fill="FFFFFF"/>
            <w:noWrap/>
            <w:vAlign w:val="center"/>
          </w:tcPr>
          <w:p w14:paraId="7047FB8F"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95" w:type="pct"/>
            <w:shd w:val="clear" w:color="000000" w:fill="FFFFFF"/>
            <w:vAlign w:val="center"/>
          </w:tcPr>
          <w:p w14:paraId="148A8C5F" w14:textId="77777777" w:rsidR="00AB379C" w:rsidRPr="00D54752" w:rsidRDefault="00AB379C" w:rsidP="007055F6">
            <w:pPr>
              <w:ind w:right="-102"/>
              <w:jc w:val="center"/>
              <w:rPr>
                <w:rFonts w:eastAsia="Times New Roman" w:cstheme="minorHAnsi"/>
                <w:lang w:bidi="ar-SA"/>
              </w:rPr>
            </w:pPr>
            <w:r w:rsidRPr="00D54752">
              <w:rPr>
                <w:rFonts w:cstheme="minorHAnsi"/>
              </w:rPr>
              <w:t>NA</w:t>
            </w:r>
          </w:p>
        </w:tc>
      </w:tr>
      <w:tr w:rsidR="00AB379C" w:rsidRPr="00D54752" w14:paraId="43CCFD73" w14:textId="77777777" w:rsidTr="00D2000B">
        <w:trPr>
          <w:cantSplit/>
          <w:trHeight w:val="67"/>
        </w:trPr>
        <w:tc>
          <w:tcPr>
            <w:tcW w:w="280" w:type="pct"/>
            <w:shd w:val="clear" w:color="auto" w:fill="FFFFFF" w:themeFill="background1"/>
            <w:vAlign w:val="center"/>
            <w:hideMark/>
          </w:tcPr>
          <w:p w14:paraId="522EF3DB"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048" w:type="pct"/>
            <w:shd w:val="clear" w:color="auto" w:fill="FFFFFF" w:themeFill="background1"/>
            <w:vAlign w:val="center"/>
            <w:hideMark/>
          </w:tcPr>
          <w:p w14:paraId="6E4E01D5"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Follow Up Care for Children Prescribed ADHD Medication— Initiation Phase</w:t>
            </w:r>
          </w:p>
        </w:tc>
        <w:tc>
          <w:tcPr>
            <w:tcW w:w="307" w:type="pct"/>
            <w:shd w:val="clear" w:color="000000" w:fill="FFFFFF"/>
            <w:noWrap/>
            <w:vAlign w:val="center"/>
          </w:tcPr>
          <w:p w14:paraId="41A92A16" w14:textId="77777777" w:rsidR="00AB379C" w:rsidRPr="00D54752" w:rsidRDefault="00AB379C" w:rsidP="007055F6">
            <w:pPr>
              <w:ind w:right="-102"/>
              <w:jc w:val="center"/>
              <w:rPr>
                <w:rFonts w:eastAsia="Times New Roman" w:cstheme="minorHAnsi"/>
                <w:lang w:bidi="ar-SA"/>
              </w:rPr>
            </w:pPr>
            <w:r w:rsidRPr="00D54752">
              <w:rPr>
                <w:rFonts w:cstheme="minorHAnsi"/>
              </w:rPr>
              <w:t>316</w:t>
            </w:r>
          </w:p>
        </w:tc>
        <w:tc>
          <w:tcPr>
            <w:tcW w:w="307" w:type="pct"/>
            <w:shd w:val="clear" w:color="000000" w:fill="FFFFFF"/>
            <w:vAlign w:val="center"/>
          </w:tcPr>
          <w:p w14:paraId="11C06271" w14:textId="77777777" w:rsidR="00AB379C" w:rsidRPr="00D54752" w:rsidRDefault="00AB379C" w:rsidP="007055F6">
            <w:pPr>
              <w:ind w:right="-102"/>
              <w:jc w:val="center"/>
              <w:rPr>
                <w:rFonts w:eastAsia="Times New Roman" w:cstheme="minorHAnsi"/>
                <w:lang w:bidi="ar-SA"/>
              </w:rPr>
            </w:pPr>
            <w:r w:rsidRPr="00D54752">
              <w:rPr>
                <w:rFonts w:cstheme="minorHAnsi"/>
              </w:rPr>
              <w:t>158</w:t>
            </w:r>
          </w:p>
        </w:tc>
        <w:tc>
          <w:tcPr>
            <w:tcW w:w="277" w:type="pct"/>
            <w:shd w:val="clear" w:color="000000" w:fill="FFFFFF"/>
            <w:vAlign w:val="center"/>
          </w:tcPr>
          <w:p w14:paraId="1C8D315D"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50.0%</w:t>
            </w:r>
          </w:p>
        </w:tc>
        <w:tc>
          <w:tcPr>
            <w:tcW w:w="362" w:type="pct"/>
            <w:shd w:val="clear" w:color="000000" w:fill="FFFFFF"/>
            <w:noWrap/>
            <w:vAlign w:val="center"/>
          </w:tcPr>
          <w:p w14:paraId="6FAB8BFB" w14:textId="77777777" w:rsidR="00AB379C" w:rsidRPr="00D54752" w:rsidRDefault="00AB379C" w:rsidP="007055F6">
            <w:pPr>
              <w:ind w:right="-102"/>
              <w:jc w:val="center"/>
              <w:rPr>
                <w:rFonts w:eastAsia="Times New Roman" w:cstheme="minorHAnsi"/>
                <w:lang w:bidi="ar-SA"/>
              </w:rPr>
            </w:pPr>
            <w:r w:rsidRPr="00D54752">
              <w:rPr>
                <w:rFonts w:cstheme="minorHAnsi"/>
              </w:rPr>
              <w:t>44.3%</w:t>
            </w:r>
          </w:p>
        </w:tc>
        <w:tc>
          <w:tcPr>
            <w:tcW w:w="369" w:type="pct"/>
            <w:shd w:val="clear" w:color="000000" w:fill="FFFFFF"/>
            <w:noWrap/>
            <w:vAlign w:val="center"/>
          </w:tcPr>
          <w:p w14:paraId="23261C2A" w14:textId="77777777" w:rsidR="00AB379C" w:rsidRPr="00D54752" w:rsidRDefault="00AB379C" w:rsidP="007055F6">
            <w:pPr>
              <w:ind w:right="-102"/>
              <w:jc w:val="center"/>
              <w:rPr>
                <w:rFonts w:eastAsia="Times New Roman" w:cstheme="minorHAnsi"/>
                <w:lang w:bidi="ar-SA"/>
              </w:rPr>
            </w:pPr>
            <w:r w:rsidRPr="00D54752">
              <w:rPr>
                <w:rFonts w:cstheme="minorHAnsi"/>
              </w:rPr>
              <w:t>55.7%</w:t>
            </w:r>
          </w:p>
        </w:tc>
        <w:tc>
          <w:tcPr>
            <w:tcW w:w="368" w:type="pct"/>
            <w:shd w:val="clear" w:color="000000" w:fill="FFFFFF"/>
            <w:noWrap/>
            <w:vAlign w:val="center"/>
          </w:tcPr>
          <w:p w14:paraId="08133407" w14:textId="77777777" w:rsidR="00AB379C" w:rsidRPr="00D54752" w:rsidRDefault="00AB379C" w:rsidP="007055F6">
            <w:pPr>
              <w:ind w:right="-102"/>
              <w:jc w:val="center"/>
              <w:rPr>
                <w:rFonts w:eastAsia="Times New Roman" w:cstheme="minorHAnsi"/>
                <w:lang w:bidi="ar-SA"/>
              </w:rPr>
            </w:pPr>
            <w:r w:rsidRPr="00D54752">
              <w:rPr>
                <w:rFonts w:cstheme="minorHAnsi"/>
              </w:rPr>
              <w:t>58.0%</w:t>
            </w:r>
          </w:p>
        </w:tc>
        <w:tc>
          <w:tcPr>
            <w:tcW w:w="431" w:type="pct"/>
            <w:shd w:val="clear" w:color="000000" w:fill="FFFFFF"/>
            <w:noWrap/>
            <w:vAlign w:val="center"/>
          </w:tcPr>
          <w:p w14:paraId="63BFAFEE"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307" w:type="pct"/>
            <w:shd w:val="clear" w:color="000000" w:fill="FFFFFF"/>
            <w:noWrap/>
            <w:vAlign w:val="center"/>
          </w:tcPr>
          <w:p w14:paraId="4BCD30ED" w14:textId="77777777" w:rsidR="00AB379C" w:rsidRPr="00D54752" w:rsidRDefault="00AB379C" w:rsidP="007055F6">
            <w:pPr>
              <w:ind w:right="-102"/>
              <w:jc w:val="center"/>
              <w:rPr>
                <w:rFonts w:eastAsia="Times New Roman" w:cstheme="minorHAnsi"/>
                <w:lang w:bidi="ar-SA"/>
              </w:rPr>
            </w:pPr>
            <w:r w:rsidRPr="00D54752">
              <w:rPr>
                <w:rFonts w:cstheme="minorHAnsi"/>
              </w:rPr>
              <w:t>41.7%</w:t>
            </w:r>
          </w:p>
        </w:tc>
        <w:tc>
          <w:tcPr>
            <w:tcW w:w="350" w:type="pct"/>
            <w:shd w:val="clear" w:color="000000" w:fill="FFFFFF"/>
            <w:noWrap/>
            <w:vAlign w:val="center"/>
          </w:tcPr>
          <w:p w14:paraId="19DACA6B"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95" w:type="pct"/>
            <w:shd w:val="clear" w:color="000000" w:fill="FFFFFF"/>
            <w:vAlign w:val="center"/>
          </w:tcPr>
          <w:p w14:paraId="799427EF" w14:textId="7737FFF3" w:rsidR="00AB379C" w:rsidRPr="00D54752" w:rsidRDefault="00D54752" w:rsidP="007055F6">
            <w:pPr>
              <w:ind w:right="-102"/>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49B76347" w14:textId="77777777" w:rsidTr="00D2000B">
        <w:trPr>
          <w:cantSplit/>
          <w:trHeight w:val="67"/>
        </w:trPr>
        <w:tc>
          <w:tcPr>
            <w:tcW w:w="280" w:type="pct"/>
            <w:shd w:val="clear" w:color="auto" w:fill="FFFFFF" w:themeFill="background1"/>
            <w:vAlign w:val="center"/>
            <w:hideMark/>
          </w:tcPr>
          <w:p w14:paraId="2A2407E9"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048" w:type="pct"/>
            <w:shd w:val="clear" w:color="auto" w:fill="FFFFFF" w:themeFill="background1"/>
            <w:vAlign w:val="center"/>
            <w:hideMark/>
          </w:tcPr>
          <w:p w14:paraId="43503509"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Follow Up Care for Children Prescribed ADHD Medication— Continuation &amp; Maintenance Phase</w:t>
            </w:r>
          </w:p>
        </w:tc>
        <w:tc>
          <w:tcPr>
            <w:tcW w:w="307" w:type="pct"/>
            <w:shd w:val="clear" w:color="000000" w:fill="FFFFFF"/>
            <w:noWrap/>
            <w:vAlign w:val="center"/>
          </w:tcPr>
          <w:p w14:paraId="770F675E" w14:textId="77777777" w:rsidR="00AB379C" w:rsidRPr="00D54752" w:rsidRDefault="00AB379C" w:rsidP="007055F6">
            <w:pPr>
              <w:ind w:right="-102"/>
              <w:jc w:val="center"/>
              <w:rPr>
                <w:rFonts w:eastAsia="Times New Roman" w:cstheme="minorHAnsi"/>
                <w:lang w:bidi="ar-SA"/>
              </w:rPr>
            </w:pPr>
            <w:r w:rsidRPr="00D54752">
              <w:rPr>
                <w:rFonts w:cstheme="minorHAnsi"/>
              </w:rPr>
              <w:t>81</w:t>
            </w:r>
          </w:p>
        </w:tc>
        <w:tc>
          <w:tcPr>
            <w:tcW w:w="307" w:type="pct"/>
            <w:shd w:val="clear" w:color="000000" w:fill="FFFFFF"/>
            <w:vAlign w:val="center"/>
          </w:tcPr>
          <w:p w14:paraId="24FD7DD5" w14:textId="77777777" w:rsidR="00AB379C" w:rsidRPr="00D54752" w:rsidRDefault="00AB379C" w:rsidP="007055F6">
            <w:pPr>
              <w:ind w:right="-102"/>
              <w:jc w:val="center"/>
              <w:rPr>
                <w:rFonts w:eastAsia="Times New Roman" w:cstheme="minorHAnsi"/>
                <w:lang w:bidi="ar-SA"/>
              </w:rPr>
            </w:pPr>
            <w:r w:rsidRPr="00D54752">
              <w:rPr>
                <w:rFonts w:cstheme="minorHAnsi"/>
              </w:rPr>
              <w:t>49</w:t>
            </w:r>
          </w:p>
        </w:tc>
        <w:tc>
          <w:tcPr>
            <w:tcW w:w="277" w:type="pct"/>
            <w:shd w:val="clear" w:color="000000" w:fill="FFFFFF"/>
            <w:vAlign w:val="center"/>
          </w:tcPr>
          <w:p w14:paraId="2BD11172"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60.5%</w:t>
            </w:r>
          </w:p>
        </w:tc>
        <w:tc>
          <w:tcPr>
            <w:tcW w:w="362" w:type="pct"/>
            <w:shd w:val="clear" w:color="000000" w:fill="FFFFFF"/>
            <w:noWrap/>
            <w:vAlign w:val="center"/>
          </w:tcPr>
          <w:p w14:paraId="0E971DAE" w14:textId="77777777" w:rsidR="00AB379C" w:rsidRPr="00D54752" w:rsidRDefault="00AB379C" w:rsidP="007055F6">
            <w:pPr>
              <w:ind w:right="-102"/>
              <w:jc w:val="center"/>
              <w:rPr>
                <w:rFonts w:eastAsia="Times New Roman" w:cstheme="minorHAnsi"/>
                <w:lang w:bidi="ar-SA"/>
              </w:rPr>
            </w:pPr>
            <w:r w:rsidRPr="00D54752">
              <w:rPr>
                <w:rFonts w:cstheme="minorHAnsi"/>
              </w:rPr>
              <w:t>49.2%</w:t>
            </w:r>
          </w:p>
        </w:tc>
        <w:tc>
          <w:tcPr>
            <w:tcW w:w="369" w:type="pct"/>
            <w:shd w:val="clear" w:color="000000" w:fill="FFFFFF"/>
            <w:noWrap/>
            <w:vAlign w:val="center"/>
          </w:tcPr>
          <w:p w14:paraId="565A58D4" w14:textId="77777777" w:rsidR="00AB379C" w:rsidRPr="00D54752" w:rsidRDefault="00AB379C" w:rsidP="007055F6">
            <w:pPr>
              <w:ind w:right="-102"/>
              <w:jc w:val="center"/>
              <w:rPr>
                <w:rFonts w:eastAsia="Times New Roman" w:cstheme="minorHAnsi"/>
                <w:lang w:bidi="ar-SA"/>
              </w:rPr>
            </w:pPr>
            <w:r w:rsidRPr="00D54752">
              <w:rPr>
                <w:rFonts w:cstheme="minorHAnsi"/>
              </w:rPr>
              <w:t>71.8%</w:t>
            </w:r>
          </w:p>
        </w:tc>
        <w:tc>
          <w:tcPr>
            <w:tcW w:w="368" w:type="pct"/>
            <w:shd w:val="clear" w:color="000000" w:fill="FFFFFF"/>
            <w:noWrap/>
            <w:vAlign w:val="center"/>
          </w:tcPr>
          <w:p w14:paraId="630E94D4" w14:textId="77777777" w:rsidR="00AB379C" w:rsidRPr="00D54752" w:rsidRDefault="00AB379C" w:rsidP="007055F6">
            <w:pPr>
              <w:ind w:right="-102"/>
              <w:jc w:val="center"/>
              <w:rPr>
                <w:rFonts w:eastAsia="Times New Roman" w:cstheme="minorHAnsi"/>
                <w:lang w:bidi="ar-SA"/>
              </w:rPr>
            </w:pPr>
            <w:r w:rsidRPr="00D54752">
              <w:rPr>
                <w:rFonts w:cstheme="minorHAnsi"/>
              </w:rPr>
              <w:t>76.7%</w:t>
            </w:r>
          </w:p>
        </w:tc>
        <w:tc>
          <w:tcPr>
            <w:tcW w:w="431" w:type="pct"/>
            <w:shd w:val="clear" w:color="000000" w:fill="FFFFFF"/>
            <w:noWrap/>
            <w:vAlign w:val="center"/>
          </w:tcPr>
          <w:p w14:paraId="417084B9"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307" w:type="pct"/>
            <w:shd w:val="clear" w:color="000000" w:fill="FFFFFF"/>
            <w:noWrap/>
            <w:vAlign w:val="center"/>
          </w:tcPr>
          <w:p w14:paraId="14A082C7" w14:textId="77777777" w:rsidR="00AB379C" w:rsidRPr="00D54752" w:rsidRDefault="00AB379C" w:rsidP="007055F6">
            <w:pPr>
              <w:ind w:right="-102"/>
              <w:jc w:val="center"/>
              <w:rPr>
                <w:rFonts w:eastAsia="Times New Roman" w:cstheme="minorHAnsi"/>
                <w:lang w:bidi="ar-SA"/>
              </w:rPr>
            </w:pPr>
            <w:r w:rsidRPr="00D54752">
              <w:rPr>
                <w:rFonts w:cstheme="minorHAnsi"/>
              </w:rPr>
              <w:t>58.3%</w:t>
            </w:r>
          </w:p>
        </w:tc>
        <w:tc>
          <w:tcPr>
            <w:tcW w:w="350" w:type="pct"/>
            <w:shd w:val="clear" w:color="000000" w:fill="FFFFFF"/>
            <w:noWrap/>
            <w:vAlign w:val="center"/>
          </w:tcPr>
          <w:p w14:paraId="6CC5D066" w14:textId="77777777" w:rsidR="00AB379C" w:rsidRPr="00D54752" w:rsidRDefault="00AB379C" w:rsidP="007055F6">
            <w:pPr>
              <w:ind w:right="-102"/>
              <w:jc w:val="center"/>
              <w:rPr>
                <w:rFonts w:eastAsia="Times New Roman" w:cstheme="minorHAnsi"/>
                <w:b/>
                <w:bCs/>
                <w:lang w:bidi="ar-SA"/>
              </w:rPr>
            </w:pPr>
            <w:proofErr w:type="spellStart"/>
            <w:r w:rsidRPr="00D54752">
              <w:rPr>
                <w:rFonts w:cstheme="minorHAnsi"/>
              </w:rPr>
              <w:t>n.s</w:t>
            </w:r>
            <w:proofErr w:type="spellEnd"/>
            <w:r w:rsidRPr="00D54752">
              <w:rPr>
                <w:rFonts w:cstheme="minorHAnsi"/>
              </w:rPr>
              <w:t>.</w:t>
            </w:r>
          </w:p>
        </w:tc>
        <w:tc>
          <w:tcPr>
            <w:tcW w:w="595" w:type="pct"/>
            <w:shd w:val="clear" w:color="000000" w:fill="FFFFFF"/>
            <w:vAlign w:val="center"/>
          </w:tcPr>
          <w:p w14:paraId="7BD8DD86" w14:textId="0182620B" w:rsidR="00AB379C" w:rsidRPr="00D54752" w:rsidRDefault="00D54752" w:rsidP="007055F6">
            <w:pPr>
              <w:ind w:right="-102"/>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04D02B6F" w14:textId="77777777" w:rsidTr="00D2000B">
        <w:trPr>
          <w:cantSplit/>
          <w:trHeight w:val="67"/>
        </w:trPr>
        <w:tc>
          <w:tcPr>
            <w:tcW w:w="280" w:type="pct"/>
            <w:shd w:val="clear" w:color="auto" w:fill="FFFFFF" w:themeFill="background1"/>
            <w:vAlign w:val="center"/>
            <w:hideMark/>
          </w:tcPr>
          <w:p w14:paraId="1B686F8A"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048" w:type="pct"/>
            <w:shd w:val="clear" w:color="auto" w:fill="FFFFFF" w:themeFill="background1"/>
            <w:vAlign w:val="center"/>
            <w:hideMark/>
          </w:tcPr>
          <w:p w14:paraId="108BC552"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Follow Up After Hospitalization For Mental Illness—</w:t>
            </w:r>
            <w:r w:rsidRPr="00D54752">
              <w:rPr>
                <w:rFonts w:eastAsia="Times New Roman" w:cstheme="minorHAnsi"/>
                <w:lang w:bidi="ar-SA"/>
              </w:rPr>
              <w:br/>
              <w:t>7 days</w:t>
            </w:r>
          </w:p>
        </w:tc>
        <w:tc>
          <w:tcPr>
            <w:tcW w:w="307" w:type="pct"/>
            <w:shd w:val="clear" w:color="000000" w:fill="FFFFFF"/>
            <w:noWrap/>
            <w:vAlign w:val="center"/>
          </w:tcPr>
          <w:p w14:paraId="5D1D9981" w14:textId="77777777" w:rsidR="00AB379C" w:rsidRPr="00D54752" w:rsidRDefault="00AB379C" w:rsidP="007055F6">
            <w:pPr>
              <w:ind w:right="-102"/>
              <w:jc w:val="center"/>
              <w:rPr>
                <w:rFonts w:eastAsia="Times New Roman" w:cstheme="minorHAnsi"/>
                <w:lang w:bidi="ar-SA"/>
              </w:rPr>
            </w:pPr>
            <w:r w:rsidRPr="00D54752">
              <w:rPr>
                <w:rFonts w:cstheme="minorHAnsi"/>
              </w:rPr>
              <w:t>193</w:t>
            </w:r>
          </w:p>
        </w:tc>
        <w:tc>
          <w:tcPr>
            <w:tcW w:w="307" w:type="pct"/>
            <w:shd w:val="clear" w:color="000000" w:fill="FFFFFF"/>
            <w:vAlign w:val="center"/>
          </w:tcPr>
          <w:p w14:paraId="5396C4FA" w14:textId="77777777" w:rsidR="00AB379C" w:rsidRPr="00D54752" w:rsidRDefault="00AB379C" w:rsidP="007055F6">
            <w:pPr>
              <w:ind w:right="-102"/>
              <w:jc w:val="center"/>
              <w:rPr>
                <w:rFonts w:eastAsia="Times New Roman" w:cstheme="minorHAnsi"/>
                <w:lang w:bidi="ar-SA"/>
              </w:rPr>
            </w:pPr>
            <w:r w:rsidRPr="00D54752">
              <w:rPr>
                <w:rFonts w:cstheme="minorHAnsi"/>
              </w:rPr>
              <w:t>94</w:t>
            </w:r>
          </w:p>
        </w:tc>
        <w:tc>
          <w:tcPr>
            <w:tcW w:w="277" w:type="pct"/>
            <w:shd w:val="clear" w:color="000000" w:fill="FFFFFF"/>
            <w:vAlign w:val="center"/>
          </w:tcPr>
          <w:p w14:paraId="5A0F7FDD"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48.7%</w:t>
            </w:r>
          </w:p>
        </w:tc>
        <w:tc>
          <w:tcPr>
            <w:tcW w:w="362" w:type="pct"/>
            <w:shd w:val="clear" w:color="000000" w:fill="FFFFFF"/>
            <w:noWrap/>
            <w:vAlign w:val="center"/>
          </w:tcPr>
          <w:p w14:paraId="1FA92158" w14:textId="77777777" w:rsidR="00AB379C" w:rsidRPr="00D54752" w:rsidRDefault="00AB379C" w:rsidP="007055F6">
            <w:pPr>
              <w:ind w:right="-102"/>
              <w:jc w:val="center"/>
              <w:rPr>
                <w:rFonts w:eastAsia="Times New Roman" w:cstheme="minorHAnsi"/>
                <w:lang w:bidi="ar-SA"/>
              </w:rPr>
            </w:pPr>
            <w:r w:rsidRPr="00D54752">
              <w:rPr>
                <w:rFonts w:cstheme="minorHAnsi"/>
              </w:rPr>
              <w:t>41.4%</w:t>
            </w:r>
          </w:p>
        </w:tc>
        <w:tc>
          <w:tcPr>
            <w:tcW w:w="369" w:type="pct"/>
            <w:shd w:val="clear" w:color="000000" w:fill="FFFFFF"/>
            <w:noWrap/>
            <w:vAlign w:val="center"/>
          </w:tcPr>
          <w:p w14:paraId="36710190" w14:textId="77777777" w:rsidR="00AB379C" w:rsidRPr="00D54752" w:rsidRDefault="00AB379C" w:rsidP="007055F6">
            <w:pPr>
              <w:ind w:right="-102"/>
              <w:jc w:val="center"/>
              <w:rPr>
                <w:rFonts w:eastAsia="Times New Roman" w:cstheme="minorHAnsi"/>
                <w:lang w:bidi="ar-SA"/>
              </w:rPr>
            </w:pPr>
            <w:r w:rsidRPr="00D54752">
              <w:rPr>
                <w:rFonts w:cstheme="minorHAnsi"/>
              </w:rPr>
              <w:t>56.0%</w:t>
            </w:r>
          </w:p>
        </w:tc>
        <w:tc>
          <w:tcPr>
            <w:tcW w:w="368" w:type="pct"/>
            <w:shd w:val="clear" w:color="000000" w:fill="FFFFFF"/>
            <w:noWrap/>
            <w:vAlign w:val="center"/>
          </w:tcPr>
          <w:p w14:paraId="2855CDED" w14:textId="77777777" w:rsidR="00AB379C" w:rsidRPr="00D54752" w:rsidRDefault="00AB379C" w:rsidP="007055F6">
            <w:pPr>
              <w:ind w:right="-102"/>
              <w:jc w:val="center"/>
              <w:rPr>
                <w:rFonts w:eastAsia="Times New Roman" w:cstheme="minorHAnsi"/>
                <w:lang w:bidi="ar-SA"/>
              </w:rPr>
            </w:pPr>
            <w:r w:rsidRPr="00D54752">
              <w:rPr>
                <w:rFonts w:cstheme="minorHAnsi"/>
              </w:rPr>
              <w:t>58.1%</w:t>
            </w:r>
          </w:p>
        </w:tc>
        <w:tc>
          <w:tcPr>
            <w:tcW w:w="431" w:type="pct"/>
            <w:shd w:val="clear" w:color="000000" w:fill="FFFFFF"/>
            <w:noWrap/>
            <w:vAlign w:val="center"/>
          </w:tcPr>
          <w:p w14:paraId="7EC9C40D"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07" w:type="pct"/>
            <w:shd w:val="clear" w:color="000000" w:fill="FFFFFF"/>
            <w:noWrap/>
            <w:vAlign w:val="center"/>
          </w:tcPr>
          <w:p w14:paraId="1D732774" w14:textId="77777777" w:rsidR="00AB379C" w:rsidRPr="00D54752" w:rsidRDefault="00AB379C" w:rsidP="007055F6">
            <w:pPr>
              <w:ind w:right="-102"/>
              <w:jc w:val="center"/>
              <w:rPr>
                <w:rFonts w:eastAsia="Times New Roman" w:cstheme="minorHAnsi"/>
                <w:lang w:bidi="ar-SA"/>
              </w:rPr>
            </w:pPr>
            <w:r w:rsidRPr="00D54752">
              <w:rPr>
                <w:rFonts w:cstheme="minorHAnsi"/>
              </w:rPr>
              <w:t>49.8%</w:t>
            </w:r>
          </w:p>
        </w:tc>
        <w:tc>
          <w:tcPr>
            <w:tcW w:w="350" w:type="pct"/>
            <w:shd w:val="clear" w:color="000000" w:fill="FFFFFF"/>
            <w:noWrap/>
            <w:vAlign w:val="center"/>
          </w:tcPr>
          <w:p w14:paraId="65BD4303"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95" w:type="pct"/>
            <w:shd w:val="clear" w:color="000000" w:fill="FFFFFF"/>
            <w:vAlign w:val="center"/>
          </w:tcPr>
          <w:p w14:paraId="28C0BAEF" w14:textId="12EDF9AA" w:rsidR="00AB379C" w:rsidRPr="00D54752" w:rsidRDefault="00885A0E" w:rsidP="007055F6">
            <w:pPr>
              <w:ind w:right="-102"/>
              <w:jc w:val="center"/>
              <w:rPr>
                <w:rFonts w:eastAsia="Times New Roman" w:cstheme="minorHAnsi"/>
                <w:lang w:bidi="ar-SA"/>
              </w:rPr>
            </w:pPr>
            <w:r>
              <w:rPr>
                <w:rFonts w:cstheme="minorHAnsi"/>
              </w:rPr>
              <w:t>NA</w:t>
            </w:r>
          </w:p>
        </w:tc>
      </w:tr>
      <w:tr w:rsidR="00AB379C" w:rsidRPr="00D54752" w14:paraId="5E27F9CB" w14:textId="77777777" w:rsidTr="00D2000B">
        <w:trPr>
          <w:cantSplit/>
          <w:trHeight w:val="67"/>
        </w:trPr>
        <w:tc>
          <w:tcPr>
            <w:tcW w:w="280" w:type="pct"/>
            <w:shd w:val="clear" w:color="auto" w:fill="FFFFFF" w:themeFill="background1"/>
            <w:vAlign w:val="center"/>
            <w:hideMark/>
          </w:tcPr>
          <w:p w14:paraId="411EF52D" w14:textId="77777777" w:rsidR="00AB379C" w:rsidRPr="00D54752" w:rsidRDefault="00AB379C" w:rsidP="007055F6">
            <w:pPr>
              <w:ind w:right="-102"/>
              <w:jc w:val="center"/>
              <w:rPr>
                <w:rFonts w:eastAsia="Times New Roman" w:cstheme="minorHAnsi"/>
                <w:lang w:bidi="ar-SA"/>
              </w:rPr>
            </w:pPr>
            <w:r w:rsidRPr="00D54752">
              <w:rPr>
                <w:rFonts w:eastAsia="Times New Roman" w:cstheme="minorHAnsi"/>
                <w:lang w:bidi="ar-SA"/>
              </w:rPr>
              <w:t>HEDIS</w:t>
            </w:r>
          </w:p>
        </w:tc>
        <w:tc>
          <w:tcPr>
            <w:tcW w:w="1048" w:type="pct"/>
            <w:shd w:val="clear" w:color="auto" w:fill="FFFFFF" w:themeFill="background1"/>
            <w:vAlign w:val="center"/>
            <w:hideMark/>
          </w:tcPr>
          <w:p w14:paraId="5BB08D7F"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Follow Up After Hospitalization For Mental Illness—</w:t>
            </w:r>
            <w:r w:rsidRPr="00D54752">
              <w:rPr>
                <w:rFonts w:eastAsia="Times New Roman" w:cstheme="minorHAnsi"/>
                <w:lang w:bidi="ar-SA"/>
              </w:rPr>
              <w:br/>
              <w:t>30 days</w:t>
            </w:r>
          </w:p>
        </w:tc>
        <w:tc>
          <w:tcPr>
            <w:tcW w:w="307" w:type="pct"/>
            <w:shd w:val="clear" w:color="000000" w:fill="FFFFFF"/>
            <w:noWrap/>
            <w:vAlign w:val="center"/>
          </w:tcPr>
          <w:p w14:paraId="1F312C49" w14:textId="77777777" w:rsidR="00AB379C" w:rsidRPr="00D54752" w:rsidRDefault="00AB379C" w:rsidP="007055F6">
            <w:pPr>
              <w:ind w:right="-102"/>
              <w:jc w:val="center"/>
              <w:rPr>
                <w:rFonts w:eastAsia="Times New Roman" w:cstheme="minorHAnsi"/>
                <w:lang w:bidi="ar-SA"/>
              </w:rPr>
            </w:pPr>
            <w:r w:rsidRPr="00D54752">
              <w:rPr>
                <w:rFonts w:cstheme="minorHAnsi"/>
              </w:rPr>
              <w:t>193</w:t>
            </w:r>
          </w:p>
        </w:tc>
        <w:tc>
          <w:tcPr>
            <w:tcW w:w="307" w:type="pct"/>
            <w:shd w:val="clear" w:color="000000" w:fill="FFFFFF"/>
            <w:vAlign w:val="center"/>
          </w:tcPr>
          <w:p w14:paraId="3C7CBC9E" w14:textId="77777777" w:rsidR="00AB379C" w:rsidRPr="00D54752" w:rsidRDefault="00AB379C" w:rsidP="007055F6">
            <w:pPr>
              <w:ind w:right="-102"/>
              <w:jc w:val="center"/>
              <w:rPr>
                <w:rFonts w:eastAsia="Times New Roman" w:cstheme="minorHAnsi"/>
                <w:lang w:bidi="ar-SA"/>
              </w:rPr>
            </w:pPr>
            <w:r w:rsidRPr="00D54752">
              <w:rPr>
                <w:rFonts w:cstheme="minorHAnsi"/>
              </w:rPr>
              <w:t>156</w:t>
            </w:r>
          </w:p>
        </w:tc>
        <w:tc>
          <w:tcPr>
            <w:tcW w:w="277" w:type="pct"/>
            <w:shd w:val="clear" w:color="000000" w:fill="FFFFFF"/>
            <w:vAlign w:val="center"/>
          </w:tcPr>
          <w:p w14:paraId="185CD9E9"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80.8%</w:t>
            </w:r>
          </w:p>
        </w:tc>
        <w:tc>
          <w:tcPr>
            <w:tcW w:w="362" w:type="pct"/>
            <w:shd w:val="clear" w:color="000000" w:fill="FFFFFF"/>
            <w:noWrap/>
            <w:vAlign w:val="center"/>
          </w:tcPr>
          <w:p w14:paraId="3D207153" w14:textId="77777777" w:rsidR="00AB379C" w:rsidRPr="00D54752" w:rsidRDefault="00AB379C" w:rsidP="007055F6">
            <w:pPr>
              <w:ind w:right="-102"/>
              <w:jc w:val="center"/>
              <w:rPr>
                <w:rFonts w:eastAsia="Times New Roman" w:cstheme="minorHAnsi"/>
                <w:lang w:bidi="ar-SA"/>
              </w:rPr>
            </w:pPr>
            <w:r w:rsidRPr="00D54752">
              <w:rPr>
                <w:rFonts w:cstheme="minorHAnsi"/>
              </w:rPr>
              <w:t>75.0%</w:t>
            </w:r>
          </w:p>
        </w:tc>
        <w:tc>
          <w:tcPr>
            <w:tcW w:w="369" w:type="pct"/>
            <w:shd w:val="clear" w:color="000000" w:fill="FFFFFF"/>
            <w:noWrap/>
            <w:vAlign w:val="center"/>
          </w:tcPr>
          <w:p w14:paraId="20A8410A" w14:textId="77777777" w:rsidR="00AB379C" w:rsidRPr="00D54752" w:rsidRDefault="00AB379C" w:rsidP="007055F6">
            <w:pPr>
              <w:ind w:right="-102"/>
              <w:jc w:val="center"/>
              <w:rPr>
                <w:rFonts w:eastAsia="Times New Roman" w:cstheme="minorHAnsi"/>
                <w:lang w:bidi="ar-SA"/>
              </w:rPr>
            </w:pPr>
            <w:r w:rsidRPr="00D54752">
              <w:rPr>
                <w:rFonts w:cstheme="minorHAnsi"/>
              </w:rPr>
              <w:t>86.6%</w:t>
            </w:r>
          </w:p>
        </w:tc>
        <w:tc>
          <w:tcPr>
            <w:tcW w:w="368" w:type="pct"/>
            <w:shd w:val="clear" w:color="000000" w:fill="FFFFFF"/>
            <w:noWrap/>
            <w:vAlign w:val="center"/>
          </w:tcPr>
          <w:p w14:paraId="71D3E5D6" w14:textId="77777777" w:rsidR="00AB379C" w:rsidRPr="00D54752" w:rsidRDefault="00AB379C" w:rsidP="007055F6">
            <w:pPr>
              <w:ind w:right="-102"/>
              <w:jc w:val="center"/>
              <w:rPr>
                <w:rFonts w:eastAsia="Times New Roman" w:cstheme="minorHAnsi"/>
                <w:lang w:bidi="ar-SA"/>
              </w:rPr>
            </w:pPr>
            <w:r w:rsidRPr="00D54752">
              <w:rPr>
                <w:rFonts w:cstheme="minorHAnsi"/>
              </w:rPr>
              <w:t>81.1%</w:t>
            </w:r>
          </w:p>
        </w:tc>
        <w:tc>
          <w:tcPr>
            <w:tcW w:w="431" w:type="pct"/>
            <w:shd w:val="clear" w:color="000000" w:fill="FFFFFF"/>
            <w:noWrap/>
            <w:vAlign w:val="center"/>
          </w:tcPr>
          <w:p w14:paraId="69252E56"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07" w:type="pct"/>
            <w:shd w:val="clear" w:color="000000" w:fill="FFFFFF"/>
            <w:noWrap/>
            <w:vAlign w:val="center"/>
          </w:tcPr>
          <w:p w14:paraId="526F9326" w14:textId="77777777" w:rsidR="00AB379C" w:rsidRPr="00D54752" w:rsidRDefault="00AB379C" w:rsidP="007055F6">
            <w:pPr>
              <w:ind w:right="-102"/>
              <w:jc w:val="center"/>
              <w:rPr>
                <w:rFonts w:eastAsia="Times New Roman" w:cstheme="minorHAnsi"/>
                <w:lang w:bidi="ar-SA"/>
              </w:rPr>
            </w:pPr>
            <w:r w:rsidRPr="00D54752">
              <w:rPr>
                <w:rFonts w:cstheme="minorHAnsi"/>
              </w:rPr>
              <w:t>74.7%</w:t>
            </w:r>
          </w:p>
        </w:tc>
        <w:tc>
          <w:tcPr>
            <w:tcW w:w="350" w:type="pct"/>
            <w:shd w:val="clear" w:color="000000" w:fill="FFFFFF"/>
            <w:noWrap/>
            <w:vAlign w:val="center"/>
          </w:tcPr>
          <w:p w14:paraId="1D6D06F4"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95" w:type="pct"/>
            <w:shd w:val="clear" w:color="000000" w:fill="FFFFFF"/>
            <w:vAlign w:val="center"/>
          </w:tcPr>
          <w:p w14:paraId="7AB07290" w14:textId="445D7307" w:rsidR="00AB379C" w:rsidRPr="00D54752" w:rsidRDefault="00885A0E" w:rsidP="007055F6">
            <w:pPr>
              <w:ind w:right="-102"/>
              <w:jc w:val="center"/>
              <w:rPr>
                <w:rFonts w:eastAsia="Times New Roman" w:cstheme="minorHAnsi"/>
                <w:lang w:bidi="ar-SA"/>
              </w:rPr>
            </w:pPr>
            <w:r>
              <w:rPr>
                <w:rFonts w:cstheme="minorHAnsi"/>
              </w:rPr>
              <w:t>NA</w:t>
            </w:r>
          </w:p>
        </w:tc>
      </w:tr>
    </w:tbl>
    <w:p w14:paraId="3EA6C7C6" w14:textId="77777777" w:rsidR="00AB379C" w:rsidRPr="00F7033D" w:rsidRDefault="00AB379C" w:rsidP="00D2000B">
      <w:pPr>
        <w:rPr>
          <w:sz w:val="20"/>
          <w:szCs w:val="20"/>
        </w:rPr>
      </w:pPr>
      <w:r w:rsidRPr="00F7033D">
        <w:rPr>
          <w:sz w:val="20"/>
          <w:szCs w:val="20"/>
          <w:vertAlign w:val="superscript"/>
        </w:rPr>
        <w:t>1</w:t>
      </w:r>
      <w:r w:rsidRPr="00F7033D">
        <w:rPr>
          <w:sz w:val="20"/>
          <w:szCs w:val="20"/>
        </w:rPr>
        <w:t xml:space="preserve"> For comparison of MY 202</w:t>
      </w:r>
      <w:r>
        <w:rPr>
          <w:sz w:val="20"/>
          <w:szCs w:val="20"/>
        </w:rPr>
        <w:t>1</w:t>
      </w:r>
      <w:r w:rsidRPr="00F7033D">
        <w:rPr>
          <w:sz w:val="20"/>
          <w:szCs w:val="20"/>
        </w:rPr>
        <w:t xml:space="preserve"> rates to MY 20</w:t>
      </w:r>
      <w:r>
        <w:rPr>
          <w:sz w:val="20"/>
          <w:szCs w:val="20"/>
        </w:rPr>
        <w:t>20</w:t>
      </w:r>
      <w:r w:rsidRPr="00F7033D">
        <w:rPr>
          <w:sz w:val="20"/>
          <w:szCs w:val="20"/>
        </w:rPr>
        <w:t xml:space="preserve"> rates, statistically significant increases are indicated by “+,” statistically significant decreases by “</w:t>
      </w:r>
      <w:r w:rsidRPr="00F7033D">
        <w:rPr>
          <w:rFonts w:cstheme="minorHAnsi"/>
          <w:sz w:val="20"/>
          <w:szCs w:val="20"/>
        </w:rPr>
        <w:t>−</w:t>
      </w:r>
      <w:r w:rsidRPr="00F7033D">
        <w:rPr>
          <w:sz w:val="20"/>
          <w:szCs w:val="20"/>
        </w:rPr>
        <w:t>,” and no statistically significant change by “</w:t>
      </w:r>
      <w:proofErr w:type="spellStart"/>
      <w:r w:rsidRPr="00F7033D">
        <w:rPr>
          <w:sz w:val="20"/>
          <w:szCs w:val="20"/>
        </w:rPr>
        <w:t>n.s</w:t>
      </w:r>
      <w:proofErr w:type="spellEnd"/>
      <w:r w:rsidRPr="00F7033D">
        <w:rPr>
          <w:sz w:val="20"/>
          <w:szCs w:val="20"/>
        </w:rPr>
        <w:t xml:space="preserve">.” </w:t>
      </w:r>
      <w:r w:rsidRPr="00F7033D">
        <w:rPr>
          <w:bCs/>
          <w:sz w:val="20"/>
          <w:szCs w:val="20"/>
        </w:rPr>
        <w:t>For comparison of MY 202</w:t>
      </w:r>
      <w:r>
        <w:rPr>
          <w:bCs/>
          <w:sz w:val="20"/>
          <w:szCs w:val="20"/>
        </w:rPr>
        <w:t>1</w:t>
      </w:r>
      <w:r w:rsidRPr="00F7033D">
        <w:rPr>
          <w:bCs/>
          <w:sz w:val="20"/>
          <w:szCs w:val="20"/>
        </w:rPr>
        <w:t xml:space="preserve"> rates to CHIP MMC rates, the “+” denotes that the plan rate exceeds the CHIP MMC rate, the “</w:t>
      </w:r>
      <w:r w:rsidRPr="00F7033D">
        <w:rPr>
          <w:rFonts w:cstheme="minorHAnsi"/>
          <w:sz w:val="20"/>
          <w:szCs w:val="20"/>
        </w:rPr>
        <w:t>−</w:t>
      </w:r>
      <w:r w:rsidRPr="00F7033D">
        <w:rPr>
          <w:bCs/>
          <w:sz w:val="20"/>
          <w:szCs w:val="20"/>
        </w:rPr>
        <w:t>” denotes that the MMC rate exceeds the plan rate, and “</w:t>
      </w:r>
      <w:proofErr w:type="spellStart"/>
      <w:r w:rsidRPr="00F7033D">
        <w:rPr>
          <w:bCs/>
          <w:sz w:val="20"/>
          <w:szCs w:val="20"/>
        </w:rPr>
        <w:t>n.s</w:t>
      </w:r>
      <w:proofErr w:type="spellEnd"/>
      <w:r w:rsidRPr="00F7033D">
        <w:rPr>
          <w:bCs/>
          <w:sz w:val="20"/>
          <w:szCs w:val="20"/>
        </w:rPr>
        <w:t>.” denotes no statistically significant difference between the two rates. Gray shading indicates IPRO does</w:t>
      </w:r>
      <w:r>
        <w:rPr>
          <w:bCs/>
          <w:sz w:val="20"/>
          <w:szCs w:val="20"/>
        </w:rPr>
        <w:t xml:space="preserve"> </w:t>
      </w:r>
      <w:r w:rsidRPr="00F7033D">
        <w:rPr>
          <w:bCs/>
          <w:sz w:val="20"/>
          <w:szCs w:val="20"/>
        </w:rPr>
        <w:t>n</w:t>
      </w:r>
      <w:r>
        <w:rPr>
          <w:bCs/>
          <w:sz w:val="20"/>
          <w:szCs w:val="20"/>
        </w:rPr>
        <w:t>o</w:t>
      </w:r>
      <w:r w:rsidRPr="00F7033D">
        <w:rPr>
          <w:bCs/>
          <w:sz w:val="20"/>
          <w:szCs w:val="20"/>
        </w:rPr>
        <w:t>t provide or calculate these rates.</w:t>
      </w:r>
    </w:p>
    <w:p w14:paraId="1F4AC768" w14:textId="77777777" w:rsidR="00AB379C" w:rsidRPr="008F2AFA" w:rsidRDefault="00AB379C" w:rsidP="00D2000B">
      <w:pPr>
        <w:rPr>
          <w:sz w:val="20"/>
          <w:szCs w:val="20"/>
        </w:rPr>
      </w:pPr>
      <w:proofErr w:type="spellStart"/>
      <w:r w:rsidRPr="00F7033D">
        <w:rPr>
          <w:sz w:val="20"/>
          <w:szCs w:val="20"/>
        </w:rPr>
        <w:t>Denom</w:t>
      </w:r>
      <w:proofErr w:type="spellEnd"/>
      <w:r w:rsidRPr="00F7033D">
        <w:rPr>
          <w:sz w:val="20"/>
          <w:szCs w:val="20"/>
        </w:rPr>
        <w:t xml:space="preserve">: denominator; Num: numerator; MY: measurement year; MMC: Medicaid Managed Care; HEDIS: Healthcare Effectiveness Data and Information Set; PA: Pennsylvania; EQR: external quality review; NA: not available, as no HEDIS percentile is available to compare; </w:t>
      </w:r>
      <w:r w:rsidRPr="002F6375">
        <w:rPr>
          <w:sz w:val="20"/>
          <w:szCs w:val="20"/>
        </w:rPr>
        <w:t>N/A</w:t>
      </w:r>
      <w:r>
        <w:rPr>
          <w:sz w:val="20"/>
          <w:szCs w:val="20"/>
        </w:rPr>
        <w:t>:</w:t>
      </w:r>
      <w:r w:rsidRPr="002F6375">
        <w:rPr>
          <w:sz w:val="20"/>
          <w:szCs w:val="20"/>
        </w:rPr>
        <w:t xml:space="preserve"> not applicable,</w:t>
      </w:r>
      <w:r>
        <w:rPr>
          <w:sz w:val="20"/>
          <w:szCs w:val="20"/>
        </w:rPr>
        <w:t xml:space="preserve"> as denominator is less than 30.</w:t>
      </w:r>
    </w:p>
    <w:p w14:paraId="12D09768" w14:textId="77777777" w:rsidR="00AB379C" w:rsidRPr="00F7033D" w:rsidRDefault="00AB379C" w:rsidP="00AB379C">
      <w:pPr>
        <w:pStyle w:val="Heading3"/>
      </w:pPr>
      <w:bookmarkStart w:id="120" w:name="_Toc98922467"/>
      <w:bookmarkStart w:id="121" w:name="_Toc132641624"/>
      <w:r w:rsidRPr="00F7033D">
        <w:lastRenderedPageBreak/>
        <w:t>Dental Care for Children</w:t>
      </w:r>
      <w:bookmarkEnd w:id="120"/>
      <w:bookmarkEnd w:id="121"/>
    </w:p>
    <w:p w14:paraId="674D3437" w14:textId="77777777" w:rsidR="00AB379C" w:rsidRPr="00F7033D" w:rsidRDefault="00AB379C" w:rsidP="00AB379C">
      <w:bookmarkStart w:id="122" w:name="_Toc478563555"/>
      <w:bookmarkStart w:id="123" w:name="_Toc512521054"/>
      <w:r>
        <w:t>No s</w:t>
      </w:r>
      <w:r w:rsidRPr="00F7033D">
        <w:t>trengths are identified for the</w:t>
      </w:r>
      <w:r>
        <w:t xml:space="preserve"> </w:t>
      </w:r>
      <w:r w:rsidRPr="00F7033D">
        <w:t>202</w:t>
      </w:r>
      <w:r>
        <w:t>2</w:t>
      </w:r>
      <w:r w:rsidRPr="00F7033D">
        <w:t xml:space="preserve"> (MY 202</w:t>
      </w:r>
      <w:r>
        <w:t>1</w:t>
      </w:r>
      <w:r w:rsidRPr="00F7033D">
        <w:t>) Dental Care for Children performance measures</w:t>
      </w:r>
      <w:r>
        <w:t>.</w:t>
      </w:r>
    </w:p>
    <w:p w14:paraId="17D90E1B" w14:textId="77777777" w:rsidR="00AB379C" w:rsidRDefault="00AB379C" w:rsidP="00AB379C"/>
    <w:p w14:paraId="7CFED967" w14:textId="77777777" w:rsidR="00AB379C" w:rsidRDefault="00AB379C" w:rsidP="00AB379C">
      <w:r>
        <w:t>O</w:t>
      </w:r>
      <w:r w:rsidRPr="00F7033D">
        <w:t xml:space="preserve">pportunities for improvement are identified for the </w:t>
      </w:r>
      <w:r>
        <w:t xml:space="preserve">following </w:t>
      </w:r>
      <w:r w:rsidRPr="00F7033D">
        <w:t>Dental Care for Children performance measures</w:t>
      </w:r>
      <w:r>
        <w:t>:</w:t>
      </w:r>
    </w:p>
    <w:p w14:paraId="57E73C14" w14:textId="77777777" w:rsidR="00AB379C" w:rsidRDefault="00AB379C" w:rsidP="00D54752">
      <w:pPr>
        <w:pStyle w:val="ListParagraph"/>
        <w:numPr>
          <w:ilvl w:val="0"/>
          <w:numId w:val="22"/>
        </w:numPr>
      </w:pPr>
      <w:r w:rsidRPr="00F7033D">
        <w:t xml:space="preserve">The following rates are statistically significantly </w:t>
      </w:r>
      <w:r>
        <w:t>below</w:t>
      </w:r>
      <w:r w:rsidRPr="00F7033D">
        <w:t>/</w:t>
      </w:r>
      <w:r>
        <w:t>worse</w:t>
      </w:r>
      <w:r w:rsidRPr="00F7033D">
        <w:t xml:space="preserve"> than the 202</w:t>
      </w:r>
      <w:r>
        <w:t>2</w:t>
      </w:r>
      <w:r w:rsidRPr="00F7033D">
        <w:t xml:space="preserve"> (MY 202</w:t>
      </w:r>
      <w:r>
        <w:t>1</w:t>
      </w:r>
      <w:r w:rsidRPr="00F7033D">
        <w:t>) MMC weighted average</w:t>
      </w:r>
      <w:r>
        <w:t>:</w:t>
      </w:r>
    </w:p>
    <w:p w14:paraId="5CF8A840" w14:textId="0DD14DDD" w:rsidR="00AB379C" w:rsidRDefault="00AB379C" w:rsidP="00D54752">
      <w:pPr>
        <w:pStyle w:val="ListParagraph"/>
        <w:numPr>
          <w:ilvl w:val="1"/>
          <w:numId w:val="22"/>
        </w:numPr>
        <w:ind w:left="1080"/>
      </w:pPr>
      <w:r>
        <w:t>Annual Dental Visit (</w:t>
      </w:r>
      <w:r w:rsidR="00EA2591">
        <w:t xml:space="preserve">Ages </w:t>
      </w:r>
      <w:r>
        <w:t>2–3 years) – 5.4 percentage points;</w:t>
      </w:r>
    </w:p>
    <w:p w14:paraId="4A5B890C" w14:textId="6DD5A093" w:rsidR="00AB379C" w:rsidRDefault="00AB379C" w:rsidP="00D54752">
      <w:pPr>
        <w:pStyle w:val="ListParagraph"/>
        <w:numPr>
          <w:ilvl w:val="1"/>
          <w:numId w:val="22"/>
        </w:numPr>
        <w:ind w:left="1080"/>
      </w:pPr>
      <w:r>
        <w:t>Annual Dental Visit (</w:t>
      </w:r>
      <w:r w:rsidR="00EA2591">
        <w:t xml:space="preserve">Ages </w:t>
      </w:r>
      <w:r>
        <w:t>11–14 years) – 3.9 percentage points;</w:t>
      </w:r>
    </w:p>
    <w:p w14:paraId="34A57D7B" w14:textId="6E958A08" w:rsidR="00AB379C" w:rsidRDefault="00AB379C" w:rsidP="00D54752">
      <w:pPr>
        <w:pStyle w:val="ListParagraph"/>
        <w:numPr>
          <w:ilvl w:val="1"/>
          <w:numId w:val="22"/>
        </w:numPr>
        <w:ind w:left="1080"/>
      </w:pPr>
      <w:r>
        <w:t>Annual Dental Visit (</w:t>
      </w:r>
      <w:r w:rsidR="00EA2591">
        <w:t xml:space="preserve">Ages </w:t>
      </w:r>
      <w:r>
        <w:t>15–18 years) – 4.0 percentage points;</w:t>
      </w:r>
    </w:p>
    <w:p w14:paraId="4BCBB5A5" w14:textId="77777777" w:rsidR="00AB379C" w:rsidRDefault="00AB379C" w:rsidP="00D54752">
      <w:pPr>
        <w:pStyle w:val="ListParagraph"/>
        <w:numPr>
          <w:ilvl w:val="1"/>
          <w:numId w:val="22"/>
        </w:numPr>
        <w:ind w:left="1080"/>
      </w:pPr>
      <w:r>
        <w:t>Annual Dental Visit (Total) – 3.4 percentage points;</w:t>
      </w:r>
    </w:p>
    <w:p w14:paraId="61044C3D" w14:textId="77777777" w:rsidR="00AB379C" w:rsidRDefault="00AB379C" w:rsidP="00D54752">
      <w:pPr>
        <w:pStyle w:val="ListParagraph"/>
        <w:numPr>
          <w:ilvl w:val="1"/>
          <w:numId w:val="22"/>
        </w:numPr>
        <w:ind w:left="1080"/>
      </w:pPr>
      <w:r>
        <w:t>Sealant Receipt on Permanent First Molars (≥ 1 Molar) – 10.3 percentage points; and</w:t>
      </w:r>
    </w:p>
    <w:p w14:paraId="7CED9D11" w14:textId="77777777" w:rsidR="00AB379C" w:rsidRPr="00F7033D" w:rsidRDefault="00AB379C" w:rsidP="00D54752">
      <w:pPr>
        <w:pStyle w:val="ListParagraph"/>
        <w:numPr>
          <w:ilvl w:val="1"/>
          <w:numId w:val="22"/>
        </w:numPr>
        <w:ind w:left="1080"/>
      </w:pPr>
      <w:r>
        <w:t>Sealant Receipt on Permanent First Molars (All 4 Molars) – 9.3 percentage points.</w:t>
      </w:r>
    </w:p>
    <w:p w14:paraId="42AF9E5F" w14:textId="77777777" w:rsidR="00AB379C" w:rsidRPr="00F7033D" w:rsidRDefault="00AB379C" w:rsidP="00AB379C">
      <w:pPr>
        <w:pStyle w:val="tableheading"/>
      </w:pPr>
      <w:bookmarkStart w:id="124" w:name="_Toc98922503"/>
      <w:bookmarkStart w:id="125" w:name="_Toc132641665"/>
      <w:r w:rsidRPr="00F7033D">
        <w:t>Table 2.5: Dental Care for Children</w:t>
      </w:r>
      <w:bookmarkEnd w:id="122"/>
      <w:bookmarkEnd w:id="123"/>
      <w:bookmarkEnd w:id="124"/>
      <w:bookmarkEnd w:id="125"/>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86" w:type="dxa"/>
        </w:tblCellMar>
        <w:tblLook w:val="04A0" w:firstRow="1" w:lastRow="0" w:firstColumn="1" w:lastColumn="0" w:noHBand="0" w:noVBand="1"/>
      </w:tblPr>
      <w:tblGrid>
        <w:gridCol w:w="794"/>
        <w:gridCol w:w="3023"/>
        <w:gridCol w:w="870"/>
        <w:gridCol w:w="781"/>
        <w:gridCol w:w="870"/>
        <w:gridCol w:w="1127"/>
        <w:gridCol w:w="1127"/>
        <w:gridCol w:w="1138"/>
        <w:gridCol w:w="1138"/>
        <w:gridCol w:w="959"/>
        <w:gridCol w:w="1048"/>
        <w:gridCol w:w="1515"/>
      </w:tblGrid>
      <w:tr w:rsidR="00AB379C" w:rsidRPr="00D54752" w14:paraId="4A188E5F" w14:textId="77777777" w:rsidTr="009301E4">
        <w:trPr>
          <w:cantSplit/>
          <w:trHeight w:val="266"/>
          <w:tblHeader/>
        </w:trPr>
        <w:tc>
          <w:tcPr>
            <w:tcW w:w="1346" w:type="pct"/>
            <w:gridSpan w:val="2"/>
            <w:shd w:val="clear" w:color="000000" w:fill="5F497A"/>
            <w:vAlign w:val="bottom"/>
            <w:hideMark/>
          </w:tcPr>
          <w:p w14:paraId="665B6C77"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Indicator</w:t>
            </w:r>
          </w:p>
        </w:tc>
        <w:tc>
          <w:tcPr>
            <w:tcW w:w="1622" w:type="pct"/>
            <w:gridSpan w:val="5"/>
            <w:shd w:val="clear" w:color="000000" w:fill="5F497A"/>
            <w:vAlign w:val="bottom"/>
            <w:hideMark/>
          </w:tcPr>
          <w:p w14:paraId="5C5CF5C8"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2022 (MY 2021)</w:t>
            </w:r>
          </w:p>
        </w:tc>
        <w:tc>
          <w:tcPr>
            <w:tcW w:w="2032" w:type="pct"/>
            <w:gridSpan w:val="5"/>
            <w:shd w:val="clear" w:color="000000" w:fill="5F497A"/>
            <w:vAlign w:val="bottom"/>
            <w:hideMark/>
          </w:tcPr>
          <w:p w14:paraId="754DF0B7" w14:textId="77777777" w:rsidR="00AB379C" w:rsidRPr="00D54752" w:rsidRDefault="00AB379C" w:rsidP="007055F6">
            <w:pPr>
              <w:jc w:val="center"/>
              <w:rPr>
                <w:rFonts w:eastAsia="Times New Roman" w:cstheme="minorHAnsi"/>
                <w:b/>
                <w:bCs/>
                <w:color w:val="FFFFFF"/>
                <w:vertAlign w:val="superscript"/>
                <w:lang w:bidi="ar-SA"/>
              </w:rPr>
            </w:pPr>
            <w:r w:rsidRPr="00D54752">
              <w:rPr>
                <w:rFonts w:eastAsia="Times New Roman" w:cstheme="minorHAnsi"/>
                <w:b/>
                <w:color w:val="FFFFFF"/>
                <w:lang w:bidi="ar-SA"/>
              </w:rPr>
              <w:t>Rate Comparison</w:t>
            </w:r>
            <w:r w:rsidRPr="00D54752">
              <w:rPr>
                <w:rFonts w:eastAsia="Times New Roman" w:cstheme="minorHAnsi"/>
                <w:b/>
                <w:color w:val="FFFFFF"/>
                <w:vertAlign w:val="superscript"/>
                <w:lang w:bidi="ar-SA"/>
              </w:rPr>
              <w:t>1</w:t>
            </w:r>
          </w:p>
        </w:tc>
      </w:tr>
      <w:tr w:rsidR="00AB379C" w:rsidRPr="00D54752" w14:paraId="715E6AB5" w14:textId="77777777" w:rsidTr="009301E4">
        <w:trPr>
          <w:cantSplit/>
          <w:trHeight w:val="20"/>
          <w:tblHeader/>
        </w:trPr>
        <w:tc>
          <w:tcPr>
            <w:tcW w:w="286" w:type="pct"/>
            <w:shd w:val="clear" w:color="000000" w:fill="5F497A"/>
            <w:vAlign w:val="bottom"/>
            <w:hideMark/>
          </w:tcPr>
          <w:p w14:paraId="2B1AAFF3"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Source</w:t>
            </w:r>
          </w:p>
        </w:tc>
        <w:tc>
          <w:tcPr>
            <w:tcW w:w="1060" w:type="pct"/>
            <w:shd w:val="clear" w:color="000000" w:fill="5F497A"/>
            <w:vAlign w:val="bottom"/>
            <w:hideMark/>
          </w:tcPr>
          <w:p w14:paraId="39DCC429"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Name</w:t>
            </w:r>
          </w:p>
        </w:tc>
        <w:tc>
          <w:tcPr>
            <w:tcW w:w="312" w:type="pct"/>
            <w:shd w:val="clear" w:color="000000" w:fill="5F497A"/>
            <w:vAlign w:val="bottom"/>
            <w:hideMark/>
          </w:tcPr>
          <w:p w14:paraId="655E2C4A" w14:textId="77777777" w:rsidR="00AB379C" w:rsidRPr="00D54752" w:rsidRDefault="00AB379C" w:rsidP="007055F6">
            <w:pPr>
              <w:jc w:val="center"/>
              <w:rPr>
                <w:rFonts w:eastAsia="Times New Roman" w:cstheme="minorHAnsi"/>
                <w:b/>
                <w:bCs/>
                <w:color w:val="FFFFFF"/>
                <w:lang w:bidi="ar-SA"/>
              </w:rPr>
            </w:pPr>
            <w:proofErr w:type="spellStart"/>
            <w:r w:rsidRPr="00D54752">
              <w:rPr>
                <w:rFonts w:eastAsia="Times New Roman" w:cstheme="minorHAnsi"/>
                <w:b/>
                <w:bCs/>
                <w:color w:val="FFFFFF"/>
                <w:lang w:bidi="ar-SA"/>
              </w:rPr>
              <w:t>Denom</w:t>
            </w:r>
            <w:proofErr w:type="spellEnd"/>
          </w:p>
        </w:tc>
        <w:tc>
          <w:tcPr>
            <w:tcW w:w="281" w:type="pct"/>
            <w:shd w:val="clear" w:color="000000" w:fill="5F497A"/>
            <w:vAlign w:val="bottom"/>
            <w:hideMark/>
          </w:tcPr>
          <w:p w14:paraId="68D5F317"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Num</w:t>
            </w:r>
          </w:p>
        </w:tc>
        <w:tc>
          <w:tcPr>
            <w:tcW w:w="312" w:type="pct"/>
            <w:shd w:val="clear" w:color="000000" w:fill="5F497A"/>
            <w:vAlign w:val="bottom"/>
            <w:hideMark/>
          </w:tcPr>
          <w:p w14:paraId="72DB9BE2"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Rate</w:t>
            </w:r>
          </w:p>
        </w:tc>
        <w:tc>
          <w:tcPr>
            <w:tcW w:w="343" w:type="pct"/>
            <w:shd w:val="clear" w:color="000000" w:fill="5F497A"/>
            <w:vAlign w:val="bottom"/>
            <w:hideMark/>
          </w:tcPr>
          <w:p w14:paraId="6DF827D5"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Lower 95% Confidence Limit</w:t>
            </w:r>
          </w:p>
        </w:tc>
        <w:tc>
          <w:tcPr>
            <w:tcW w:w="374" w:type="pct"/>
            <w:shd w:val="clear" w:color="000000" w:fill="5F497A"/>
            <w:vAlign w:val="bottom"/>
            <w:hideMark/>
          </w:tcPr>
          <w:p w14:paraId="641D0499"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Upper 95% Confidence Limit</w:t>
            </w:r>
          </w:p>
        </w:tc>
        <w:tc>
          <w:tcPr>
            <w:tcW w:w="405" w:type="pct"/>
            <w:shd w:val="clear" w:color="000000" w:fill="5F497A"/>
            <w:vAlign w:val="bottom"/>
            <w:hideMark/>
          </w:tcPr>
          <w:p w14:paraId="484642EA"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2021 (MY 2020) Rate</w:t>
            </w:r>
          </w:p>
        </w:tc>
        <w:tc>
          <w:tcPr>
            <w:tcW w:w="405" w:type="pct"/>
            <w:shd w:val="clear" w:color="000000" w:fill="5F497A"/>
            <w:vAlign w:val="bottom"/>
            <w:hideMark/>
          </w:tcPr>
          <w:p w14:paraId="4A81E2F9"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2021</w:t>
            </w:r>
          </w:p>
        </w:tc>
        <w:tc>
          <w:tcPr>
            <w:tcW w:w="343" w:type="pct"/>
            <w:shd w:val="clear" w:color="000000" w:fill="5F497A"/>
            <w:vAlign w:val="bottom"/>
            <w:hideMark/>
          </w:tcPr>
          <w:p w14:paraId="73ED4DBC"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MMC</w:t>
            </w:r>
          </w:p>
        </w:tc>
        <w:tc>
          <w:tcPr>
            <w:tcW w:w="343" w:type="pct"/>
            <w:shd w:val="clear" w:color="000000" w:fill="5F497A"/>
            <w:vAlign w:val="bottom"/>
            <w:hideMark/>
          </w:tcPr>
          <w:p w14:paraId="71CC18FC"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MMC</w:t>
            </w:r>
          </w:p>
        </w:tc>
        <w:tc>
          <w:tcPr>
            <w:tcW w:w="535" w:type="pct"/>
            <w:shd w:val="clear" w:color="000000" w:fill="5F497A"/>
            <w:vAlign w:val="bottom"/>
            <w:hideMark/>
          </w:tcPr>
          <w:p w14:paraId="3DE766C5"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HEDIS 2022 Percentile</w:t>
            </w:r>
          </w:p>
        </w:tc>
      </w:tr>
      <w:tr w:rsidR="00AB379C" w:rsidRPr="00D54752" w14:paraId="7C3BF4C0" w14:textId="77777777" w:rsidTr="00640BDE">
        <w:trPr>
          <w:cantSplit/>
          <w:trHeight w:val="144"/>
        </w:trPr>
        <w:tc>
          <w:tcPr>
            <w:tcW w:w="286" w:type="pct"/>
            <w:shd w:val="clear" w:color="auto" w:fill="FFFFFF" w:themeFill="background1"/>
            <w:vAlign w:val="center"/>
            <w:hideMark/>
          </w:tcPr>
          <w:p w14:paraId="4E30851C"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60" w:type="pct"/>
            <w:shd w:val="clear" w:color="auto" w:fill="FFFFFF" w:themeFill="background1"/>
            <w:vAlign w:val="center"/>
            <w:hideMark/>
          </w:tcPr>
          <w:p w14:paraId="366F579E" w14:textId="4BA3E561"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Annual Dental Visit (</w:t>
            </w:r>
            <w:r w:rsidR="00EA2591">
              <w:rPr>
                <w:rFonts w:eastAsia="Times New Roman" w:cstheme="minorHAnsi"/>
                <w:lang w:bidi="ar-SA"/>
              </w:rPr>
              <w:t xml:space="preserve">Ages </w:t>
            </w:r>
            <w:r w:rsidRPr="00D54752">
              <w:rPr>
                <w:rFonts w:eastAsia="Times New Roman" w:cstheme="minorHAnsi"/>
                <w:lang w:bidi="ar-SA"/>
              </w:rPr>
              <w:t>2–3 years)</w:t>
            </w:r>
          </w:p>
        </w:tc>
        <w:tc>
          <w:tcPr>
            <w:tcW w:w="312" w:type="pct"/>
            <w:shd w:val="clear" w:color="auto" w:fill="auto"/>
            <w:vAlign w:val="center"/>
          </w:tcPr>
          <w:p w14:paraId="68811712" w14:textId="77777777" w:rsidR="00AB379C" w:rsidRPr="00D54752" w:rsidRDefault="00AB379C" w:rsidP="007055F6">
            <w:pPr>
              <w:ind w:right="-102"/>
              <w:jc w:val="center"/>
              <w:rPr>
                <w:rFonts w:eastAsia="Times New Roman" w:cstheme="minorHAnsi"/>
                <w:lang w:bidi="ar-SA"/>
              </w:rPr>
            </w:pPr>
            <w:r w:rsidRPr="00D54752">
              <w:rPr>
                <w:rFonts w:cstheme="minorHAnsi"/>
              </w:rPr>
              <w:t>1,413</w:t>
            </w:r>
          </w:p>
        </w:tc>
        <w:tc>
          <w:tcPr>
            <w:tcW w:w="281" w:type="pct"/>
            <w:shd w:val="clear" w:color="auto" w:fill="auto"/>
            <w:vAlign w:val="center"/>
          </w:tcPr>
          <w:p w14:paraId="3B5F031A" w14:textId="77777777" w:rsidR="00AB379C" w:rsidRPr="00D54752" w:rsidRDefault="00AB379C" w:rsidP="007055F6">
            <w:pPr>
              <w:ind w:right="-102"/>
              <w:jc w:val="center"/>
              <w:rPr>
                <w:rFonts w:eastAsia="Times New Roman" w:cstheme="minorHAnsi"/>
                <w:lang w:bidi="ar-SA"/>
              </w:rPr>
            </w:pPr>
            <w:r w:rsidRPr="00D54752">
              <w:rPr>
                <w:rFonts w:cstheme="minorHAnsi"/>
              </w:rPr>
              <w:t>482</w:t>
            </w:r>
          </w:p>
        </w:tc>
        <w:tc>
          <w:tcPr>
            <w:tcW w:w="312" w:type="pct"/>
            <w:shd w:val="clear" w:color="auto" w:fill="auto"/>
            <w:vAlign w:val="center"/>
          </w:tcPr>
          <w:p w14:paraId="4706D60F"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34.1%</w:t>
            </w:r>
          </w:p>
        </w:tc>
        <w:tc>
          <w:tcPr>
            <w:tcW w:w="343" w:type="pct"/>
            <w:shd w:val="clear" w:color="auto" w:fill="auto"/>
            <w:vAlign w:val="center"/>
          </w:tcPr>
          <w:p w14:paraId="6C4EE094" w14:textId="77777777" w:rsidR="00AB379C" w:rsidRPr="00D54752" w:rsidRDefault="00AB379C" w:rsidP="007055F6">
            <w:pPr>
              <w:ind w:right="-102"/>
              <w:jc w:val="center"/>
              <w:rPr>
                <w:rFonts w:eastAsia="Times New Roman" w:cstheme="minorHAnsi"/>
                <w:lang w:bidi="ar-SA"/>
              </w:rPr>
            </w:pPr>
            <w:r w:rsidRPr="00D54752">
              <w:rPr>
                <w:rFonts w:cstheme="minorHAnsi"/>
              </w:rPr>
              <w:t>31.6%</w:t>
            </w:r>
          </w:p>
        </w:tc>
        <w:tc>
          <w:tcPr>
            <w:tcW w:w="374" w:type="pct"/>
            <w:shd w:val="clear" w:color="auto" w:fill="auto"/>
            <w:vAlign w:val="center"/>
          </w:tcPr>
          <w:p w14:paraId="290A7385" w14:textId="77777777" w:rsidR="00AB379C" w:rsidRPr="00D54752" w:rsidRDefault="00AB379C" w:rsidP="007055F6">
            <w:pPr>
              <w:ind w:right="-102"/>
              <w:jc w:val="center"/>
              <w:rPr>
                <w:rFonts w:eastAsia="Times New Roman" w:cstheme="minorHAnsi"/>
                <w:lang w:bidi="ar-SA"/>
              </w:rPr>
            </w:pPr>
            <w:r w:rsidRPr="00D54752">
              <w:rPr>
                <w:rFonts w:cstheme="minorHAnsi"/>
              </w:rPr>
              <w:t>36.6%</w:t>
            </w:r>
          </w:p>
        </w:tc>
        <w:tc>
          <w:tcPr>
            <w:tcW w:w="405" w:type="pct"/>
            <w:shd w:val="clear" w:color="auto" w:fill="auto"/>
            <w:vAlign w:val="center"/>
          </w:tcPr>
          <w:p w14:paraId="10FE8292" w14:textId="77777777" w:rsidR="00AB379C" w:rsidRPr="00D54752" w:rsidRDefault="00AB379C" w:rsidP="007055F6">
            <w:pPr>
              <w:ind w:right="-102"/>
              <w:jc w:val="center"/>
              <w:rPr>
                <w:rFonts w:eastAsia="Times New Roman" w:cstheme="minorHAnsi"/>
                <w:lang w:bidi="ar-SA"/>
              </w:rPr>
            </w:pPr>
            <w:r w:rsidRPr="00D54752">
              <w:rPr>
                <w:rFonts w:cstheme="minorHAnsi"/>
              </w:rPr>
              <w:t>32.0%</w:t>
            </w:r>
          </w:p>
        </w:tc>
        <w:tc>
          <w:tcPr>
            <w:tcW w:w="405" w:type="pct"/>
            <w:shd w:val="clear" w:color="auto" w:fill="auto"/>
            <w:vAlign w:val="center"/>
          </w:tcPr>
          <w:p w14:paraId="0EE3D8EF"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5605FDA6" w14:textId="77777777" w:rsidR="00AB379C" w:rsidRPr="00D54752" w:rsidRDefault="00AB379C" w:rsidP="007055F6">
            <w:pPr>
              <w:ind w:right="-102"/>
              <w:jc w:val="center"/>
              <w:rPr>
                <w:rFonts w:eastAsia="Times New Roman" w:cstheme="minorHAnsi"/>
                <w:lang w:bidi="ar-SA"/>
              </w:rPr>
            </w:pPr>
            <w:r w:rsidRPr="00D54752">
              <w:rPr>
                <w:rFonts w:cstheme="minorHAnsi"/>
              </w:rPr>
              <w:t>39.5%</w:t>
            </w:r>
          </w:p>
        </w:tc>
        <w:tc>
          <w:tcPr>
            <w:tcW w:w="343" w:type="pct"/>
            <w:shd w:val="clear" w:color="auto" w:fill="auto"/>
            <w:vAlign w:val="center"/>
          </w:tcPr>
          <w:p w14:paraId="3EE0A551"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35" w:type="pct"/>
            <w:shd w:val="clear" w:color="auto" w:fill="auto"/>
            <w:vAlign w:val="center"/>
          </w:tcPr>
          <w:p w14:paraId="4B32F05D" w14:textId="0B666E6D" w:rsidR="00AB379C" w:rsidRPr="00D54752" w:rsidRDefault="00D54752" w:rsidP="007055F6">
            <w:pPr>
              <w:ind w:right="-102"/>
              <w:jc w:val="center"/>
              <w:rPr>
                <w:rFonts w:eastAsia="Times New Roman" w:cstheme="minorHAnsi"/>
                <w:lang w:bidi="ar-SA"/>
              </w:rPr>
            </w:pPr>
            <w:r w:rsidRPr="00D54752">
              <w:rPr>
                <w:rFonts w:cstheme="minorHAnsi"/>
              </w:rPr>
              <w:t>≥</w:t>
            </w:r>
            <w:r w:rsidR="00AB379C" w:rsidRPr="00D54752">
              <w:rPr>
                <w:rFonts w:cstheme="minorHAnsi"/>
              </w:rPr>
              <w:t xml:space="preserve"> 25th and &lt; 50th percentile </w:t>
            </w:r>
          </w:p>
        </w:tc>
      </w:tr>
      <w:tr w:rsidR="00AB379C" w:rsidRPr="00D54752" w14:paraId="788AB9FF" w14:textId="77777777" w:rsidTr="00640BDE">
        <w:trPr>
          <w:cantSplit/>
          <w:trHeight w:val="144"/>
        </w:trPr>
        <w:tc>
          <w:tcPr>
            <w:tcW w:w="286" w:type="pct"/>
            <w:shd w:val="clear" w:color="auto" w:fill="FFFFFF" w:themeFill="background1"/>
            <w:vAlign w:val="center"/>
            <w:hideMark/>
          </w:tcPr>
          <w:p w14:paraId="23296935"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60" w:type="pct"/>
            <w:shd w:val="clear" w:color="auto" w:fill="FFFFFF" w:themeFill="background1"/>
            <w:vAlign w:val="center"/>
            <w:hideMark/>
          </w:tcPr>
          <w:p w14:paraId="06B5C8AF" w14:textId="407ADA11"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Annual Dental Visit (</w:t>
            </w:r>
            <w:r w:rsidR="00EA2591">
              <w:rPr>
                <w:rFonts w:eastAsia="Times New Roman" w:cstheme="minorHAnsi"/>
                <w:lang w:bidi="ar-SA"/>
              </w:rPr>
              <w:t xml:space="preserve">Ages </w:t>
            </w:r>
            <w:r w:rsidRPr="00D54752">
              <w:rPr>
                <w:rFonts w:eastAsia="Times New Roman" w:cstheme="minorHAnsi"/>
                <w:lang w:bidi="ar-SA"/>
              </w:rPr>
              <w:t>4–6 years)</w:t>
            </w:r>
          </w:p>
        </w:tc>
        <w:tc>
          <w:tcPr>
            <w:tcW w:w="312" w:type="pct"/>
            <w:shd w:val="clear" w:color="auto" w:fill="auto"/>
            <w:vAlign w:val="center"/>
          </w:tcPr>
          <w:p w14:paraId="06E09E6B" w14:textId="77777777" w:rsidR="00AB379C" w:rsidRPr="00D54752" w:rsidRDefault="00AB379C" w:rsidP="007055F6">
            <w:pPr>
              <w:ind w:right="-102"/>
              <w:jc w:val="center"/>
              <w:rPr>
                <w:rFonts w:eastAsia="Times New Roman" w:cstheme="minorHAnsi"/>
                <w:lang w:bidi="ar-SA"/>
              </w:rPr>
            </w:pPr>
            <w:r w:rsidRPr="00D54752">
              <w:rPr>
                <w:rFonts w:cstheme="minorHAnsi"/>
              </w:rPr>
              <w:t>3,710</w:t>
            </w:r>
          </w:p>
        </w:tc>
        <w:tc>
          <w:tcPr>
            <w:tcW w:w="281" w:type="pct"/>
            <w:shd w:val="clear" w:color="auto" w:fill="auto"/>
            <w:vAlign w:val="center"/>
          </w:tcPr>
          <w:p w14:paraId="722A353A" w14:textId="77777777" w:rsidR="00AB379C" w:rsidRPr="00D54752" w:rsidRDefault="00AB379C" w:rsidP="007055F6">
            <w:pPr>
              <w:ind w:right="-102"/>
              <w:jc w:val="center"/>
              <w:rPr>
                <w:rFonts w:eastAsia="Times New Roman" w:cstheme="minorHAnsi"/>
                <w:lang w:bidi="ar-SA"/>
              </w:rPr>
            </w:pPr>
            <w:r w:rsidRPr="00D54752">
              <w:rPr>
                <w:rFonts w:cstheme="minorHAnsi"/>
              </w:rPr>
              <w:t>2,337</w:t>
            </w:r>
          </w:p>
        </w:tc>
        <w:tc>
          <w:tcPr>
            <w:tcW w:w="312" w:type="pct"/>
            <w:shd w:val="clear" w:color="auto" w:fill="auto"/>
            <w:vAlign w:val="center"/>
          </w:tcPr>
          <w:p w14:paraId="5848E16A"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63.0%</w:t>
            </w:r>
          </w:p>
        </w:tc>
        <w:tc>
          <w:tcPr>
            <w:tcW w:w="343" w:type="pct"/>
            <w:shd w:val="clear" w:color="auto" w:fill="auto"/>
            <w:vAlign w:val="center"/>
          </w:tcPr>
          <w:p w14:paraId="7EFC7659" w14:textId="77777777" w:rsidR="00AB379C" w:rsidRPr="00D54752" w:rsidRDefault="00AB379C" w:rsidP="007055F6">
            <w:pPr>
              <w:ind w:right="-102"/>
              <w:jc w:val="center"/>
              <w:rPr>
                <w:rFonts w:eastAsia="Times New Roman" w:cstheme="minorHAnsi"/>
                <w:lang w:bidi="ar-SA"/>
              </w:rPr>
            </w:pPr>
            <w:r w:rsidRPr="00D54752">
              <w:rPr>
                <w:rFonts w:cstheme="minorHAnsi"/>
              </w:rPr>
              <w:t>61.4%</w:t>
            </w:r>
          </w:p>
        </w:tc>
        <w:tc>
          <w:tcPr>
            <w:tcW w:w="374" w:type="pct"/>
            <w:shd w:val="clear" w:color="auto" w:fill="auto"/>
            <w:vAlign w:val="center"/>
          </w:tcPr>
          <w:p w14:paraId="3655222E" w14:textId="77777777" w:rsidR="00AB379C" w:rsidRPr="00D54752" w:rsidRDefault="00AB379C" w:rsidP="007055F6">
            <w:pPr>
              <w:ind w:right="-102"/>
              <w:jc w:val="center"/>
              <w:rPr>
                <w:rFonts w:eastAsia="Times New Roman" w:cstheme="minorHAnsi"/>
                <w:lang w:bidi="ar-SA"/>
              </w:rPr>
            </w:pPr>
            <w:r w:rsidRPr="00D54752">
              <w:rPr>
                <w:rFonts w:cstheme="minorHAnsi"/>
              </w:rPr>
              <w:t>64.6%</w:t>
            </w:r>
          </w:p>
        </w:tc>
        <w:tc>
          <w:tcPr>
            <w:tcW w:w="405" w:type="pct"/>
            <w:shd w:val="clear" w:color="auto" w:fill="auto"/>
            <w:vAlign w:val="center"/>
          </w:tcPr>
          <w:p w14:paraId="7B0CFD46" w14:textId="77777777" w:rsidR="00AB379C" w:rsidRPr="00D54752" w:rsidRDefault="00AB379C" w:rsidP="007055F6">
            <w:pPr>
              <w:ind w:right="-102"/>
              <w:jc w:val="center"/>
              <w:rPr>
                <w:rFonts w:eastAsia="Times New Roman" w:cstheme="minorHAnsi"/>
                <w:lang w:bidi="ar-SA"/>
              </w:rPr>
            </w:pPr>
            <w:r w:rsidRPr="00D54752">
              <w:rPr>
                <w:rFonts w:cstheme="minorHAnsi"/>
              </w:rPr>
              <w:t>60.9%</w:t>
            </w:r>
          </w:p>
        </w:tc>
        <w:tc>
          <w:tcPr>
            <w:tcW w:w="405" w:type="pct"/>
            <w:shd w:val="clear" w:color="auto" w:fill="auto"/>
            <w:vAlign w:val="center"/>
          </w:tcPr>
          <w:p w14:paraId="3C5D59F8"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64515C87" w14:textId="77777777" w:rsidR="00AB379C" w:rsidRPr="00D54752" w:rsidRDefault="00AB379C" w:rsidP="007055F6">
            <w:pPr>
              <w:ind w:right="-102"/>
              <w:jc w:val="center"/>
              <w:rPr>
                <w:rFonts w:eastAsia="Times New Roman" w:cstheme="minorHAnsi"/>
                <w:lang w:bidi="ar-SA"/>
              </w:rPr>
            </w:pPr>
            <w:r w:rsidRPr="00D54752">
              <w:rPr>
                <w:rFonts w:cstheme="minorHAnsi"/>
              </w:rPr>
              <w:t>64.8%</w:t>
            </w:r>
          </w:p>
        </w:tc>
        <w:tc>
          <w:tcPr>
            <w:tcW w:w="343" w:type="pct"/>
            <w:shd w:val="clear" w:color="auto" w:fill="auto"/>
            <w:vAlign w:val="center"/>
          </w:tcPr>
          <w:p w14:paraId="2057944A"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35" w:type="pct"/>
            <w:shd w:val="clear" w:color="auto" w:fill="auto"/>
            <w:vAlign w:val="center"/>
          </w:tcPr>
          <w:p w14:paraId="5AE0AE47" w14:textId="68DF0A36" w:rsidR="00AB379C" w:rsidRPr="00D54752" w:rsidRDefault="00D54752" w:rsidP="007055F6">
            <w:pPr>
              <w:ind w:right="-102"/>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2F837B8B" w14:textId="77777777" w:rsidTr="00640BDE">
        <w:trPr>
          <w:cantSplit/>
          <w:trHeight w:val="144"/>
        </w:trPr>
        <w:tc>
          <w:tcPr>
            <w:tcW w:w="286" w:type="pct"/>
            <w:shd w:val="clear" w:color="auto" w:fill="FFFFFF" w:themeFill="background1"/>
            <w:vAlign w:val="center"/>
            <w:hideMark/>
          </w:tcPr>
          <w:p w14:paraId="7D0E7487"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60" w:type="pct"/>
            <w:shd w:val="clear" w:color="auto" w:fill="FFFFFF" w:themeFill="background1"/>
            <w:vAlign w:val="center"/>
            <w:hideMark/>
          </w:tcPr>
          <w:p w14:paraId="2E9959DA" w14:textId="2C254E82"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Annual Dental Visit (</w:t>
            </w:r>
            <w:r w:rsidR="00EA2591">
              <w:rPr>
                <w:rFonts w:eastAsia="Times New Roman" w:cstheme="minorHAnsi"/>
                <w:lang w:bidi="ar-SA"/>
              </w:rPr>
              <w:t xml:space="preserve">Ages </w:t>
            </w:r>
            <w:r w:rsidRPr="00D54752">
              <w:rPr>
                <w:rFonts w:eastAsia="Times New Roman" w:cstheme="minorHAnsi"/>
                <w:lang w:bidi="ar-SA"/>
              </w:rPr>
              <w:t>7–10 years)</w:t>
            </w:r>
          </w:p>
        </w:tc>
        <w:tc>
          <w:tcPr>
            <w:tcW w:w="312" w:type="pct"/>
            <w:shd w:val="clear" w:color="auto" w:fill="auto"/>
            <w:vAlign w:val="center"/>
          </w:tcPr>
          <w:p w14:paraId="4C18CEF2" w14:textId="77777777" w:rsidR="00AB379C" w:rsidRPr="00D54752" w:rsidRDefault="00AB379C" w:rsidP="007055F6">
            <w:pPr>
              <w:ind w:right="-102"/>
              <w:jc w:val="center"/>
              <w:rPr>
                <w:rFonts w:eastAsia="Times New Roman" w:cstheme="minorHAnsi"/>
                <w:lang w:bidi="ar-SA"/>
              </w:rPr>
            </w:pPr>
            <w:r w:rsidRPr="00D54752">
              <w:rPr>
                <w:rFonts w:cstheme="minorHAnsi"/>
              </w:rPr>
              <w:t>6,958</w:t>
            </w:r>
          </w:p>
        </w:tc>
        <w:tc>
          <w:tcPr>
            <w:tcW w:w="281" w:type="pct"/>
            <w:shd w:val="clear" w:color="auto" w:fill="auto"/>
            <w:vAlign w:val="center"/>
          </w:tcPr>
          <w:p w14:paraId="6EC7F014" w14:textId="77777777" w:rsidR="00AB379C" w:rsidRPr="00D54752" w:rsidRDefault="00AB379C" w:rsidP="007055F6">
            <w:pPr>
              <w:ind w:right="-102"/>
              <w:jc w:val="center"/>
              <w:rPr>
                <w:rFonts w:eastAsia="Times New Roman" w:cstheme="minorHAnsi"/>
                <w:lang w:bidi="ar-SA"/>
              </w:rPr>
            </w:pPr>
            <w:r w:rsidRPr="00D54752">
              <w:rPr>
                <w:rFonts w:cstheme="minorHAnsi"/>
              </w:rPr>
              <w:t>4,594</w:t>
            </w:r>
          </w:p>
        </w:tc>
        <w:tc>
          <w:tcPr>
            <w:tcW w:w="312" w:type="pct"/>
            <w:shd w:val="clear" w:color="auto" w:fill="auto"/>
            <w:vAlign w:val="center"/>
          </w:tcPr>
          <w:p w14:paraId="07522B20"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66.0%</w:t>
            </w:r>
          </w:p>
        </w:tc>
        <w:tc>
          <w:tcPr>
            <w:tcW w:w="343" w:type="pct"/>
            <w:shd w:val="clear" w:color="auto" w:fill="auto"/>
            <w:vAlign w:val="center"/>
          </w:tcPr>
          <w:p w14:paraId="764D27D7" w14:textId="77777777" w:rsidR="00AB379C" w:rsidRPr="00D54752" w:rsidRDefault="00AB379C" w:rsidP="007055F6">
            <w:pPr>
              <w:ind w:right="-102"/>
              <w:jc w:val="center"/>
              <w:rPr>
                <w:rFonts w:eastAsia="Times New Roman" w:cstheme="minorHAnsi"/>
                <w:lang w:bidi="ar-SA"/>
              </w:rPr>
            </w:pPr>
            <w:r w:rsidRPr="00D54752">
              <w:rPr>
                <w:rFonts w:cstheme="minorHAnsi"/>
              </w:rPr>
              <w:t>64.9%</w:t>
            </w:r>
          </w:p>
        </w:tc>
        <w:tc>
          <w:tcPr>
            <w:tcW w:w="374" w:type="pct"/>
            <w:shd w:val="clear" w:color="auto" w:fill="auto"/>
            <w:vAlign w:val="center"/>
          </w:tcPr>
          <w:p w14:paraId="08FE4C4F" w14:textId="77777777" w:rsidR="00AB379C" w:rsidRPr="00D54752" w:rsidRDefault="00AB379C" w:rsidP="007055F6">
            <w:pPr>
              <w:ind w:right="-102"/>
              <w:jc w:val="center"/>
              <w:rPr>
                <w:rFonts w:eastAsia="Times New Roman" w:cstheme="minorHAnsi"/>
                <w:lang w:bidi="ar-SA"/>
              </w:rPr>
            </w:pPr>
            <w:r w:rsidRPr="00D54752">
              <w:rPr>
                <w:rFonts w:cstheme="minorHAnsi"/>
              </w:rPr>
              <w:t>67.1%</w:t>
            </w:r>
          </w:p>
        </w:tc>
        <w:tc>
          <w:tcPr>
            <w:tcW w:w="405" w:type="pct"/>
            <w:shd w:val="clear" w:color="auto" w:fill="auto"/>
            <w:vAlign w:val="center"/>
          </w:tcPr>
          <w:p w14:paraId="1EC22714" w14:textId="77777777" w:rsidR="00AB379C" w:rsidRPr="00D54752" w:rsidRDefault="00AB379C" w:rsidP="007055F6">
            <w:pPr>
              <w:ind w:right="-102"/>
              <w:jc w:val="center"/>
              <w:rPr>
                <w:rFonts w:eastAsia="Times New Roman" w:cstheme="minorHAnsi"/>
                <w:lang w:bidi="ar-SA"/>
              </w:rPr>
            </w:pPr>
            <w:r w:rsidRPr="00D54752">
              <w:rPr>
                <w:rFonts w:cstheme="minorHAnsi"/>
              </w:rPr>
              <w:t>61.9%</w:t>
            </w:r>
          </w:p>
        </w:tc>
        <w:tc>
          <w:tcPr>
            <w:tcW w:w="405" w:type="pct"/>
            <w:shd w:val="clear" w:color="auto" w:fill="auto"/>
            <w:vAlign w:val="center"/>
          </w:tcPr>
          <w:p w14:paraId="1961DC78"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343" w:type="pct"/>
            <w:shd w:val="clear" w:color="auto" w:fill="auto"/>
            <w:vAlign w:val="center"/>
          </w:tcPr>
          <w:p w14:paraId="5A53B5E4" w14:textId="77777777" w:rsidR="00AB379C" w:rsidRPr="00D54752" w:rsidRDefault="00AB379C" w:rsidP="007055F6">
            <w:pPr>
              <w:ind w:right="-102"/>
              <w:jc w:val="center"/>
              <w:rPr>
                <w:rFonts w:eastAsia="Times New Roman" w:cstheme="minorHAnsi"/>
                <w:lang w:bidi="ar-SA"/>
              </w:rPr>
            </w:pPr>
            <w:r w:rsidRPr="00D54752">
              <w:rPr>
                <w:rFonts w:cstheme="minorHAnsi"/>
              </w:rPr>
              <w:t>68.7%</w:t>
            </w:r>
          </w:p>
        </w:tc>
        <w:tc>
          <w:tcPr>
            <w:tcW w:w="343" w:type="pct"/>
            <w:shd w:val="clear" w:color="auto" w:fill="auto"/>
            <w:vAlign w:val="center"/>
          </w:tcPr>
          <w:p w14:paraId="5875E4E9"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35" w:type="pct"/>
            <w:shd w:val="clear" w:color="auto" w:fill="auto"/>
            <w:vAlign w:val="center"/>
          </w:tcPr>
          <w:p w14:paraId="3DDBACDD" w14:textId="0620343F" w:rsidR="00AB379C" w:rsidRPr="00D54752" w:rsidRDefault="00D54752" w:rsidP="007055F6">
            <w:pPr>
              <w:ind w:right="-102"/>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4B2F9F5B" w14:textId="77777777" w:rsidTr="00640BDE">
        <w:trPr>
          <w:cantSplit/>
          <w:trHeight w:val="144"/>
        </w:trPr>
        <w:tc>
          <w:tcPr>
            <w:tcW w:w="286" w:type="pct"/>
            <w:shd w:val="clear" w:color="auto" w:fill="FFFFFF" w:themeFill="background1"/>
            <w:vAlign w:val="center"/>
            <w:hideMark/>
          </w:tcPr>
          <w:p w14:paraId="6227547E"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60" w:type="pct"/>
            <w:shd w:val="clear" w:color="auto" w:fill="FFFFFF" w:themeFill="background1"/>
            <w:vAlign w:val="center"/>
            <w:hideMark/>
          </w:tcPr>
          <w:p w14:paraId="19E14D2D" w14:textId="6355B9E4"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Annual Dental Visit (</w:t>
            </w:r>
            <w:r w:rsidR="00EA2591">
              <w:rPr>
                <w:rFonts w:eastAsia="Times New Roman" w:cstheme="minorHAnsi"/>
                <w:lang w:bidi="ar-SA"/>
              </w:rPr>
              <w:t xml:space="preserve">Ages </w:t>
            </w:r>
            <w:r w:rsidRPr="00D54752">
              <w:rPr>
                <w:rFonts w:eastAsia="Times New Roman" w:cstheme="minorHAnsi"/>
                <w:lang w:bidi="ar-SA"/>
              </w:rPr>
              <w:t>11–14 years)</w:t>
            </w:r>
          </w:p>
        </w:tc>
        <w:tc>
          <w:tcPr>
            <w:tcW w:w="312" w:type="pct"/>
            <w:shd w:val="clear" w:color="auto" w:fill="auto"/>
            <w:vAlign w:val="center"/>
          </w:tcPr>
          <w:p w14:paraId="735A844C" w14:textId="77777777" w:rsidR="00AB379C" w:rsidRPr="00D54752" w:rsidRDefault="00AB379C" w:rsidP="007055F6">
            <w:pPr>
              <w:ind w:right="-102"/>
              <w:jc w:val="center"/>
              <w:rPr>
                <w:rFonts w:eastAsia="Times New Roman" w:cstheme="minorHAnsi"/>
                <w:lang w:bidi="ar-SA"/>
              </w:rPr>
            </w:pPr>
            <w:r w:rsidRPr="00D54752">
              <w:rPr>
                <w:rFonts w:cstheme="minorHAnsi"/>
              </w:rPr>
              <w:t>7,380</w:t>
            </w:r>
          </w:p>
        </w:tc>
        <w:tc>
          <w:tcPr>
            <w:tcW w:w="281" w:type="pct"/>
            <w:shd w:val="clear" w:color="auto" w:fill="auto"/>
            <w:vAlign w:val="center"/>
          </w:tcPr>
          <w:p w14:paraId="7292465A" w14:textId="77777777" w:rsidR="00AB379C" w:rsidRPr="00D54752" w:rsidRDefault="00AB379C" w:rsidP="007055F6">
            <w:pPr>
              <w:ind w:right="-102"/>
              <w:jc w:val="center"/>
              <w:rPr>
                <w:rFonts w:eastAsia="Times New Roman" w:cstheme="minorHAnsi"/>
                <w:lang w:bidi="ar-SA"/>
              </w:rPr>
            </w:pPr>
            <w:r w:rsidRPr="00D54752">
              <w:rPr>
                <w:rFonts w:cstheme="minorHAnsi"/>
              </w:rPr>
              <w:t>4,455</w:t>
            </w:r>
          </w:p>
        </w:tc>
        <w:tc>
          <w:tcPr>
            <w:tcW w:w="312" w:type="pct"/>
            <w:shd w:val="clear" w:color="auto" w:fill="auto"/>
            <w:vAlign w:val="center"/>
          </w:tcPr>
          <w:p w14:paraId="70A1D684"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60.4%</w:t>
            </w:r>
          </w:p>
        </w:tc>
        <w:tc>
          <w:tcPr>
            <w:tcW w:w="343" w:type="pct"/>
            <w:shd w:val="clear" w:color="auto" w:fill="auto"/>
            <w:vAlign w:val="center"/>
          </w:tcPr>
          <w:p w14:paraId="0BAF6E7B" w14:textId="77777777" w:rsidR="00AB379C" w:rsidRPr="00D54752" w:rsidRDefault="00AB379C" w:rsidP="007055F6">
            <w:pPr>
              <w:ind w:right="-102"/>
              <w:jc w:val="center"/>
              <w:rPr>
                <w:rFonts w:eastAsia="Times New Roman" w:cstheme="minorHAnsi"/>
                <w:lang w:bidi="ar-SA"/>
              </w:rPr>
            </w:pPr>
            <w:r w:rsidRPr="00D54752">
              <w:rPr>
                <w:rFonts w:cstheme="minorHAnsi"/>
              </w:rPr>
              <w:t>59.2%</w:t>
            </w:r>
          </w:p>
        </w:tc>
        <w:tc>
          <w:tcPr>
            <w:tcW w:w="374" w:type="pct"/>
            <w:shd w:val="clear" w:color="auto" w:fill="auto"/>
            <w:vAlign w:val="center"/>
          </w:tcPr>
          <w:p w14:paraId="642E2725" w14:textId="77777777" w:rsidR="00AB379C" w:rsidRPr="00D54752" w:rsidRDefault="00AB379C" w:rsidP="007055F6">
            <w:pPr>
              <w:ind w:right="-102"/>
              <w:jc w:val="center"/>
              <w:rPr>
                <w:rFonts w:eastAsia="Times New Roman" w:cstheme="minorHAnsi"/>
                <w:lang w:bidi="ar-SA"/>
              </w:rPr>
            </w:pPr>
            <w:r w:rsidRPr="00D54752">
              <w:rPr>
                <w:rFonts w:cstheme="minorHAnsi"/>
              </w:rPr>
              <w:t>61.5%</w:t>
            </w:r>
          </w:p>
        </w:tc>
        <w:tc>
          <w:tcPr>
            <w:tcW w:w="405" w:type="pct"/>
            <w:shd w:val="clear" w:color="auto" w:fill="auto"/>
            <w:vAlign w:val="center"/>
          </w:tcPr>
          <w:p w14:paraId="59A094B3" w14:textId="77777777" w:rsidR="00AB379C" w:rsidRPr="00D54752" w:rsidRDefault="00AB379C" w:rsidP="007055F6">
            <w:pPr>
              <w:ind w:right="-102"/>
              <w:jc w:val="center"/>
              <w:rPr>
                <w:rFonts w:eastAsia="Times New Roman" w:cstheme="minorHAnsi"/>
                <w:lang w:bidi="ar-SA"/>
              </w:rPr>
            </w:pPr>
            <w:r w:rsidRPr="00D54752">
              <w:rPr>
                <w:rFonts w:cstheme="minorHAnsi"/>
              </w:rPr>
              <w:t>56.7%</w:t>
            </w:r>
          </w:p>
        </w:tc>
        <w:tc>
          <w:tcPr>
            <w:tcW w:w="405" w:type="pct"/>
            <w:shd w:val="clear" w:color="auto" w:fill="auto"/>
            <w:vAlign w:val="center"/>
          </w:tcPr>
          <w:p w14:paraId="00758434"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343" w:type="pct"/>
            <w:shd w:val="clear" w:color="auto" w:fill="auto"/>
            <w:vAlign w:val="center"/>
          </w:tcPr>
          <w:p w14:paraId="375D64F4" w14:textId="77777777" w:rsidR="00AB379C" w:rsidRPr="00D54752" w:rsidRDefault="00AB379C" w:rsidP="007055F6">
            <w:pPr>
              <w:ind w:right="-102"/>
              <w:jc w:val="center"/>
              <w:rPr>
                <w:rFonts w:eastAsia="Times New Roman" w:cstheme="minorHAnsi"/>
                <w:lang w:bidi="ar-SA"/>
              </w:rPr>
            </w:pPr>
            <w:r w:rsidRPr="00D54752">
              <w:rPr>
                <w:rFonts w:cstheme="minorHAnsi"/>
              </w:rPr>
              <w:t>64.3%</w:t>
            </w:r>
          </w:p>
        </w:tc>
        <w:tc>
          <w:tcPr>
            <w:tcW w:w="343" w:type="pct"/>
            <w:shd w:val="clear" w:color="auto" w:fill="auto"/>
            <w:vAlign w:val="center"/>
          </w:tcPr>
          <w:p w14:paraId="14F6C8F9"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35" w:type="pct"/>
            <w:shd w:val="clear" w:color="auto" w:fill="auto"/>
            <w:vAlign w:val="center"/>
          </w:tcPr>
          <w:p w14:paraId="5A88BFB6" w14:textId="1E94D92A" w:rsidR="00AB379C" w:rsidRPr="00D54752" w:rsidRDefault="00D54752" w:rsidP="007055F6">
            <w:pPr>
              <w:ind w:right="-102"/>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r w:rsidR="00AB379C" w:rsidRPr="00D54752" w14:paraId="50D0BBC2" w14:textId="77777777" w:rsidTr="00640BDE">
        <w:trPr>
          <w:cantSplit/>
          <w:trHeight w:val="144"/>
        </w:trPr>
        <w:tc>
          <w:tcPr>
            <w:tcW w:w="286" w:type="pct"/>
            <w:shd w:val="clear" w:color="auto" w:fill="FFFFFF" w:themeFill="background1"/>
            <w:vAlign w:val="center"/>
            <w:hideMark/>
          </w:tcPr>
          <w:p w14:paraId="7D0131A8"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60" w:type="pct"/>
            <w:shd w:val="clear" w:color="auto" w:fill="FFFFFF" w:themeFill="background1"/>
            <w:vAlign w:val="center"/>
            <w:hideMark/>
          </w:tcPr>
          <w:p w14:paraId="31DB04CD" w14:textId="74CD492D"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Annual Dental Visit (</w:t>
            </w:r>
            <w:r w:rsidR="00EA2591">
              <w:rPr>
                <w:rFonts w:eastAsia="Times New Roman" w:cstheme="minorHAnsi"/>
                <w:lang w:bidi="ar-SA"/>
              </w:rPr>
              <w:t xml:space="preserve">Ages </w:t>
            </w:r>
            <w:r w:rsidRPr="00D54752">
              <w:rPr>
                <w:rFonts w:eastAsia="Times New Roman" w:cstheme="minorHAnsi"/>
                <w:lang w:bidi="ar-SA"/>
              </w:rPr>
              <w:t>15–18 years)</w:t>
            </w:r>
          </w:p>
        </w:tc>
        <w:tc>
          <w:tcPr>
            <w:tcW w:w="312" w:type="pct"/>
            <w:shd w:val="clear" w:color="auto" w:fill="auto"/>
            <w:vAlign w:val="center"/>
          </w:tcPr>
          <w:p w14:paraId="3A53EF3C" w14:textId="77777777" w:rsidR="00AB379C" w:rsidRPr="00D54752" w:rsidRDefault="00AB379C" w:rsidP="007055F6">
            <w:pPr>
              <w:ind w:right="-102"/>
              <w:jc w:val="center"/>
              <w:rPr>
                <w:rFonts w:eastAsia="Times New Roman" w:cstheme="minorHAnsi"/>
                <w:lang w:bidi="ar-SA"/>
              </w:rPr>
            </w:pPr>
            <w:r w:rsidRPr="00D54752">
              <w:rPr>
                <w:rFonts w:cstheme="minorHAnsi"/>
              </w:rPr>
              <w:t>7,094</w:t>
            </w:r>
          </w:p>
        </w:tc>
        <w:tc>
          <w:tcPr>
            <w:tcW w:w="281" w:type="pct"/>
            <w:shd w:val="clear" w:color="auto" w:fill="auto"/>
            <w:vAlign w:val="center"/>
          </w:tcPr>
          <w:p w14:paraId="410DA491" w14:textId="77777777" w:rsidR="00AB379C" w:rsidRPr="00D54752" w:rsidRDefault="00AB379C" w:rsidP="007055F6">
            <w:pPr>
              <w:ind w:right="-102"/>
              <w:jc w:val="center"/>
              <w:rPr>
                <w:rFonts w:eastAsia="Times New Roman" w:cstheme="minorHAnsi"/>
                <w:lang w:bidi="ar-SA"/>
              </w:rPr>
            </w:pPr>
            <w:r w:rsidRPr="00D54752">
              <w:rPr>
                <w:rFonts w:cstheme="minorHAnsi"/>
              </w:rPr>
              <w:t>3,578</w:t>
            </w:r>
          </w:p>
        </w:tc>
        <w:tc>
          <w:tcPr>
            <w:tcW w:w="312" w:type="pct"/>
            <w:shd w:val="clear" w:color="auto" w:fill="auto"/>
            <w:vAlign w:val="center"/>
          </w:tcPr>
          <w:p w14:paraId="436F2B5D"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50.4%</w:t>
            </w:r>
          </w:p>
        </w:tc>
        <w:tc>
          <w:tcPr>
            <w:tcW w:w="343" w:type="pct"/>
            <w:shd w:val="clear" w:color="auto" w:fill="auto"/>
            <w:vAlign w:val="center"/>
          </w:tcPr>
          <w:p w14:paraId="1ADF5CB7" w14:textId="77777777" w:rsidR="00AB379C" w:rsidRPr="00D54752" w:rsidRDefault="00AB379C" w:rsidP="007055F6">
            <w:pPr>
              <w:ind w:right="-102"/>
              <w:jc w:val="center"/>
              <w:rPr>
                <w:rFonts w:eastAsia="Times New Roman" w:cstheme="minorHAnsi"/>
                <w:lang w:bidi="ar-SA"/>
              </w:rPr>
            </w:pPr>
            <w:r w:rsidRPr="00D54752">
              <w:rPr>
                <w:rFonts w:cstheme="minorHAnsi"/>
              </w:rPr>
              <w:t>49.3%</w:t>
            </w:r>
          </w:p>
        </w:tc>
        <w:tc>
          <w:tcPr>
            <w:tcW w:w="374" w:type="pct"/>
            <w:shd w:val="clear" w:color="auto" w:fill="auto"/>
            <w:vAlign w:val="center"/>
          </w:tcPr>
          <w:p w14:paraId="05F4885D" w14:textId="77777777" w:rsidR="00AB379C" w:rsidRPr="00D54752" w:rsidRDefault="00AB379C" w:rsidP="007055F6">
            <w:pPr>
              <w:ind w:right="-102"/>
              <w:jc w:val="center"/>
              <w:rPr>
                <w:rFonts w:eastAsia="Times New Roman" w:cstheme="minorHAnsi"/>
                <w:lang w:bidi="ar-SA"/>
              </w:rPr>
            </w:pPr>
            <w:r w:rsidRPr="00D54752">
              <w:rPr>
                <w:rFonts w:cstheme="minorHAnsi"/>
              </w:rPr>
              <w:t>51.6%</w:t>
            </w:r>
          </w:p>
        </w:tc>
        <w:tc>
          <w:tcPr>
            <w:tcW w:w="405" w:type="pct"/>
            <w:shd w:val="clear" w:color="auto" w:fill="auto"/>
            <w:vAlign w:val="center"/>
          </w:tcPr>
          <w:p w14:paraId="11200DE3" w14:textId="77777777" w:rsidR="00AB379C" w:rsidRPr="00D54752" w:rsidRDefault="00AB379C" w:rsidP="007055F6">
            <w:pPr>
              <w:ind w:right="-102"/>
              <w:jc w:val="center"/>
              <w:rPr>
                <w:rFonts w:eastAsia="Times New Roman" w:cstheme="minorHAnsi"/>
                <w:lang w:bidi="ar-SA"/>
              </w:rPr>
            </w:pPr>
            <w:r w:rsidRPr="00D54752">
              <w:rPr>
                <w:rFonts w:cstheme="minorHAnsi"/>
              </w:rPr>
              <w:t>48.4%</w:t>
            </w:r>
          </w:p>
        </w:tc>
        <w:tc>
          <w:tcPr>
            <w:tcW w:w="405" w:type="pct"/>
            <w:shd w:val="clear" w:color="auto" w:fill="auto"/>
            <w:vAlign w:val="center"/>
          </w:tcPr>
          <w:p w14:paraId="15C1767D"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343" w:type="pct"/>
            <w:shd w:val="clear" w:color="auto" w:fill="auto"/>
            <w:vAlign w:val="center"/>
          </w:tcPr>
          <w:p w14:paraId="39EB55A7" w14:textId="77777777" w:rsidR="00AB379C" w:rsidRPr="00D54752" w:rsidRDefault="00AB379C" w:rsidP="007055F6">
            <w:pPr>
              <w:ind w:right="-102"/>
              <w:jc w:val="center"/>
              <w:rPr>
                <w:rFonts w:eastAsia="Times New Roman" w:cstheme="minorHAnsi"/>
                <w:lang w:bidi="ar-SA"/>
              </w:rPr>
            </w:pPr>
            <w:r w:rsidRPr="00D54752">
              <w:rPr>
                <w:rFonts w:cstheme="minorHAnsi"/>
              </w:rPr>
              <w:t>54.4%</w:t>
            </w:r>
          </w:p>
        </w:tc>
        <w:tc>
          <w:tcPr>
            <w:tcW w:w="343" w:type="pct"/>
            <w:shd w:val="clear" w:color="auto" w:fill="auto"/>
            <w:vAlign w:val="center"/>
          </w:tcPr>
          <w:p w14:paraId="1441C302"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35" w:type="pct"/>
            <w:shd w:val="clear" w:color="auto" w:fill="auto"/>
            <w:vAlign w:val="center"/>
          </w:tcPr>
          <w:p w14:paraId="39E2E750" w14:textId="137186F8" w:rsidR="00AB379C" w:rsidRPr="00D54752" w:rsidRDefault="00D54752" w:rsidP="007055F6">
            <w:pPr>
              <w:ind w:right="-102"/>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r w:rsidR="00AB379C" w:rsidRPr="00D54752" w14:paraId="4511C581" w14:textId="77777777" w:rsidTr="00640BDE">
        <w:trPr>
          <w:cantSplit/>
          <w:trHeight w:val="144"/>
        </w:trPr>
        <w:tc>
          <w:tcPr>
            <w:tcW w:w="286" w:type="pct"/>
            <w:shd w:val="clear" w:color="auto" w:fill="FFFFFF" w:themeFill="background1"/>
            <w:vAlign w:val="center"/>
            <w:hideMark/>
          </w:tcPr>
          <w:p w14:paraId="72BFD731"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60" w:type="pct"/>
            <w:shd w:val="clear" w:color="auto" w:fill="FFFFFF" w:themeFill="background1"/>
            <w:vAlign w:val="center"/>
            <w:hideMark/>
          </w:tcPr>
          <w:p w14:paraId="44AF6B36" w14:textId="4B5E80FC"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Annual Dental Visit (</w:t>
            </w:r>
            <w:r w:rsidR="00EA2591">
              <w:rPr>
                <w:rFonts w:eastAsia="Times New Roman" w:cstheme="minorHAnsi"/>
                <w:lang w:bidi="ar-SA"/>
              </w:rPr>
              <w:t xml:space="preserve">Age </w:t>
            </w:r>
            <w:r w:rsidRPr="00D54752">
              <w:rPr>
                <w:rFonts w:eastAsia="Times New Roman" w:cstheme="minorHAnsi"/>
                <w:lang w:bidi="ar-SA"/>
              </w:rPr>
              <w:t>19 years)</w:t>
            </w:r>
          </w:p>
        </w:tc>
        <w:tc>
          <w:tcPr>
            <w:tcW w:w="312" w:type="pct"/>
            <w:shd w:val="clear" w:color="auto" w:fill="auto"/>
            <w:vAlign w:val="center"/>
          </w:tcPr>
          <w:p w14:paraId="18B0CC90" w14:textId="77777777" w:rsidR="00AB379C" w:rsidRPr="00D54752" w:rsidRDefault="00AB379C" w:rsidP="007055F6">
            <w:pPr>
              <w:ind w:right="-102"/>
              <w:jc w:val="center"/>
              <w:rPr>
                <w:rFonts w:eastAsia="Times New Roman" w:cstheme="minorHAnsi"/>
                <w:lang w:bidi="ar-SA"/>
              </w:rPr>
            </w:pPr>
            <w:r w:rsidRPr="00D54752">
              <w:rPr>
                <w:rFonts w:cstheme="minorHAnsi"/>
              </w:rPr>
              <w:t>127</w:t>
            </w:r>
          </w:p>
        </w:tc>
        <w:tc>
          <w:tcPr>
            <w:tcW w:w="281" w:type="pct"/>
            <w:shd w:val="clear" w:color="auto" w:fill="auto"/>
            <w:vAlign w:val="center"/>
          </w:tcPr>
          <w:p w14:paraId="51A470E6" w14:textId="77777777" w:rsidR="00AB379C" w:rsidRPr="00D54752" w:rsidRDefault="00AB379C" w:rsidP="007055F6">
            <w:pPr>
              <w:ind w:right="-102"/>
              <w:jc w:val="center"/>
              <w:rPr>
                <w:rFonts w:eastAsia="Times New Roman" w:cstheme="minorHAnsi"/>
                <w:lang w:bidi="ar-SA"/>
              </w:rPr>
            </w:pPr>
            <w:r w:rsidRPr="00D54752">
              <w:rPr>
                <w:rFonts w:cstheme="minorHAnsi"/>
              </w:rPr>
              <w:t>50</w:t>
            </w:r>
          </w:p>
        </w:tc>
        <w:tc>
          <w:tcPr>
            <w:tcW w:w="312" w:type="pct"/>
            <w:shd w:val="clear" w:color="auto" w:fill="auto"/>
            <w:vAlign w:val="center"/>
          </w:tcPr>
          <w:p w14:paraId="2C8C176D"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39.4%</w:t>
            </w:r>
          </w:p>
        </w:tc>
        <w:tc>
          <w:tcPr>
            <w:tcW w:w="343" w:type="pct"/>
            <w:shd w:val="clear" w:color="auto" w:fill="auto"/>
            <w:vAlign w:val="center"/>
          </w:tcPr>
          <w:p w14:paraId="156B6B58" w14:textId="77777777" w:rsidR="00AB379C" w:rsidRPr="00D54752" w:rsidRDefault="00AB379C" w:rsidP="007055F6">
            <w:pPr>
              <w:ind w:right="-102"/>
              <w:jc w:val="center"/>
              <w:rPr>
                <w:rFonts w:eastAsia="Times New Roman" w:cstheme="minorHAnsi"/>
                <w:lang w:bidi="ar-SA"/>
              </w:rPr>
            </w:pPr>
            <w:r w:rsidRPr="00D54752">
              <w:rPr>
                <w:rFonts w:cstheme="minorHAnsi"/>
              </w:rPr>
              <w:t>30.5%</w:t>
            </w:r>
          </w:p>
        </w:tc>
        <w:tc>
          <w:tcPr>
            <w:tcW w:w="374" w:type="pct"/>
            <w:shd w:val="clear" w:color="auto" w:fill="auto"/>
            <w:vAlign w:val="center"/>
          </w:tcPr>
          <w:p w14:paraId="5501D207" w14:textId="77777777" w:rsidR="00AB379C" w:rsidRPr="00D54752" w:rsidRDefault="00AB379C" w:rsidP="007055F6">
            <w:pPr>
              <w:ind w:right="-102"/>
              <w:jc w:val="center"/>
              <w:rPr>
                <w:rFonts w:eastAsia="Times New Roman" w:cstheme="minorHAnsi"/>
                <w:lang w:bidi="ar-SA"/>
              </w:rPr>
            </w:pPr>
            <w:r w:rsidRPr="00D54752">
              <w:rPr>
                <w:rFonts w:cstheme="minorHAnsi"/>
              </w:rPr>
              <w:t>48.3%</w:t>
            </w:r>
          </w:p>
        </w:tc>
        <w:tc>
          <w:tcPr>
            <w:tcW w:w="405" w:type="pct"/>
            <w:shd w:val="clear" w:color="auto" w:fill="auto"/>
            <w:vAlign w:val="center"/>
          </w:tcPr>
          <w:p w14:paraId="41E34630" w14:textId="77777777" w:rsidR="00AB379C" w:rsidRPr="00D54752" w:rsidRDefault="00AB379C" w:rsidP="007055F6">
            <w:pPr>
              <w:ind w:right="-102"/>
              <w:jc w:val="center"/>
              <w:rPr>
                <w:rFonts w:eastAsia="Times New Roman" w:cstheme="minorHAnsi"/>
                <w:lang w:bidi="ar-SA"/>
              </w:rPr>
            </w:pPr>
            <w:r w:rsidRPr="00D54752">
              <w:rPr>
                <w:rFonts w:cstheme="minorHAnsi"/>
              </w:rPr>
              <w:t>32.4%</w:t>
            </w:r>
          </w:p>
        </w:tc>
        <w:tc>
          <w:tcPr>
            <w:tcW w:w="405" w:type="pct"/>
            <w:shd w:val="clear" w:color="auto" w:fill="auto"/>
            <w:vAlign w:val="center"/>
          </w:tcPr>
          <w:p w14:paraId="47086BA4"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29164201" w14:textId="77777777" w:rsidR="00AB379C" w:rsidRPr="00D54752" w:rsidRDefault="00AB379C" w:rsidP="007055F6">
            <w:pPr>
              <w:ind w:right="-102"/>
              <w:jc w:val="center"/>
              <w:rPr>
                <w:rFonts w:eastAsia="Times New Roman" w:cstheme="minorHAnsi"/>
                <w:lang w:bidi="ar-SA"/>
              </w:rPr>
            </w:pPr>
            <w:r w:rsidRPr="00D54752">
              <w:rPr>
                <w:rFonts w:cstheme="minorHAnsi"/>
              </w:rPr>
              <w:t>38.4%</w:t>
            </w:r>
          </w:p>
        </w:tc>
        <w:tc>
          <w:tcPr>
            <w:tcW w:w="343" w:type="pct"/>
            <w:shd w:val="clear" w:color="auto" w:fill="auto"/>
            <w:vAlign w:val="center"/>
          </w:tcPr>
          <w:p w14:paraId="55EEE885" w14:textId="77777777" w:rsidR="00AB379C" w:rsidRPr="00D54752" w:rsidRDefault="00AB379C" w:rsidP="007055F6">
            <w:pPr>
              <w:ind w:right="-102"/>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495B0D15" w14:textId="77777777" w:rsidR="00AB379C" w:rsidRPr="00D54752" w:rsidRDefault="00AB379C" w:rsidP="007055F6">
            <w:pPr>
              <w:ind w:right="-102"/>
              <w:jc w:val="center"/>
              <w:rPr>
                <w:rFonts w:eastAsia="Times New Roman" w:cstheme="minorHAnsi"/>
                <w:lang w:bidi="ar-SA"/>
              </w:rPr>
            </w:pPr>
            <w:r w:rsidRPr="00D54752">
              <w:rPr>
                <w:rFonts w:cstheme="minorHAnsi"/>
              </w:rPr>
              <w:t>NA</w:t>
            </w:r>
          </w:p>
        </w:tc>
      </w:tr>
      <w:tr w:rsidR="00AB379C" w:rsidRPr="00D54752" w14:paraId="647DEF6D" w14:textId="77777777" w:rsidTr="00640BDE">
        <w:trPr>
          <w:cantSplit/>
          <w:trHeight w:val="144"/>
        </w:trPr>
        <w:tc>
          <w:tcPr>
            <w:tcW w:w="286" w:type="pct"/>
            <w:shd w:val="clear" w:color="auto" w:fill="FFFFFF" w:themeFill="background1"/>
            <w:vAlign w:val="center"/>
            <w:hideMark/>
          </w:tcPr>
          <w:p w14:paraId="55D2CEC3"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60" w:type="pct"/>
            <w:shd w:val="clear" w:color="auto" w:fill="FFFFFF" w:themeFill="background1"/>
            <w:vAlign w:val="center"/>
            <w:hideMark/>
          </w:tcPr>
          <w:p w14:paraId="1352F412"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Annual Dental Visit (Total)</w:t>
            </w:r>
          </w:p>
        </w:tc>
        <w:tc>
          <w:tcPr>
            <w:tcW w:w="312" w:type="pct"/>
            <w:shd w:val="clear" w:color="auto" w:fill="auto"/>
            <w:vAlign w:val="center"/>
          </w:tcPr>
          <w:p w14:paraId="706A1939" w14:textId="77777777" w:rsidR="00AB379C" w:rsidRPr="00D54752" w:rsidRDefault="00AB379C" w:rsidP="007055F6">
            <w:pPr>
              <w:ind w:right="-102"/>
              <w:jc w:val="center"/>
              <w:rPr>
                <w:rFonts w:eastAsia="Times New Roman" w:cstheme="minorHAnsi"/>
                <w:lang w:bidi="ar-SA"/>
              </w:rPr>
            </w:pPr>
            <w:r w:rsidRPr="00D54752">
              <w:rPr>
                <w:rFonts w:cstheme="minorHAnsi"/>
              </w:rPr>
              <w:t>26,682</w:t>
            </w:r>
          </w:p>
        </w:tc>
        <w:tc>
          <w:tcPr>
            <w:tcW w:w="281" w:type="pct"/>
            <w:shd w:val="clear" w:color="auto" w:fill="auto"/>
            <w:vAlign w:val="center"/>
          </w:tcPr>
          <w:p w14:paraId="315692DF" w14:textId="77777777" w:rsidR="00AB379C" w:rsidRPr="00D54752" w:rsidRDefault="00AB379C" w:rsidP="007055F6">
            <w:pPr>
              <w:ind w:right="-102"/>
              <w:jc w:val="center"/>
              <w:rPr>
                <w:rFonts w:eastAsia="Times New Roman" w:cstheme="minorHAnsi"/>
                <w:lang w:bidi="ar-SA"/>
              </w:rPr>
            </w:pPr>
            <w:r w:rsidRPr="00D54752">
              <w:rPr>
                <w:rFonts w:cstheme="minorHAnsi"/>
              </w:rPr>
              <w:t>15,496</w:t>
            </w:r>
          </w:p>
        </w:tc>
        <w:tc>
          <w:tcPr>
            <w:tcW w:w="312" w:type="pct"/>
            <w:shd w:val="clear" w:color="auto" w:fill="auto"/>
            <w:vAlign w:val="center"/>
          </w:tcPr>
          <w:p w14:paraId="614D55E4"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58.1%</w:t>
            </w:r>
          </w:p>
        </w:tc>
        <w:tc>
          <w:tcPr>
            <w:tcW w:w="343" w:type="pct"/>
            <w:shd w:val="clear" w:color="auto" w:fill="auto"/>
            <w:vAlign w:val="center"/>
          </w:tcPr>
          <w:p w14:paraId="6EE506B5" w14:textId="77777777" w:rsidR="00AB379C" w:rsidRPr="00D54752" w:rsidRDefault="00AB379C" w:rsidP="007055F6">
            <w:pPr>
              <w:ind w:right="-102"/>
              <w:jc w:val="center"/>
              <w:rPr>
                <w:rFonts w:eastAsia="Times New Roman" w:cstheme="minorHAnsi"/>
                <w:lang w:bidi="ar-SA"/>
              </w:rPr>
            </w:pPr>
            <w:r w:rsidRPr="00D54752">
              <w:rPr>
                <w:rFonts w:cstheme="minorHAnsi"/>
              </w:rPr>
              <w:t>57.5%</w:t>
            </w:r>
          </w:p>
        </w:tc>
        <w:tc>
          <w:tcPr>
            <w:tcW w:w="374" w:type="pct"/>
            <w:shd w:val="clear" w:color="auto" w:fill="auto"/>
            <w:vAlign w:val="center"/>
          </w:tcPr>
          <w:p w14:paraId="633F49C2" w14:textId="77777777" w:rsidR="00AB379C" w:rsidRPr="00D54752" w:rsidRDefault="00AB379C" w:rsidP="007055F6">
            <w:pPr>
              <w:ind w:right="-102"/>
              <w:jc w:val="center"/>
              <w:rPr>
                <w:rFonts w:eastAsia="Times New Roman" w:cstheme="minorHAnsi"/>
                <w:lang w:bidi="ar-SA"/>
              </w:rPr>
            </w:pPr>
            <w:r w:rsidRPr="00D54752">
              <w:rPr>
                <w:rFonts w:cstheme="minorHAnsi"/>
              </w:rPr>
              <w:t>58.7%</w:t>
            </w:r>
          </w:p>
        </w:tc>
        <w:tc>
          <w:tcPr>
            <w:tcW w:w="405" w:type="pct"/>
            <w:shd w:val="clear" w:color="auto" w:fill="auto"/>
            <w:vAlign w:val="center"/>
          </w:tcPr>
          <w:p w14:paraId="0DFD88FF" w14:textId="77777777" w:rsidR="00AB379C" w:rsidRPr="00D54752" w:rsidRDefault="00AB379C" w:rsidP="007055F6">
            <w:pPr>
              <w:ind w:right="-102"/>
              <w:jc w:val="center"/>
              <w:rPr>
                <w:rFonts w:eastAsia="Times New Roman" w:cstheme="minorHAnsi"/>
                <w:lang w:bidi="ar-SA"/>
              </w:rPr>
            </w:pPr>
            <w:r w:rsidRPr="00D54752">
              <w:rPr>
                <w:rFonts w:cstheme="minorHAnsi"/>
              </w:rPr>
              <w:t>54.7%</w:t>
            </w:r>
          </w:p>
        </w:tc>
        <w:tc>
          <w:tcPr>
            <w:tcW w:w="405" w:type="pct"/>
            <w:shd w:val="clear" w:color="auto" w:fill="auto"/>
            <w:vAlign w:val="center"/>
          </w:tcPr>
          <w:p w14:paraId="527D593B"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343" w:type="pct"/>
            <w:shd w:val="clear" w:color="auto" w:fill="auto"/>
            <w:vAlign w:val="center"/>
          </w:tcPr>
          <w:p w14:paraId="2DD507EC" w14:textId="77777777" w:rsidR="00AB379C" w:rsidRPr="00D54752" w:rsidRDefault="00AB379C" w:rsidP="007055F6">
            <w:pPr>
              <w:ind w:right="-102"/>
              <w:jc w:val="center"/>
              <w:rPr>
                <w:rFonts w:eastAsia="Times New Roman" w:cstheme="minorHAnsi"/>
                <w:lang w:bidi="ar-SA"/>
              </w:rPr>
            </w:pPr>
            <w:r w:rsidRPr="00D54752">
              <w:rPr>
                <w:rFonts w:cstheme="minorHAnsi"/>
              </w:rPr>
              <w:t>61.5%</w:t>
            </w:r>
          </w:p>
        </w:tc>
        <w:tc>
          <w:tcPr>
            <w:tcW w:w="343" w:type="pct"/>
            <w:shd w:val="clear" w:color="auto" w:fill="auto"/>
            <w:vAlign w:val="center"/>
          </w:tcPr>
          <w:p w14:paraId="609DBA41"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35" w:type="pct"/>
            <w:shd w:val="clear" w:color="auto" w:fill="auto"/>
            <w:vAlign w:val="center"/>
          </w:tcPr>
          <w:p w14:paraId="1DFF416F" w14:textId="77777777" w:rsidR="00AB379C" w:rsidRPr="00D54752" w:rsidRDefault="00AB379C" w:rsidP="007055F6">
            <w:pPr>
              <w:ind w:right="-102"/>
              <w:jc w:val="center"/>
              <w:rPr>
                <w:rFonts w:eastAsia="Times New Roman" w:cstheme="minorHAnsi"/>
                <w:lang w:bidi="ar-SA"/>
              </w:rPr>
            </w:pPr>
            <w:r w:rsidRPr="00D54752">
              <w:rPr>
                <w:rFonts w:cstheme="minorHAnsi"/>
              </w:rPr>
              <w:t>NA</w:t>
            </w:r>
          </w:p>
        </w:tc>
      </w:tr>
      <w:tr w:rsidR="00AB379C" w:rsidRPr="00D54752" w14:paraId="58B0CB40" w14:textId="77777777" w:rsidTr="00640BDE">
        <w:trPr>
          <w:cantSplit/>
          <w:trHeight w:val="144"/>
        </w:trPr>
        <w:tc>
          <w:tcPr>
            <w:tcW w:w="286" w:type="pct"/>
            <w:shd w:val="clear" w:color="auto" w:fill="FFFFFF" w:themeFill="background1"/>
            <w:vAlign w:val="center"/>
            <w:hideMark/>
          </w:tcPr>
          <w:p w14:paraId="4E5719F7"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PA EQR</w:t>
            </w:r>
          </w:p>
        </w:tc>
        <w:tc>
          <w:tcPr>
            <w:tcW w:w="1060" w:type="pct"/>
            <w:shd w:val="clear" w:color="auto" w:fill="FFFFFF" w:themeFill="background1"/>
            <w:vAlign w:val="center"/>
            <w:hideMark/>
          </w:tcPr>
          <w:p w14:paraId="7E8BEBBF"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Sealant Receipt on Permanent First Molars</w:t>
            </w:r>
            <w:r w:rsidRPr="00D54752">
              <w:rPr>
                <w:rFonts w:eastAsia="Times New Roman" w:cstheme="minorHAnsi"/>
                <w:lang w:bidi="ar-SA"/>
              </w:rPr>
              <w:br/>
              <w:t>(≥ 1 Molar)</w:t>
            </w:r>
          </w:p>
        </w:tc>
        <w:tc>
          <w:tcPr>
            <w:tcW w:w="312" w:type="pct"/>
            <w:shd w:val="clear" w:color="auto" w:fill="auto"/>
            <w:vAlign w:val="center"/>
          </w:tcPr>
          <w:p w14:paraId="58E0087A" w14:textId="77777777" w:rsidR="00AB379C" w:rsidRPr="00D54752" w:rsidRDefault="00AB379C" w:rsidP="007055F6">
            <w:pPr>
              <w:ind w:right="-102"/>
              <w:jc w:val="center"/>
              <w:rPr>
                <w:rFonts w:eastAsia="Times New Roman" w:cstheme="minorHAnsi"/>
                <w:lang w:bidi="ar-SA"/>
              </w:rPr>
            </w:pPr>
            <w:r w:rsidRPr="00D54752">
              <w:rPr>
                <w:rFonts w:cstheme="minorHAnsi"/>
              </w:rPr>
              <w:t>1,920</w:t>
            </w:r>
          </w:p>
        </w:tc>
        <w:tc>
          <w:tcPr>
            <w:tcW w:w="281" w:type="pct"/>
            <w:shd w:val="clear" w:color="auto" w:fill="auto"/>
            <w:vAlign w:val="center"/>
          </w:tcPr>
          <w:p w14:paraId="25B22788" w14:textId="77777777" w:rsidR="00AB379C" w:rsidRPr="00D54752" w:rsidRDefault="00AB379C" w:rsidP="007055F6">
            <w:pPr>
              <w:ind w:right="-102"/>
              <w:jc w:val="center"/>
              <w:rPr>
                <w:rFonts w:eastAsia="Times New Roman" w:cstheme="minorHAnsi"/>
                <w:lang w:bidi="ar-SA"/>
              </w:rPr>
            </w:pPr>
            <w:r w:rsidRPr="00D54752">
              <w:rPr>
                <w:rFonts w:cstheme="minorHAnsi"/>
              </w:rPr>
              <w:t>544</w:t>
            </w:r>
          </w:p>
        </w:tc>
        <w:tc>
          <w:tcPr>
            <w:tcW w:w="312" w:type="pct"/>
            <w:shd w:val="clear" w:color="auto" w:fill="auto"/>
            <w:vAlign w:val="center"/>
          </w:tcPr>
          <w:p w14:paraId="3EA365DF"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28.3%</w:t>
            </w:r>
          </w:p>
        </w:tc>
        <w:tc>
          <w:tcPr>
            <w:tcW w:w="343" w:type="pct"/>
            <w:shd w:val="clear" w:color="auto" w:fill="auto"/>
            <w:vAlign w:val="center"/>
          </w:tcPr>
          <w:p w14:paraId="1D87F135" w14:textId="77777777" w:rsidR="00AB379C" w:rsidRPr="00D54752" w:rsidRDefault="00AB379C" w:rsidP="007055F6">
            <w:pPr>
              <w:ind w:right="-102"/>
              <w:jc w:val="center"/>
              <w:rPr>
                <w:rFonts w:eastAsia="Times New Roman" w:cstheme="minorHAnsi"/>
                <w:lang w:bidi="ar-SA"/>
              </w:rPr>
            </w:pPr>
            <w:r w:rsidRPr="00D54752">
              <w:rPr>
                <w:rFonts w:cstheme="minorHAnsi"/>
              </w:rPr>
              <w:t>26.3%</w:t>
            </w:r>
          </w:p>
        </w:tc>
        <w:tc>
          <w:tcPr>
            <w:tcW w:w="374" w:type="pct"/>
            <w:shd w:val="clear" w:color="auto" w:fill="auto"/>
            <w:vAlign w:val="center"/>
          </w:tcPr>
          <w:p w14:paraId="033D45E4" w14:textId="77777777" w:rsidR="00AB379C" w:rsidRPr="00D54752" w:rsidRDefault="00AB379C" w:rsidP="007055F6">
            <w:pPr>
              <w:ind w:right="-102"/>
              <w:jc w:val="center"/>
              <w:rPr>
                <w:rFonts w:eastAsia="Times New Roman" w:cstheme="minorHAnsi"/>
                <w:lang w:bidi="ar-SA"/>
              </w:rPr>
            </w:pPr>
            <w:r w:rsidRPr="00D54752">
              <w:rPr>
                <w:rFonts w:cstheme="minorHAnsi"/>
              </w:rPr>
              <w:t>30.4%</w:t>
            </w:r>
          </w:p>
        </w:tc>
        <w:tc>
          <w:tcPr>
            <w:tcW w:w="405" w:type="pct"/>
            <w:shd w:val="clear" w:color="auto" w:fill="auto"/>
            <w:vAlign w:val="center"/>
          </w:tcPr>
          <w:p w14:paraId="60AEE1D1" w14:textId="77777777" w:rsidR="00AB379C" w:rsidRPr="00D54752" w:rsidRDefault="00AB379C" w:rsidP="007055F6">
            <w:pPr>
              <w:ind w:right="-102"/>
              <w:jc w:val="center"/>
              <w:rPr>
                <w:rFonts w:eastAsia="Times New Roman" w:cstheme="minorHAnsi"/>
                <w:lang w:bidi="ar-SA"/>
              </w:rPr>
            </w:pPr>
            <w:r w:rsidRPr="00D54752">
              <w:rPr>
                <w:rFonts w:cstheme="minorHAnsi"/>
              </w:rPr>
              <w:t>33.9%</w:t>
            </w:r>
          </w:p>
        </w:tc>
        <w:tc>
          <w:tcPr>
            <w:tcW w:w="405" w:type="pct"/>
            <w:shd w:val="clear" w:color="auto" w:fill="auto"/>
            <w:vAlign w:val="center"/>
          </w:tcPr>
          <w:p w14:paraId="3019EC4A"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343" w:type="pct"/>
            <w:shd w:val="clear" w:color="auto" w:fill="auto"/>
            <w:vAlign w:val="center"/>
          </w:tcPr>
          <w:p w14:paraId="6D8AA9CC" w14:textId="77777777" w:rsidR="00AB379C" w:rsidRPr="00D54752" w:rsidRDefault="00AB379C" w:rsidP="007055F6">
            <w:pPr>
              <w:ind w:right="-102"/>
              <w:jc w:val="center"/>
              <w:rPr>
                <w:rFonts w:eastAsia="Times New Roman" w:cstheme="minorHAnsi"/>
                <w:lang w:bidi="ar-SA"/>
              </w:rPr>
            </w:pPr>
            <w:r w:rsidRPr="00D54752">
              <w:rPr>
                <w:rFonts w:cstheme="minorHAnsi"/>
              </w:rPr>
              <w:t>38.6%</w:t>
            </w:r>
          </w:p>
        </w:tc>
        <w:tc>
          <w:tcPr>
            <w:tcW w:w="343" w:type="pct"/>
            <w:shd w:val="clear" w:color="auto" w:fill="auto"/>
            <w:vAlign w:val="center"/>
          </w:tcPr>
          <w:p w14:paraId="7BA0EBEB"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35" w:type="pct"/>
            <w:shd w:val="clear" w:color="auto" w:fill="auto"/>
            <w:vAlign w:val="center"/>
          </w:tcPr>
          <w:p w14:paraId="67879D77" w14:textId="77777777" w:rsidR="00AB379C" w:rsidRPr="00D54752" w:rsidRDefault="00AB379C" w:rsidP="007055F6">
            <w:pPr>
              <w:ind w:right="-102"/>
              <w:jc w:val="center"/>
              <w:rPr>
                <w:rFonts w:eastAsia="Times New Roman" w:cstheme="minorHAnsi"/>
                <w:lang w:bidi="ar-SA"/>
              </w:rPr>
            </w:pPr>
            <w:r w:rsidRPr="00D54752">
              <w:rPr>
                <w:rFonts w:cstheme="minorHAnsi"/>
              </w:rPr>
              <w:t>NA</w:t>
            </w:r>
          </w:p>
        </w:tc>
      </w:tr>
      <w:tr w:rsidR="00AB379C" w:rsidRPr="00D54752" w14:paraId="294160C1" w14:textId="77777777" w:rsidTr="00640BDE">
        <w:trPr>
          <w:cantSplit/>
          <w:trHeight w:val="144"/>
        </w:trPr>
        <w:tc>
          <w:tcPr>
            <w:tcW w:w="286" w:type="pct"/>
            <w:shd w:val="clear" w:color="auto" w:fill="FFFFFF" w:themeFill="background1"/>
            <w:vAlign w:val="center"/>
            <w:hideMark/>
          </w:tcPr>
          <w:p w14:paraId="11723B1B"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PA EQR</w:t>
            </w:r>
          </w:p>
        </w:tc>
        <w:tc>
          <w:tcPr>
            <w:tcW w:w="1060" w:type="pct"/>
            <w:shd w:val="clear" w:color="auto" w:fill="FFFFFF" w:themeFill="background1"/>
            <w:vAlign w:val="center"/>
            <w:hideMark/>
          </w:tcPr>
          <w:p w14:paraId="66524104" w14:textId="77777777" w:rsidR="00AB379C" w:rsidRPr="00D54752" w:rsidRDefault="00AB379C" w:rsidP="007055F6">
            <w:pPr>
              <w:ind w:left="76" w:right="-102"/>
              <w:jc w:val="left"/>
              <w:rPr>
                <w:rFonts w:eastAsia="Times New Roman" w:cstheme="minorHAnsi"/>
                <w:lang w:bidi="ar-SA"/>
              </w:rPr>
            </w:pPr>
            <w:r w:rsidRPr="00D54752">
              <w:rPr>
                <w:rFonts w:eastAsia="Times New Roman" w:cstheme="minorHAnsi"/>
                <w:lang w:bidi="ar-SA"/>
              </w:rPr>
              <w:t>Sealant Receipt on Permanent First Molars</w:t>
            </w:r>
            <w:r w:rsidRPr="00D54752">
              <w:rPr>
                <w:rFonts w:eastAsia="Times New Roman" w:cstheme="minorHAnsi"/>
                <w:lang w:bidi="ar-SA"/>
              </w:rPr>
              <w:br/>
              <w:t>(All 4 Molars)</w:t>
            </w:r>
          </w:p>
        </w:tc>
        <w:tc>
          <w:tcPr>
            <w:tcW w:w="312" w:type="pct"/>
            <w:shd w:val="clear" w:color="auto" w:fill="auto"/>
            <w:vAlign w:val="center"/>
          </w:tcPr>
          <w:p w14:paraId="7C9517DB" w14:textId="77777777" w:rsidR="00AB379C" w:rsidRPr="00D54752" w:rsidRDefault="00AB379C" w:rsidP="007055F6">
            <w:pPr>
              <w:ind w:right="-102"/>
              <w:jc w:val="center"/>
              <w:rPr>
                <w:rFonts w:eastAsia="Times New Roman" w:cstheme="minorHAnsi"/>
                <w:lang w:bidi="ar-SA"/>
              </w:rPr>
            </w:pPr>
            <w:r w:rsidRPr="00D54752">
              <w:rPr>
                <w:rFonts w:cstheme="minorHAnsi"/>
              </w:rPr>
              <w:t>1,920</w:t>
            </w:r>
          </w:p>
        </w:tc>
        <w:tc>
          <w:tcPr>
            <w:tcW w:w="281" w:type="pct"/>
            <w:shd w:val="clear" w:color="auto" w:fill="auto"/>
            <w:vAlign w:val="center"/>
          </w:tcPr>
          <w:p w14:paraId="7EC131DA" w14:textId="77777777" w:rsidR="00AB379C" w:rsidRPr="00D54752" w:rsidRDefault="00AB379C" w:rsidP="007055F6">
            <w:pPr>
              <w:ind w:right="-102"/>
              <w:jc w:val="center"/>
              <w:rPr>
                <w:rFonts w:eastAsia="Times New Roman" w:cstheme="minorHAnsi"/>
                <w:lang w:bidi="ar-SA"/>
              </w:rPr>
            </w:pPr>
            <w:r w:rsidRPr="00D54752">
              <w:rPr>
                <w:rFonts w:cstheme="minorHAnsi"/>
              </w:rPr>
              <w:t>336</w:t>
            </w:r>
          </w:p>
        </w:tc>
        <w:tc>
          <w:tcPr>
            <w:tcW w:w="312" w:type="pct"/>
            <w:shd w:val="clear" w:color="auto" w:fill="auto"/>
            <w:vAlign w:val="center"/>
          </w:tcPr>
          <w:p w14:paraId="54A27DCB" w14:textId="77777777" w:rsidR="00AB379C" w:rsidRPr="00D54752" w:rsidRDefault="00AB379C" w:rsidP="007055F6">
            <w:pPr>
              <w:ind w:right="-102"/>
              <w:jc w:val="center"/>
              <w:rPr>
                <w:rFonts w:eastAsia="Times New Roman" w:cstheme="minorHAnsi"/>
                <w:b/>
                <w:bCs/>
                <w:lang w:bidi="ar-SA"/>
              </w:rPr>
            </w:pPr>
            <w:r w:rsidRPr="00D54752">
              <w:rPr>
                <w:rFonts w:cstheme="minorHAnsi"/>
                <w:b/>
                <w:bCs/>
              </w:rPr>
              <w:t>17.5%</w:t>
            </w:r>
          </w:p>
        </w:tc>
        <w:tc>
          <w:tcPr>
            <w:tcW w:w="343" w:type="pct"/>
            <w:shd w:val="clear" w:color="auto" w:fill="auto"/>
            <w:vAlign w:val="center"/>
          </w:tcPr>
          <w:p w14:paraId="78C0A97D" w14:textId="77777777" w:rsidR="00AB379C" w:rsidRPr="00D54752" w:rsidRDefault="00AB379C" w:rsidP="007055F6">
            <w:pPr>
              <w:ind w:right="-102"/>
              <w:jc w:val="center"/>
              <w:rPr>
                <w:rFonts w:eastAsia="Times New Roman" w:cstheme="minorHAnsi"/>
                <w:lang w:bidi="ar-SA"/>
              </w:rPr>
            </w:pPr>
            <w:r w:rsidRPr="00D54752">
              <w:rPr>
                <w:rFonts w:cstheme="minorHAnsi"/>
              </w:rPr>
              <w:t>15.8%</w:t>
            </w:r>
          </w:p>
        </w:tc>
        <w:tc>
          <w:tcPr>
            <w:tcW w:w="374" w:type="pct"/>
            <w:shd w:val="clear" w:color="auto" w:fill="auto"/>
            <w:vAlign w:val="center"/>
          </w:tcPr>
          <w:p w14:paraId="12330AF6" w14:textId="77777777" w:rsidR="00AB379C" w:rsidRPr="00D54752" w:rsidRDefault="00AB379C" w:rsidP="007055F6">
            <w:pPr>
              <w:ind w:right="-102"/>
              <w:jc w:val="center"/>
              <w:rPr>
                <w:rFonts w:eastAsia="Times New Roman" w:cstheme="minorHAnsi"/>
                <w:lang w:bidi="ar-SA"/>
              </w:rPr>
            </w:pPr>
            <w:r w:rsidRPr="00D54752">
              <w:rPr>
                <w:rFonts w:cstheme="minorHAnsi"/>
              </w:rPr>
              <w:t>19.2%</w:t>
            </w:r>
          </w:p>
        </w:tc>
        <w:tc>
          <w:tcPr>
            <w:tcW w:w="405" w:type="pct"/>
            <w:shd w:val="clear" w:color="auto" w:fill="auto"/>
            <w:vAlign w:val="center"/>
          </w:tcPr>
          <w:p w14:paraId="4B383E3B" w14:textId="77777777" w:rsidR="00AB379C" w:rsidRPr="00D54752" w:rsidRDefault="00AB379C" w:rsidP="007055F6">
            <w:pPr>
              <w:ind w:right="-102"/>
              <w:jc w:val="center"/>
              <w:rPr>
                <w:rFonts w:eastAsia="Times New Roman" w:cstheme="minorHAnsi"/>
                <w:lang w:bidi="ar-SA"/>
              </w:rPr>
            </w:pPr>
            <w:r w:rsidRPr="00D54752">
              <w:rPr>
                <w:rFonts w:cstheme="minorHAnsi"/>
              </w:rPr>
              <w:t>20.7%</w:t>
            </w:r>
          </w:p>
        </w:tc>
        <w:tc>
          <w:tcPr>
            <w:tcW w:w="405" w:type="pct"/>
            <w:shd w:val="clear" w:color="auto" w:fill="auto"/>
            <w:vAlign w:val="center"/>
          </w:tcPr>
          <w:p w14:paraId="47B8467C"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343" w:type="pct"/>
            <w:shd w:val="clear" w:color="auto" w:fill="auto"/>
            <w:vAlign w:val="center"/>
          </w:tcPr>
          <w:p w14:paraId="0374CFDA" w14:textId="77777777" w:rsidR="00AB379C" w:rsidRPr="00D54752" w:rsidRDefault="00AB379C" w:rsidP="007055F6">
            <w:pPr>
              <w:ind w:right="-102"/>
              <w:jc w:val="center"/>
              <w:rPr>
                <w:rFonts w:eastAsia="Times New Roman" w:cstheme="minorHAnsi"/>
                <w:lang w:bidi="ar-SA"/>
              </w:rPr>
            </w:pPr>
            <w:r w:rsidRPr="00D54752">
              <w:rPr>
                <w:rFonts w:cstheme="minorHAnsi"/>
              </w:rPr>
              <w:t>26.8%</w:t>
            </w:r>
          </w:p>
        </w:tc>
        <w:tc>
          <w:tcPr>
            <w:tcW w:w="343" w:type="pct"/>
            <w:shd w:val="clear" w:color="auto" w:fill="auto"/>
            <w:vAlign w:val="center"/>
          </w:tcPr>
          <w:p w14:paraId="335698A4" w14:textId="77777777" w:rsidR="00AB379C" w:rsidRPr="00D54752" w:rsidRDefault="00AB379C" w:rsidP="007055F6">
            <w:pPr>
              <w:ind w:right="-102"/>
              <w:jc w:val="center"/>
              <w:rPr>
                <w:rFonts w:eastAsia="Times New Roman" w:cstheme="minorHAnsi"/>
                <w:lang w:bidi="ar-SA"/>
              </w:rPr>
            </w:pPr>
            <w:r w:rsidRPr="00D54752">
              <w:rPr>
                <w:rFonts w:cstheme="minorHAnsi"/>
              </w:rPr>
              <w:t>-</w:t>
            </w:r>
          </w:p>
        </w:tc>
        <w:tc>
          <w:tcPr>
            <w:tcW w:w="535" w:type="pct"/>
            <w:shd w:val="clear" w:color="auto" w:fill="auto"/>
            <w:vAlign w:val="center"/>
          </w:tcPr>
          <w:p w14:paraId="1C2A9922" w14:textId="77777777" w:rsidR="00AB379C" w:rsidRPr="00D54752" w:rsidRDefault="00AB379C" w:rsidP="007055F6">
            <w:pPr>
              <w:ind w:right="-102"/>
              <w:jc w:val="center"/>
              <w:rPr>
                <w:rFonts w:eastAsia="Times New Roman" w:cstheme="minorHAnsi"/>
                <w:lang w:bidi="ar-SA"/>
              </w:rPr>
            </w:pPr>
            <w:r w:rsidRPr="00D54752">
              <w:rPr>
                <w:rFonts w:cstheme="minorHAnsi"/>
              </w:rPr>
              <w:t>NA</w:t>
            </w:r>
          </w:p>
        </w:tc>
      </w:tr>
    </w:tbl>
    <w:p w14:paraId="4C2996D1" w14:textId="77777777" w:rsidR="00AB379C" w:rsidRPr="00F7033D" w:rsidRDefault="00AB379C" w:rsidP="009301E4">
      <w:pPr>
        <w:rPr>
          <w:sz w:val="20"/>
          <w:szCs w:val="20"/>
        </w:rPr>
      </w:pPr>
      <w:r w:rsidRPr="00F7033D">
        <w:rPr>
          <w:sz w:val="20"/>
          <w:szCs w:val="20"/>
          <w:vertAlign w:val="superscript"/>
        </w:rPr>
        <w:t>1</w:t>
      </w:r>
      <w:r w:rsidRPr="00F7033D">
        <w:rPr>
          <w:sz w:val="20"/>
          <w:szCs w:val="20"/>
        </w:rPr>
        <w:t xml:space="preserve"> For comparison of MY 202</w:t>
      </w:r>
      <w:r>
        <w:rPr>
          <w:sz w:val="20"/>
          <w:szCs w:val="20"/>
        </w:rPr>
        <w:t>1</w:t>
      </w:r>
      <w:r w:rsidRPr="00F7033D">
        <w:rPr>
          <w:sz w:val="20"/>
          <w:szCs w:val="20"/>
        </w:rPr>
        <w:t xml:space="preserve"> rates to MY 20</w:t>
      </w:r>
      <w:r>
        <w:rPr>
          <w:sz w:val="20"/>
          <w:szCs w:val="20"/>
        </w:rPr>
        <w:t>20</w:t>
      </w:r>
      <w:r w:rsidRPr="00F7033D">
        <w:rPr>
          <w:sz w:val="20"/>
          <w:szCs w:val="20"/>
        </w:rPr>
        <w:t xml:space="preserve"> rates, statistically significant increases are indicated by “+,” statistically significant decreases by “</w:t>
      </w:r>
      <w:r w:rsidRPr="00F7033D">
        <w:rPr>
          <w:rFonts w:cstheme="minorHAnsi"/>
          <w:sz w:val="20"/>
          <w:szCs w:val="20"/>
        </w:rPr>
        <w:t>−</w:t>
      </w:r>
      <w:r w:rsidRPr="00F7033D">
        <w:rPr>
          <w:sz w:val="20"/>
          <w:szCs w:val="20"/>
        </w:rPr>
        <w:t>,” and no statistically significant change by “</w:t>
      </w:r>
      <w:proofErr w:type="spellStart"/>
      <w:r w:rsidRPr="00F7033D">
        <w:rPr>
          <w:sz w:val="20"/>
          <w:szCs w:val="20"/>
        </w:rPr>
        <w:t>n.s</w:t>
      </w:r>
      <w:proofErr w:type="spellEnd"/>
      <w:r w:rsidRPr="00F7033D">
        <w:rPr>
          <w:sz w:val="20"/>
          <w:szCs w:val="20"/>
        </w:rPr>
        <w:t xml:space="preserve">.” </w:t>
      </w:r>
      <w:r w:rsidRPr="00F7033D">
        <w:rPr>
          <w:bCs/>
          <w:sz w:val="20"/>
          <w:szCs w:val="20"/>
        </w:rPr>
        <w:t>For comparison of MY 202</w:t>
      </w:r>
      <w:r>
        <w:rPr>
          <w:bCs/>
          <w:sz w:val="20"/>
          <w:szCs w:val="20"/>
        </w:rPr>
        <w:t>1</w:t>
      </w:r>
      <w:r w:rsidRPr="00F7033D">
        <w:rPr>
          <w:bCs/>
          <w:sz w:val="20"/>
          <w:szCs w:val="20"/>
        </w:rPr>
        <w:t xml:space="preserve"> rates to CHIP MMC rates, the “+” denotes that the plan rate exceeds the CHIP MMC rate, the “</w:t>
      </w:r>
      <w:r w:rsidRPr="00F7033D">
        <w:rPr>
          <w:rFonts w:cstheme="minorHAnsi"/>
          <w:sz w:val="20"/>
          <w:szCs w:val="20"/>
        </w:rPr>
        <w:t>−</w:t>
      </w:r>
      <w:r w:rsidRPr="00F7033D">
        <w:rPr>
          <w:bCs/>
          <w:sz w:val="20"/>
          <w:szCs w:val="20"/>
        </w:rPr>
        <w:t>” denotes that the MMC rate exceeds the plan rate, and “</w:t>
      </w:r>
      <w:proofErr w:type="spellStart"/>
      <w:r w:rsidRPr="00F7033D">
        <w:rPr>
          <w:bCs/>
          <w:sz w:val="20"/>
          <w:szCs w:val="20"/>
        </w:rPr>
        <w:t>n.s</w:t>
      </w:r>
      <w:proofErr w:type="spellEnd"/>
      <w:r w:rsidRPr="00F7033D">
        <w:rPr>
          <w:bCs/>
          <w:sz w:val="20"/>
          <w:szCs w:val="20"/>
        </w:rPr>
        <w:t>.” denotes no statistically significant difference between the two rates. Gray shading indicates IPRO does</w:t>
      </w:r>
      <w:r>
        <w:rPr>
          <w:bCs/>
          <w:sz w:val="20"/>
          <w:szCs w:val="20"/>
        </w:rPr>
        <w:t xml:space="preserve"> </w:t>
      </w:r>
      <w:r w:rsidRPr="00F7033D">
        <w:rPr>
          <w:bCs/>
          <w:sz w:val="20"/>
          <w:szCs w:val="20"/>
        </w:rPr>
        <w:t>n</w:t>
      </w:r>
      <w:r>
        <w:rPr>
          <w:bCs/>
          <w:sz w:val="20"/>
          <w:szCs w:val="20"/>
        </w:rPr>
        <w:t>o</w:t>
      </w:r>
      <w:r w:rsidRPr="00F7033D">
        <w:rPr>
          <w:bCs/>
          <w:sz w:val="20"/>
          <w:szCs w:val="20"/>
        </w:rPr>
        <w:t>t provide or calculate these rates.</w:t>
      </w:r>
    </w:p>
    <w:p w14:paraId="728BAD6F" w14:textId="262D7D5D" w:rsidR="00AB379C" w:rsidRDefault="00AB379C" w:rsidP="009301E4">
      <w:pPr>
        <w:rPr>
          <w:sz w:val="20"/>
          <w:szCs w:val="20"/>
        </w:rPr>
      </w:pPr>
      <w:proofErr w:type="spellStart"/>
      <w:r w:rsidRPr="00F7033D">
        <w:rPr>
          <w:sz w:val="20"/>
          <w:szCs w:val="20"/>
        </w:rPr>
        <w:lastRenderedPageBreak/>
        <w:t>Denom</w:t>
      </w:r>
      <w:proofErr w:type="spellEnd"/>
      <w:r w:rsidRPr="00F7033D">
        <w:rPr>
          <w:sz w:val="20"/>
          <w:szCs w:val="20"/>
        </w:rPr>
        <w:t xml:space="preserve">: denominator; Num: numerator; MY: measurement year; MMC: Medicaid Managed Care; HEDIS: Healthcare Effectiveness Data and Information Set; NA: not available, as no HEDIS percentile is available to compare; </w:t>
      </w:r>
      <w:r w:rsidRPr="002F6375">
        <w:rPr>
          <w:sz w:val="20"/>
          <w:szCs w:val="20"/>
        </w:rPr>
        <w:t>N/A</w:t>
      </w:r>
      <w:r>
        <w:rPr>
          <w:sz w:val="20"/>
          <w:szCs w:val="20"/>
        </w:rPr>
        <w:t>:</w:t>
      </w:r>
      <w:r w:rsidRPr="002F6375">
        <w:rPr>
          <w:sz w:val="20"/>
          <w:szCs w:val="20"/>
        </w:rPr>
        <w:t xml:space="preserve"> not applicable,</w:t>
      </w:r>
      <w:r>
        <w:rPr>
          <w:sz w:val="20"/>
          <w:szCs w:val="20"/>
        </w:rPr>
        <w:t xml:space="preserve"> as denominator is less than 30; </w:t>
      </w:r>
      <w:r w:rsidRPr="00F7033D">
        <w:rPr>
          <w:sz w:val="20"/>
          <w:szCs w:val="20"/>
        </w:rPr>
        <w:t xml:space="preserve"> PA: Pennsylvania; EQR: external quality review.</w:t>
      </w:r>
    </w:p>
    <w:p w14:paraId="3A2F1DDF" w14:textId="77777777" w:rsidR="009301E4" w:rsidRPr="00F7033D" w:rsidRDefault="009301E4" w:rsidP="009301E4">
      <w:pPr>
        <w:rPr>
          <w:sz w:val="20"/>
          <w:szCs w:val="20"/>
        </w:rPr>
      </w:pPr>
    </w:p>
    <w:p w14:paraId="73896F89" w14:textId="77777777" w:rsidR="00AB379C" w:rsidRPr="00F7033D" w:rsidRDefault="00AB379C" w:rsidP="00AB379C">
      <w:pPr>
        <w:pStyle w:val="Heading3"/>
      </w:pPr>
      <w:bookmarkStart w:id="126" w:name="_Toc98922468"/>
      <w:bookmarkStart w:id="127" w:name="_Toc132641625"/>
      <w:r w:rsidRPr="00F7033D">
        <w:t>Respiratory Conditions</w:t>
      </w:r>
      <w:bookmarkEnd w:id="126"/>
      <w:bookmarkEnd w:id="127"/>
    </w:p>
    <w:p w14:paraId="7A88D07B" w14:textId="77777777" w:rsidR="00AB379C" w:rsidRDefault="00AB379C" w:rsidP="00AB379C">
      <w:bookmarkStart w:id="128" w:name="_Toc478563558"/>
      <w:bookmarkStart w:id="129" w:name="_Toc512521057"/>
      <w:r>
        <w:t>S</w:t>
      </w:r>
      <w:r w:rsidRPr="00F7033D">
        <w:t xml:space="preserve">trengths are identified for </w:t>
      </w:r>
      <w:r>
        <w:t xml:space="preserve">the following </w:t>
      </w:r>
      <w:r w:rsidRPr="00F7033D">
        <w:t>202</w:t>
      </w:r>
      <w:r>
        <w:t>2</w:t>
      </w:r>
      <w:r w:rsidRPr="00F7033D">
        <w:t xml:space="preserve"> (MY 202</w:t>
      </w:r>
      <w:r>
        <w:t>1</w:t>
      </w:r>
      <w:r w:rsidRPr="00F7033D">
        <w:t>) Respiratory Conditions performance measures</w:t>
      </w:r>
      <w:r>
        <w:t>:</w:t>
      </w:r>
    </w:p>
    <w:p w14:paraId="6DB2E64F" w14:textId="77777777" w:rsidR="00AB379C" w:rsidRDefault="00AB379C" w:rsidP="00D54752">
      <w:pPr>
        <w:pStyle w:val="ListParagraph"/>
        <w:numPr>
          <w:ilvl w:val="0"/>
          <w:numId w:val="22"/>
        </w:numPr>
      </w:pPr>
      <w:r w:rsidRPr="00F7033D">
        <w:t xml:space="preserve">The following rates are statistically significantly </w:t>
      </w:r>
      <w:r>
        <w:t>above</w:t>
      </w:r>
      <w:r w:rsidRPr="00F7033D">
        <w:t>/</w:t>
      </w:r>
      <w:r>
        <w:t>better</w:t>
      </w:r>
      <w:r w:rsidRPr="00F7033D">
        <w:t xml:space="preserve"> than the 202</w:t>
      </w:r>
      <w:r>
        <w:t>2</w:t>
      </w:r>
      <w:r w:rsidRPr="00F7033D">
        <w:t xml:space="preserve"> (MY 202</w:t>
      </w:r>
      <w:r>
        <w:t>1</w:t>
      </w:r>
      <w:r w:rsidRPr="00F7033D">
        <w:t>) MMC weighted average</w:t>
      </w:r>
      <w:r>
        <w:t>:</w:t>
      </w:r>
    </w:p>
    <w:p w14:paraId="033A46A2" w14:textId="2E53B9A9" w:rsidR="00AB379C" w:rsidRDefault="00AB379C" w:rsidP="00D54752">
      <w:pPr>
        <w:pStyle w:val="ListParagraph"/>
        <w:numPr>
          <w:ilvl w:val="1"/>
          <w:numId w:val="22"/>
        </w:numPr>
        <w:ind w:left="1080"/>
      </w:pPr>
      <w:r>
        <w:t>Appropriate Testing for Children with Pharyngitis (</w:t>
      </w:r>
      <w:r w:rsidR="00EA2591">
        <w:t>Ages</w:t>
      </w:r>
      <w:r>
        <w:t xml:space="preserve"> 3–17 years) – 3.4 percentage points; and</w:t>
      </w:r>
    </w:p>
    <w:p w14:paraId="6DB477E9" w14:textId="30C36B4B" w:rsidR="00AB379C" w:rsidRDefault="00AB379C" w:rsidP="00D54752">
      <w:pPr>
        <w:pStyle w:val="ListParagraph"/>
        <w:numPr>
          <w:ilvl w:val="1"/>
          <w:numId w:val="22"/>
        </w:numPr>
        <w:ind w:left="1080"/>
      </w:pPr>
      <w:r>
        <w:t>Asthma Medication Ratio (</w:t>
      </w:r>
      <w:r w:rsidR="00EA2591">
        <w:t xml:space="preserve">Ages </w:t>
      </w:r>
      <w:r>
        <w:t>5–11 years) – 9.1 percentage points.</w:t>
      </w:r>
    </w:p>
    <w:p w14:paraId="3F69154A" w14:textId="77777777" w:rsidR="00AB379C" w:rsidRPr="00F7033D" w:rsidRDefault="00AB379C" w:rsidP="00AB379C"/>
    <w:p w14:paraId="3D629B2A" w14:textId="77777777" w:rsidR="00AB379C" w:rsidRDefault="00AB379C" w:rsidP="00AB379C">
      <w:r>
        <w:t>No o</w:t>
      </w:r>
      <w:r w:rsidRPr="00F7033D">
        <w:t>pportunities for improvement are identified for the</w:t>
      </w:r>
      <w:r>
        <w:t xml:space="preserve"> </w:t>
      </w:r>
      <w:r w:rsidRPr="00F7033D">
        <w:t>202</w:t>
      </w:r>
      <w:r>
        <w:t>2</w:t>
      </w:r>
      <w:r w:rsidRPr="00F7033D">
        <w:t xml:space="preserve"> (MY 202</w:t>
      </w:r>
      <w:r>
        <w:t>1</w:t>
      </w:r>
      <w:r w:rsidRPr="00F7033D">
        <w:t>) Respiratory Conditions performance measures</w:t>
      </w:r>
      <w:r>
        <w:t>.</w:t>
      </w:r>
    </w:p>
    <w:p w14:paraId="0AE76796" w14:textId="77777777" w:rsidR="00AB379C" w:rsidRPr="00F7033D" w:rsidRDefault="00AB379C" w:rsidP="00AB379C">
      <w:pPr>
        <w:pStyle w:val="tableheading"/>
      </w:pPr>
      <w:bookmarkStart w:id="130" w:name="_Toc98922504"/>
      <w:bookmarkStart w:id="131" w:name="_Toc132641666"/>
      <w:r w:rsidRPr="00F7033D">
        <w:t>Table 2.6: Respiratory Conditions</w:t>
      </w:r>
      <w:bookmarkEnd w:id="128"/>
      <w:bookmarkEnd w:id="129"/>
      <w:bookmarkEnd w:id="130"/>
      <w:bookmarkEnd w:id="131"/>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845"/>
        <w:gridCol w:w="3015"/>
        <w:gridCol w:w="892"/>
        <w:gridCol w:w="800"/>
        <w:gridCol w:w="892"/>
        <w:gridCol w:w="1055"/>
        <w:gridCol w:w="1073"/>
        <w:gridCol w:w="1076"/>
        <w:gridCol w:w="1246"/>
        <w:gridCol w:w="981"/>
        <w:gridCol w:w="981"/>
        <w:gridCol w:w="1534"/>
      </w:tblGrid>
      <w:tr w:rsidR="00AB379C" w:rsidRPr="00D54752" w14:paraId="3BB3A790" w14:textId="77777777" w:rsidTr="00BA3D10">
        <w:trPr>
          <w:cantSplit/>
          <w:trHeight w:val="178"/>
          <w:tblHeader/>
        </w:trPr>
        <w:tc>
          <w:tcPr>
            <w:tcW w:w="1346" w:type="pct"/>
            <w:gridSpan w:val="2"/>
            <w:shd w:val="clear" w:color="000000" w:fill="5F497A"/>
            <w:vAlign w:val="bottom"/>
            <w:hideMark/>
          </w:tcPr>
          <w:p w14:paraId="6A7DAA59"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Indicator</w:t>
            </w:r>
          </w:p>
        </w:tc>
        <w:tc>
          <w:tcPr>
            <w:tcW w:w="1998" w:type="pct"/>
            <w:gridSpan w:val="6"/>
            <w:shd w:val="clear" w:color="000000" w:fill="5F497A"/>
            <w:vAlign w:val="bottom"/>
            <w:hideMark/>
          </w:tcPr>
          <w:p w14:paraId="71FD15C2"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2022 (MY 2021)</w:t>
            </w:r>
          </w:p>
        </w:tc>
        <w:tc>
          <w:tcPr>
            <w:tcW w:w="1656" w:type="pct"/>
            <w:gridSpan w:val="4"/>
            <w:shd w:val="clear" w:color="000000" w:fill="5F497A"/>
            <w:vAlign w:val="bottom"/>
            <w:hideMark/>
          </w:tcPr>
          <w:p w14:paraId="1538B63B" w14:textId="77777777" w:rsidR="00AB379C" w:rsidRPr="00D54752" w:rsidRDefault="00AB379C" w:rsidP="007055F6">
            <w:pPr>
              <w:jc w:val="center"/>
              <w:rPr>
                <w:rFonts w:eastAsia="Times New Roman" w:cstheme="minorHAnsi"/>
                <w:b/>
                <w:bCs/>
                <w:color w:val="FFFFFF"/>
                <w:vertAlign w:val="superscript"/>
                <w:lang w:bidi="ar-SA"/>
              </w:rPr>
            </w:pPr>
            <w:r w:rsidRPr="00D54752">
              <w:rPr>
                <w:rFonts w:eastAsia="Times New Roman" w:cstheme="minorHAnsi"/>
                <w:b/>
                <w:color w:val="FFFFFF"/>
                <w:lang w:bidi="ar-SA"/>
              </w:rPr>
              <w:t>Rate Comparison</w:t>
            </w:r>
            <w:r w:rsidRPr="00D54752">
              <w:rPr>
                <w:rFonts w:eastAsia="Times New Roman" w:cstheme="minorHAnsi"/>
                <w:b/>
                <w:color w:val="FFFFFF"/>
                <w:vertAlign w:val="superscript"/>
                <w:lang w:bidi="ar-SA"/>
              </w:rPr>
              <w:t>1</w:t>
            </w:r>
          </w:p>
        </w:tc>
      </w:tr>
      <w:tr w:rsidR="00AB379C" w:rsidRPr="00D54752" w14:paraId="4D47D192" w14:textId="77777777" w:rsidTr="00BA3D10">
        <w:trPr>
          <w:cantSplit/>
          <w:trHeight w:val="144"/>
          <w:tblHeader/>
        </w:trPr>
        <w:tc>
          <w:tcPr>
            <w:tcW w:w="296" w:type="pct"/>
            <w:shd w:val="clear" w:color="000000" w:fill="5F497A"/>
            <w:vAlign w:val="bottom"/>
            <w:hideMark/>
          </w:tcPr>
          <w:p w14:paraId="763006A4"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Source</w:t>
            </w:r>
          </w:p>
        </w:tc>
        <w:tc>
          <w:tcPr>
            <w:tcW w:w="1050" w:type="pct"/>
            <w:shd w:val="clear" w:color="000000" w:fill="5F497A"/>
            <w:vAlign w:val="bottom"/>
            <w:hideMark/>
          </w:tcPr>
          <w:p w14:paraId="2B7BBEC9"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Name</w:t>
            </w:r>
          </w:p>
        </w:tc>
        <w:tc>
          <w:tcPr>
            <w:tcW w:w="312" w:type="pct"/>
            <w:shd w:val="clear" w:color="000000" w:fill="5F497A"/>
            <w:vAlign w:val="bottom"/>
            <w:hideMark/>
          </w:tcPr>
          <w:p w14:paraId="4552EC93" w14:textId="77777777" w:rsidR="00AB379C" w:rsidRPr="00D54752" w:rsidRDefault="00AB379C" w:rsidP="007055F6">
            <w:pPr>
              <w:jc w:val="center"/>
              <w:rPr>
                <w:rFonts w:eastAsia="Times New Roman" w:cstheme="minorHAnsi"/>
                <w:b/>
                <w:bCs/>
                <w:color w:val="FFFFFF"/>
                <w:lang w:bidi="ar-SA"/>
              </w:rPr>
            </w:pPr>
            <w:proofErr w:type="spellStart"/>
            <w:r w:rsidRPr="00D54752">
              <w:rPr>
                <w:rFonts w:eastAsia="Times New Roman" w:cstheme="minorHAnsi"/>
                <w:b/>
                <w:bCs/>
                <w:color w:val="FFFFFF"/>
                <w:lang w:bidi="ar-SA"/>
              </w:rPr>
              <w:t>Denom</w:t>
            </w:r>
            <w:proofErr w:type="spellEnd"/>
          </w:p>
        </w:tc>
        <w:tc>
          <w:tcPr>
            <w:tcW w:w="280" w:type="pct"/>
            <w:shd w:val="clear" w:color="000000" w:fill="5F497A"/>
            <w:vAlign w:val="bottom"/>
            <w:hideMark/>
          </w:tcPr>
          <w:p w14:paraId="194AAF27"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Num</w:t>
            </w:r>
          </w:p>
        </w:tc>
        <w:tc>
          <w:tcPr>
            <w:tcW w:w="312" w:type="pct"/>
            <w:shd w:val="clear" w:color="000000" w:fill="5F497A"/>
            <w:vAlign w:val="bottom"/>
            <w:hideMark/>
          </w:tcPr>
          <w:p w14:paraId="612E2649"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Rate</w:t>
            </w:r>
          </w:p>
        </w:tc>
        <w:tc>
          <w:tcPr>
            <w:tcW w:w="343" w:type="pct"/>
            <w:shd w:val="clear" w:color="000000" w:fill="5F497A"/>
            <w:vAlign w:val="bottom"/>
            <w:hideMark/>
          </w:tcPr>
          <w:p w14:paraId="427FA46C"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Lower 95% Confidence Limit</w:t>
            </w:r>
          </w:p>
        </w:tc>
        <w:tc>
          <w:tcPr>
            <w:tcW w:w="375" w:type="pct"/>
            <w:shd w:val="clear" w:color="000000" w:fill="5F497A"/>
            <w:vAlign w:val="bottom"/>
            <w:hideMark/>
          </w:tcPr>
          <w:p w14:paraId="35D39E46"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bCs/>
                <w:color w:val="FFFFFF"/>
                <w:lang w:bidi="ar-SA"/>
              </w:rPr>
              <w:t>Upper 95% Confidence Limit</w:t>
            </w:r>
          </w:p>
        </w:tc>
        <w:tc>
          <w:tcPr>
            <w:tcW w:w="376" w:type="pct"/>
            <w:shd w:val="clear" w:color="000000" w:fill="5F497A"/>
            <w:vAlign w:val="bottom"/>
            <w:hideMark/>
          </w:tcPr>
          <w:p w14:paraId="126BB182"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2021 (MY 2020) Rate</w:t>
            </w:r>
          </w:p>
        </w:tc>
        <w:tc>
          <w:tcPr>
            <w:tcW w:w="435" w:type="pct"/>
            <w:shd w:val="clear" w:color="000000" w:fill="5F497A"/>
            <w:vAlign w:val="bottom"/>
            <w:hideMark/>
          </w:tcPr>
          <w:p w14:paraId="4885860B"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2021</w:t>
            </w:r>
          </w:p>
        </w:tc>
        <w:tc>
          <w:tcPr>
            <w:tcW w:w="343" w:type="pct"/>
            <w:shd w:val="clear" w:color="000000" w:fill="5F497A"/>
            <w:vAlign w:val="bottom"/>
            <w:hideMark/>
          </w:tcPr>
          <w:p w14:paraId="45742837"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MMC</w:t>
            </w:r>
          </w:p>
        </w:tc>
        <w:tc>
          <w:tcPr>
            <w:tcW w:w="343" w:type="pct"/>
            <w:shd w:val="clear" w:color="000000" w:fill="5F497A"/>
            <w:vAlign w:val="bottom"/>
            <w:hideMark/>
          </w:tcPr>
          <w:p w14:paraId="1437A61E"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MMC</w:t>
            </w:r>
          </w:p>
        </w:tc>
        <w:tc>
          <w:tcPr>
            <w:tcW w:w="535" w:type="pct"/>
            <w:shd w:val="clear" w:color="000000" w:fill="5F497A"/>
            <w:vAlign w:val="bottom"/>
            <w:hideMark/>
          </w:tcPr>
          <w:p w14:paraId="35EC8219" w14:textId="77777777" w:rsidR="00AB379C" w:rsidRPr="00D54752" w:rsidRDefault="00AB379C" w:rsidP="007055F6">
            <w:pPr>
              <w:jc w:val="center"/>
              <w:rPr>
                <w:rFonts w:eastAsia="Times New Roman" w:cstheme="minorHAnsi"/>
                <w:b/>
                <w:bCs/>
                <w:color w:val="FFFFFF"/>
                <w:lang w:bidi="ar-SA"/>
              </w:rPr>
            </w:pPr>
            <w:r w:rsidRPr="00D54752">
              <w:rPr>
                <w:rFonts w:eastAsia="Times New Roman" w:cstheme="minorHAnsi"/>
                <w:b/>
                <w:color w:val="FFFFFF"/>
                <w:lang w:bidi="ar-SA"/>
              </w:rPr>
              <w:t>HEDIS 2022 Percentile</w:t>
            </w:r>
          </w:p>
        </w:tc>
      </w:tr>
      <w:tr w:rsidR="00AB379C" w:rsidRPr="00D54752" w14:paraId="48AFB576" w14:textId="77777777" w:rsidTr="00BA3D10">
        <w:trPr>
          <w:cantSplit/>
          <w:trHeight w:val="144"/>
        </w:trPr>
        <w:tc>
          <w:tcPr>
            <w:tcW w:w="296" w:type="pct"/>
            <w:shd w:val="clear" w:color="auto" w:fill="FFFFFF" w:themeFill="background1"/>
            <w:vAlign w:val="center"/>
            <w:hideMark/>
          </w:tcPr>
          <w:p w14:paraId="573FBBBC"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50" w:type="pct"/>
            <w:shd w:val="clear" w:color="auto" w:fill="FFFFFF" w:themeFill="background1"/>
            <w:vAlign w:val="center"/>
            <w:hideMark/>
          </w:tcPr>
          <w:p w14:paraId="4311F224" w14:textId="7A775E54"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Appropriate Testing for Children with Pharyngitis (</w:t>
            </w:r>
            <w:r w:rsidR="00EA2591">
              <w:rPr>
                <w:rFonts w:eastAsia="Times New Roman" w:cstheme="minorHAnsi"/>
                <w:lang w:bidi="ar-SA"/>
              </w:rPr>
              <w:t>Ages</w:t>
            </w:r>
            <w:r w:rsidRPr="00D54752">
              <w:rPr>
                <w:rFonts w:eastAsia="Times New Roman" w:cstheme="minorHAnsi"/>
                <w:lang w:bidi="ar-SA"/>
              </w:rPr>
              <w:t xml:space="preserve"> 3–17 years)</w:t>
            </w:r>
          </w:p>
        </w:tc>
        <w:tc>
          <w:tcPr>
            <w:tcW w:w="312" w:type="pct"/>
            <w:shd w:val="clear" w:color="auto" w:fill="auto"/>
            <w:vAlign w:val="center"/>
          </w:tcPr>
          <w:p w14:paraId="22831690" w14:textId="77777777" w:rsidR="00AB379C" w:rsidRPr="00D54752" w:rsidRDefault="00AB379C" w:rsidP="007055F6">
            <w:pPr>
              <w:jc w:val="center"/>
              <w:rPr>
                <w:rFonts w:eastAsia="Times New Roman" w:cstheme="minorHAnsi"/>
                <w:lang w:bidi="ar-SA"/>
              </w:rPr>
            </w:pPr>
            <w:r w:rsidRPr="00D54752">
              <w:rPr>
                <w:rFonts w:cstheme="minorHAnsi"/>
              </w:rPr>
              <w:t>809</w:t>
            </w:r>
          </w:p>
        </w:tc>
        <w:tc>
          <w:tcPr>
            <w:tcW w:w="280" w:type="pct"/>
            <w:shd w:val="clear" w:color="auto" w:fill="auto"/>
            <w:vAlign w:val="center"/>
          </w:tcPr>
          <w:p w14:paraId="1A0550BB" w14:textId="77777777" w:rsidR="00AB379C" w:rsidRPr="00D54752" w:rsidRDefault="00AB379C" w:rsidP="007055F6">
            <w:pPr>
              <w:jc w:val="center"/>
              <w:rPr>
                <w:rFonts w:eastAsia="Times New Roman" w:cstheme="minorHAnsi"/>
                <w:lang w:bidi="ar-SA"/>
              </w:rPr>
            </w:pPr>
            <w:r w:rsidRPr="00D54752">
              <w:rPr>
                <w:rFonts w:cstheme="minorHAnsi"/>
              </w:rPr>
              <w:t>667</w:t>
            </w:r>
          </w:p>
        </w:tc>
        <w:tc>
          <w:tcPr>
            <w:tcW w:w="312" w:type="pct"/>
            <w:shd w:val="clear" w:color="auto" w:fill="auto"/>
            <w:vAlign w:val="center"/>
          </w:tcPr>
          <w:p w14:paraId="58F6D52C" w14:textId="77777777" w:rsidR="00AB379C" w:rsidRPr="00D54752" w:rsidRDefault="00AB379C" w:rsidP="007055F6">
            <w:pPr>
              <w:jc w:val="center"/>
              <w:rPr>
                <w:rFonts w:eastAsia="Times New Roman" w:cstheme="minorHAnsi"/>
                <w:b/>
                <w:bCs/>
                <w:lang w:bidi="ar-SA"/>
              </w:rPr>
            </w:pPr>
            <w:r w:rsidRPr="00D54752">
              <w:rPr>
                <w:rFonts w:cstheme="minorHAnsi"/>
                <w:b/>
                <w:bCs/>
              </w:rPr>
              <w:t>82.5%</w:t>
            </w:r>
          </w:p>
        </w:tc>
        <w:tc>
          <w:tcPr>
            <w:tcW w:w="343" w:type="pct"/>
            <w:shd w:val="clear" w:color="auto" w:fill="auto"/>
            <w:vAlign w:val="center"/>
          </w:tcPr>
          <w:p w14:paraId="105CDE84" w14:textId="77777777" w:rsidR="00AB379C" w:rsidRPr="00D54752" w:rsidRDefault="00AB379C" w:rsidP="007055F6">
            <w:pPr>
              <w:jc w:val="center"/>
              <w:rPr>
                <w:rFonts w:eastAsia="Times New Roman" w:cstheme="minorHAnsi"/>
                <w:lang w:bidi="ar-SA"/>
              </w:rPr>
            </w:pPr>
            <w:r w:rsidRPr="00D54752">
              <w:rPr>
                <w:rFonts w:cstheme="minorHAnsi"/>
              </w:rPr>
              <w:t>79.8%</w:t>
            </w:r>
          </w:p>
        </w:tc>
        <w:tc>
          <w:tcPr>
            <w:tcW w:w="375" w:type="pct"/>
            <w:shd w:val="clear" w:color="auto" w:fill="auto"/>
            <w:vAlign w:val="center"/>
          </w:tcPr>
          <w:p w14:paraId="55D12626" w14:textId="77777777" w:rsidR="00AB379C" w:rsidRPr="00D54752" w:rsidRDefault="00AB379C" w:rsidP="007055F6">
            <w:pPr>
              <w:jc w:val="center"/>
              <w:rPr>
                <w:rFonts w:eastAsia="Times New Roman" w:cstheme="minorHAnsi"/>
                <w:lang w:bidi="ar-SA"/>
              </w:rPr>
            </w:pPr>
            <w:r w:rsidRPr="00D54752">
              <w:rPr>
                <w:rFonts w:cstheme="minorHAnsi"/>
              </w:rPr>
              <w:t>85.1%</w:t>
            </w:r>
          </w:p>
        </w:tc>
        <w:tc>
          <w:tcPr>
            <w:tcW w:w="376" w:type="pct"/>
            <w:shd w:val="clear" w:color="auto" w:fill="auto"/>
            <w:vAlign w:val="center"/>
          </w:tcPr>
          <w:p w14:paraId="53B1627C" w14:textId="77777777" w:rsidR="00AB379C" w:rsidRPr="00D54752" w:rsidRDefault="00AB379C" w:rsidP="007055F6">
            <w:pPr>
              <w:jc w:val="center"/>
              <w:rPr>
                <w:rFonts w:eastAsia="Times New Roman" w:cstheme="minorHAnsi"/>
                <w:lang w:bidi="ar-SA"/>
              </w:rPr>
            </w:pPr>
            <w:r w:rsidRPr="00D54752">
              <w:rPr>
                <w:rFonts w:cstheme="minorHAnsi"/>
              </w:rPr>
              <w:t>88.8%</w:t>
            </w:r>
          </w:p>
        </w:tc>
        <w:tc>
          <w:tcPr>
            <w:tcW w:w="435" w:type="pct"/>
            <w:shd w:val="clear" w:color="auto" w:fill="auto"/>
            <w:vAlign w:val="center"/>
          </w:tcPr>
          <w:p w14:paraId="571C115A"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343" w:type="pct"/>
            <w:shd w:val="clear" w:color="auto" w:fill="auto"/>
            <w:vAlign w:val="center"/>
          </w:tcPr>
          <w:p w14:paraId="6AD28F85" w14:textId="77777777" w:rsidR="00AB379C" w:rsidRPr="00D54752" w:rsidRDefault="00AB379C" w:rsidP="007055F6">
            <w:pPr>
              <w:jc w:val="center"/>
              <w:rPr>
                <w:rFonts w:eastAsia="Times New Roman" w:cstheme="minorHAnsi"/>
                <w:lang w:bidi="ar-SA"/>
              </w:rPr>
            </w:pPr>
            <w:r w:rsidRPr="00D54752">
              <w:rPr>
                <w:rFonts w:cstheme="minorHAnsi"/>
              </w:rPr>
              <w:t>79.1%</w:t>
            </w:r>
          </w:p>
        </w:tc>
        <w:tc>
          <w:tcPr>
            <w:tcW w:w="343" w:type="pct"/>
            <w:shd w:val="clear" w:color="auto" w:fill="auto"/>
            <w:vAlign w:val="center"/>
          </w:tcPr>
          <w:p w14:paraId="2AD8DBC0"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535" w:type="pct"/>
            <w:shd w:val="clear" w:color="auto" w:fill="auto"/>
            <w:vAlign w:val="center"/>
          </w:tcPr>
          <w:p w14:paraId="5C732718" w14:textId="53BFFCCA"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5292FC6B" w14:textId="77777777" w:rsidTr="00BA3D10">
        <w:trPr>
          <w:cantSplit/>
          <w:trHeight w:val="144"/>
        </w:trPr>
        <w:tc>
          <w:tcPr>
            <w:tcW w:w="296" w:type="pct"/>
            <w:shd w:val="clear" w:color="auto" w:fill="FFFFFF" w:themeFill="background1"/>
            <w:vAlign w:val="center"/>
            <w:hideMark/>
          </w:tcPr>
          <w:p w14:paraId="17D13F5E"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50" w:type="pct"/>
            <w:shd w:val="clear" w:color="auto" w:fill="FFFFFF" w:themeFill="background1"/>
            <w:vAlign w:val="center"/>
            <w:hideMark/>
          </w:tcPr>
          <w:p w14:paraId="5178C846" w14:textId="114680DF"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Appropriate Testing for Children with Pharyngitis (</w:t>
            </w:r>
            <w:r w:rsidR="00EA2591">
              <w:rPr>
                <w:rFonts w:eastAsia="Times New Roman" w:cstheme="minorHAnsi"/>
                <w:lang w:bidi="ar-SA"/>
              </w:rPr>
              <w:t>Age</w:t>
            </w:r>
            <w:r w:rsidRPr="00D54752">
              <w:rPr>
                <w:rFonts w:eastAsia="Times New Roman" w:cstheme="minorHAnsi"/>
                <w:lang w:bidi="ar-SA"/>
              </w:rPr>
              <w:t xml:space="preserve"> 18 years)</w:t>
            </w:r>
          </w:p>
        </w:tc>
        <w:tc>
          <w:tcPr>
            <w:tcW w:w="312" w:type="pct"/>
            <w:shd w:val="clear" w:color="auto" w:fill="auto"/>
            <w:vAlign w:val="center"/>
          </w:tcPr>
          <w:p w14:paraId="21A7F814" w14:textId="77777777" w:rsidR="00AB379C" w:rsidRPr="00D54752" w:rsidRDefault="00AB379C" w:rsidP="007055F6">
            <w:pPr>
              <w:jc w:val="center"/>
              <w:rPr>
                <w:rFonts w:eastAsia="Times New Roman" w:cstheme="minorHAnsi"/>
                <w:lang w:bidi="ar-SA"/>
              </w:rPr>
            </w:pPr>
            <w:r w:rsidRPr="00D54752">
              <w:rPr>
                <w:rFonts w:cstheme="minorHAnsi"/>
              </w:rPr>
              <w:t>65</w:t>
            </w:r>
          </w:p>
        </w:tc>
        <w:tc>
          <w:tcPr>
            <w:tcW w:w="280" w:type="pct"/>
            <w:shd w:val="clear" w:color="auto" w:fill="auto"/>
            <w:vAlign w:val="center"/>
          </w:tcPr>
          <w:p w14:paraId="43E4D827" w14:textId="77777777" w:rsidR="00AB379C" w:rsidRPr="00D54752" w:rsidRDefault="00AB379C" w:rsidP="007055F6">
            <w:pPr>
              <w:jc w:val="center"/>
              <w:rPr>
                <w:rFonts w:eastAsia="Times New Roman" w:cstheme="minorHAnsi"/>
                <w:lang w:bidi="ar-SA"/>
              </w:rPr>
            </w:pPr>
            <w:r w:rsidRPr="00D54752">
              <w:rPr>
                <w:rFonts w:cstheme="minorHAnsi"/>
              </w:rPr>
              <w:t>51</w:t>
            </w:r>
          </w:p>
        </w:tc>
        <w:tc>
          <w:tcPr>
            <w:tcW w:w="312" w:type="pct"/>
            <w:shd w:val="clear" w:color="auto" w:fill="auto"/>
            <w:vAlign w:val="center"/>
          </w:tcPr>
          <w:p w14:paraId="3D45358C" w14:textId="77777777" w:rsidR="00AB379C" w:rsidRPr="00D54752" w:rsidRDefault="00AB379C" w:rsidP="007055F6">
            <w:pPr>
              <w:jc w:val="center"/>
              <w:rPr>
                <w:rFonts w:eastAsia="Times New Roman" w:cstheme="minorHAnsi"/>
                <w:b/>
                <w:bCs/>
                <w:lang w:bidi="ar-SA"/>
              </w:rPr>
            </w:pPr>
            <w:r w:rsidRPr="00D54752">
              <w:rPr>
                <w:rFonts w:cstheme="minorHAnsi"/>
                <w:b/>
                <w:bCs/>
              </w:rPr>
              <w:t>78.5%</w:t>
            </w:r>
          </w:p>
        </w:tc>
        <w:tc>
          <w:tcPr>
            <w:tcW w:w="343" w:type="pct"/>
            <w:shd w:val="clear" w:color="auto" w:fill="auto"/>
            <w:vAlign w:val="center"/>
          </w:tcPr>
          <w:p w14:paraId="23240C7C" w14:textId="77777777" w:rsidR="00AB379C" w:rsidRPr="00D54752" w:rsidRDefault="00AB379C" w:rsidP="007055F6">
            <w:pPr>
              <w:jc w:val="center"/>
              <w:rPr>
                <w:rFonts w:eastAsia="Times New Roman" w:cstheme="minorHAnsi"/>
                <w:lang w:bidi="ar-SA"/>
              </w:rPr>
            </w:pPr>
            <w:r w:rsidRPr="00D54752">
              <w:rPr>
                <w:rFonts w:cstheme="minorHAnsi"/>
              </w:rPr>
              <w:t>67.7%</w:t>
            </w:r>
          </w:p>
        </w:tc>
        <w:tc>
          <w:tcPr>
            <w:tcW w:w="375" w:type="pct"/>
            <w:shd w:val="clear" w:color="auto" w:fill="auto"/>
            <w:vAlign w:val="center"/>
          </w:tcPr>
          <w:p w14:paraId="38FFB59B" w14:textId="77777777" w:rsidR="00AB379C" w:rsidRPr="00D54752" w:rsidRDefault="00AB379C" w:rsidP="007055F6">
            <w:pPr>
              <w:jc w:val="center"/>
              <w:rPr>
                <w:rFonts w:eastAsia="Times New Roman" w:cstheme="minorHAnsi"/>
                <w:lang w:bidi="ar-SA"/>
              </w:rPr>
            </w:pPr>
            <w:r w:rsidRPr="00D54752">
              <w:rPr>
                <w:rFonts w:cstheme="minorHAnsi"/>
              </w:rPr>
              <w:t>89.2%</w:t>
            </w:r>
          </w:p>
        </w:tc>
        <w:tc>
          <w:tcPr>
            <w:tcW w:w="376" w:type="pct"/>
            <w:shd w:val="clear" w:color="auto" w:fill="auto"/>
            <w:vAlign w:val="center"/>
          </w:tcPr>
          <w:p w14:paraId="44E6DCDE" w14:textId="77777777" w:rsidR="00AB379C" w:rsidRPr="00D54752" w:rsidRDefault="00AB379C" w:rsidP="007055F6">
            <w:pPr>
              <w:jc w:val="center"/>
              <w:rPr>
                <w:rFonts w:eastAsia="Times New Roman" w:cstheme="minorHAnsi"/>
                <w:lang w:bidi="ar-SA"/>
              </w:rPr>
            </w:pPr>
            <w:r w:rsidRPr="00D54752">
              <w:rPr>
                <w:rFonts w:cstheme="minorHAnsi"/>
              </w:rPr>
              <w:t>75.0%</w:t>
            </w:r>
          </w:p>
        </w:tc>
        <w:tc>
          <w:tcPr>
            <w:tcW w:w="435" w:type="pct"/>
            <w:shd w:val="clear" w:color="auto" w:fill="auto"/>
            <w:vAlign w:val="center"/>
          </w:tcPr>
          <w:p w14:paraId="67B3F727"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7E1D9072" w14:textId="77777777" w:rsidR="00AB379C" w:rsidRPr="00D54752" w:rsidRDefault="00AB379C" w:rsidP="007055F6">
            <w:pPr>
              <w:jc w:val="center"/>
              <w:rPr>
                <w:rFonts w:eastAsia="Times New Roman" w:cstheme="minorHAnsi"/>
                <w:lang w:bidi="ar-SA"/>
              </w:rPr>
            </w:pPr>
            <w:r w:rsidRPr="00D54752">
              <w:rPr>
                <w:rFonts w:cstheme="minorHAnsi"/>
              </w:rPr>
              <w:t>81.5%</w:t>
            </w:r>
          </w:p>
        </w:tc>
        <w:tc>
          <w:tcPr>
            <w:tcW w:w="343" w:type="pct"/>
            <w:shd w:val="clear" w:color="auto" w:fill="auto"/>
            <w:vAlign w:val="center"/>
          </w:tcPr>
          <w:p w14:paraId="4F3B5A3A"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330143CE"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0C1B9F42" w14:textId="77777777" w:rsidTr="00BA3D10">
        <w:trPr>
          <w:cantSplit/>
          <w:trHeight w:val="144"/>
        </w:trPr>
        <w:tc>
          <w:tcPr>
            <w:tcW w:w="296" w:type="pct"/>
            <w:shd w:val="clear" w:color="auto" w:fill="FFFFFF" w:themeFill="background1"/>
            <w:vAlign w:val="center"/>
            <w:hideMark/>
          </w:tcPr>
          <w:p w14:paraId="6BEA72C1"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50" w:type="pct"/>
            <w:shd w:val="clear" w:color="auto" w:fill="FFFFFF" w:themeFill="background1"/>
            <w:vAlign w:val="center"/>
            <w:hideMark/>
          </w:tcPr>
          <w:p w14:paraId="1C4146CF" w14:textId="77777777"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Appropriate Testing for Children with Pharyngitis (Total)</w:t>
            </w:r>
          </w:p>
        </w:tc>
        <w:tc>
          <w:tcPr>
            <w:tcW w:w="312" w:type="pct"/>
            <w:shd w:val="clear" w:color="auto" w:fill="auto"/>
            <w:vAlign w:val="center"/>
          </w:tcPr>
          <w:p w14:paraId="0F462DDF" w14:textId="77777777" w:rsidR="00AB379C" w:rsidRPr="00D54752" w:rsidRDefault="00AB379C" w:rsidP="007055F6">
            <w:pPr>
              <w:jc w:val="center"/>
              <w:rPr>
                <w:rFonts w:eastAsia="Times New Roman" w:cstheme="minorHAnsi"/>
                <w:lang w:bidi="ar-SA"/>
              </w:rPr>
            </w:pPr>
            <w:r w:rsidRPr="00D54752">
              <w:rPr>
                <w:rFonts w:cstheme="minorHAnsi"/>
              </w:rPr>
              <w:t>874</w:t>
            </w:r>
          </w:p>
        </w:tc>
        <w:tc>
          <w:tcPr>
            <w:tcW w:w="280" w:type="pct"/>
            <w:shd w:val="clear" w:color="auto" w:fill="auto"/>
            <w:vAlign w:val="center"/>
          </w:tcPr>
          <w:p w14:paraId="125A801B" w14:textId="77777777" w:rsidR="00AB379C" w:rsidRPr="00D54752" w:rsidRDefault="00AB379C" w:rsidP="007055F6">
            <w:pPr>
              <w:jc w:val="center"/>
              <w:rPr>
                <w:rFonts w:eastAsia="Times New Roman" w:cstheme="minorHAnsi"/>
                <w:lang w:bidi="ar-SA"/>
              </w:rPr>
            </w:pPr>
            <w:r w:rsidRPr="00D54752">
              <w:rPr>
                <w:rFonts w:cstheme="minorHAnsi"/>
              </w:rPr>
              <w:t>718</w:t>
            </w:r>
          </w:p>
        </w:tc>
        <w:tc>
          <w:tcPr>
            <w:tcW w:w="312" w:type="pct"/>
            <w:shd w:val="clear" w:color="auto" w:fill="auto"/>
            <w:vAlign w:val="center"/>
          </w:tcPr>
          <w:p w14:paraId="34F15936" w14:textId="77777777" w:rsidR="00AB379C" w:rsidRPr="00D54752" w:rsidRDefault="00AB379C" w:rsidP="007055F6">
            <w:pPr>
              <w:jc w:val="center"/>
              <w:rPr>
                <w:rFonts w:eastAsia="Times New Roman" w:cstheme="minorHAnsi"/>
                <w:b/>
                <w:bCs/>
                <w:lang w:bidi="ar-SA"/>
              </w:rPr>
            </w:pPr>
            <w:r w:rsidRPr="00D54752">
              <w:rPr>
                <w:rFonts w:cstheme="minorHAnsi"/>
                <w:b/>
                <w:bCs/>
              </w:rPr>
              <w:t>82.2%</w:t>
            </w:r>
          </w:p>
        </w:tc>
        <w:tc>
          <w:tcPr>
            <w:tcW w:w="343" w:type="pct"/>
            <w:shd w:val="clear" w:color="auto" w:fill="auto"/>
            <w:vAlign w:val="center"/>
          </w:tcPr>
          <w:p w14:paraId="29F83872" w14:textId="77777777" w:rsidR="00AB379C" w:rsidRPr="00D54752" w:rsidRDefault="00AB379C" w:rsidP="007055F6">
            <w:pPr>
              <w:jc w:val="center"/>
              <w:rPr>
                <w:rFonts w:eastAsia="Times New Roman" w:cstheme="minorHAnsi"/>
                <w:lang w:bidi="ar-SA"/>
              </w:rPr>
            </w:pPr>
            <w:r w:rsidRPr="00D54752">
              <w:rPr>
                <w:rFonts w:cstheme="minorHAnsi"/>
              </w:rPr>
              <w:t>79.6%</w:t>
            </w:r>
          </w:p>
        </w:tc>
        <w:tc>
          <w:tcPr>
            <w:tcW w:w="375" w:type="pct"/>
            <w:shd w:val="clear" w:color="auto" w:fill="auto"/>
            <w:vAlign w:val="center"/>
          </w:tcPr>
          <w:p w14:paraId="329A405C" w14:textId="77777777" w:rsidR="00AB379C" w:rsidRPr="00D54752" w:rsidRDefault="00AB379C" w:rsidP="007055F6">
            <w:pPr>
              <w:jc w:val="center"/>
              <w:rPr>
                <w:rFonts w:eastAsia="Times New Roman" w:cstheme="minorHAnsi"/>
                <w:lang w:bidi="ar-SA"/>
              </w:rPr>
            </w:pPr>
            <w:r w:rsidRPr="00D54752">
              <w:rPr>
                <w:rFonts w:cstheme="minorHAnsi"/>
              </w:rPr>
              <w:t>84.7%</w:t>
            </w:r>
          </w:p>
        </w:tc>
        <w:tc>
          <w:tcPr>
            <w:tcW w:w="376" w:type="pct"/>
            <w:shd w:val="clear" w:color="auto" w:fill="auto"/>
            <w:vAlign w:val="center"/>
          </w:tcPr>
          <w:p w14:paraId="62A3E62E" w14:textId="77777777" w:rsidR="00AB379C" w:rsidRPr="00D54752" w:rsidRDefault="00AB379C" w:rsidP="007055F6">
            <w:pPr>
              <w:jc w:val="center"/>
              <w:rPr>
                <w:rFonts w:eastAsia="Times New Roman" w:cstheme="minorHAnsi"/>
                <w:lang w:bidi="ar-SA"/>
              </w:rPr>
            </w:pPr>
            <w:r w:rsidRPr="00D54752">
              <w:rPr>
                <w:rFonts w:cstheme="minorHAnsi"/>
              </w:rPr>
              <w:t>88.4%</w:t>
            </w:r>
          </w:p>
        </w:tc>
        <w:tc>
          <w:tcPr>
            <w:tcW w:w="435" w:type="pct"/>
            <w:shd w:val="clear" w:color="auto" w:fill="auto"/>
            <w:vAlign w:val="center"/>
          </w:tcPr>
          <w:p w14:paraId="44C26DF8"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343" w:type="pct"/>
            <w:shd w:val="clear" w:color="auto" w:fill="auto"/>
            <w:vAlign w:val="center"/>
          </w:tcPr>
          <w:p w14:paraId="72019536" w14:textId="77777777" w:rsidR="00AB379C" w:rsidRPr="00D54752" w:rsidRDefault="00AB379C" w:rsidP="007055F6">
            <w:pPr>
              <w:jc w:val="center"/>
              <w:rPr>
                <w:rFonts w:eastAsia="Times New Roman" w:cstheme="minorHAnsi"/>
                <w:lang w:bidi="ar-SA"/>
              </w:rPr>
            </w:pPr>
            <w:r w:rsidRPr="00D54752">
              <w:rPr>
                <w:rFonts w:cstheme="minorHAnsi"/>
              </w:rPr>
              <w:t>79.1%</w:t>
            </w:r>
          </w:p>
        </w:tc>
        <w:tc>
          <w:tcPr>
            <w:tcW w:w="343" w:type="pct"/>
            <w:shd w:val="clear" w:color="auto" w:fill="auto"/>
            <w:vAlign w:val="center"/>
          </w:tcPr>
          <w:p w14:paraId="41C63BD1"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6CF19CDC"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7C0282E7" w14:textId="77777777" w:rsidTr="00BA3D10">
        <w:trPr>
          <w:cantSplit/>
          <w:trHeight w:val="144"/>
        </w:trPr>
        <w:tc>
          <w:tcPr>
            <w:tcW w:w="296" w:type="pct"/>
            <w:shd w:val="clear" w:color="auto" w:fill="FFFFFF" w:themeFill="background1"/>
            <w:vAlign w:val="center"/>
            <w:hideMark/>
          </w:tcPr>
          <w:p w14:paraId="1AB959DB"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50" w:type="pct"/>
            <w:shd w:val="clear" w:color="auto" w:fill="FFFFFF" w:themeFill="background1"/>
            <w:vAlign w:val="center"/>
            <w:hideMark/>
          </w:tcPr>
          <w:p w14:paraId="53B8E6D9" w14:textId="132F1771"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Appropriate Treatment for Children with Upper Respiratory Infection (</w:t>
            </w:r>
            <w:r w:rsidR="00EA2591">
              <w:rPr>
                <w:rFonts w:eastAsia="Times New Roman" w:cstheme="minorHAnsi"/>
                <w:lang w:bidi="ar-SA"/>
              </w:rPr>
              <w:t xml:space="preserve">Ages </w:t>
            </w:r>
            <w:r w:rsidRPr="00D54752">
              <w:rPr>
                <w:rFonts w:eastAsia="Times New Roman" w:cstheme="minorHAnsi"/>
                <w:lang w:bidi="ar-SA"/>
              </w:rPr>
              <w:t>3–17 years)</w:t>
            </w:r>
          </w:p>
        </w:tc>
        <w:tc>
          <w:tcPr>
            <w:tcW w:w="312" w:type="pct"/>
            <w:shd w:val="clear" w:color="auto" w:fill="auto"/>
            <w:vAlign w:val="center"/>
          </w:tcPr>
          <w:p w14:paraId="777CE6D3" w14:textId="77777777" w:rsidR="00AB379C" w:rsidRPr="00D54752" w:rsidRDefault="00AB379C" w:rsidP="007055F6">
            <w:pPr>
              <w:jc w:val="center"/>
              <w:rPr>
                <w:rFonts w:eastAsia="Times New Roman" w:cstheme="minorHAnsi"/>
                <w:lang w:bidi="ar-SA"/>
              </w:rPr>
            </w:pPr>
            <w:r w:rsidRPr="00D54752">
              <w:rPr>
                <w:rFonts w:cstheme="minorHAnsi"/>
              </w:rPr>
              <w:t>2,305</w:t>
            </w:r>
          </w:p>
        </w:tc>
        <w:tc>
          <w:tcPr>
            <w:tcW w:w="280" w:type="pct"/>
            <w:shd w:val="clear" w:color="auto" w:fill="auto"/>
            <w:vAlign w:val="center"/>
          </w:tcPr>
          <w:p w14:paraId="0DB01E3F" w14:textId="77777777" w:rsidR="00AB379C" w:rsidRPr="00D54752" w:rsidRDefault="00AB379C" w:rsidP="007055F6">
            <w:pPr>
              <w:jc w:val="center"/>
              <w:rPr>
                <w:rFonts w:eastAsia="Times New Roman" w:cstheme="minorHAnsi"/>
                <w:lang w:bidi="ar-SA"/>
              </w:rPr>
            </w:pPr>
            <w:r w:rsidRPr="00D54752">
              <w:rPr>
                <w:rFonts w:cstheme="minorHAnsi"/>
              </w:rPr>
              <w:t>89</w:t>
            </w:r>
          </w:p>
        </w:tc>
        <w:tc>
          <w:tcPr>
            <w:tcW w:w="312" w:type="pct"/>
            <w:shd w:val="clear" w:color="auto" w:fill="auto"/>
            <w:vAlign w:val="center"/>
          </w:tcPr>
          <w:p w14:paraId="38851873" w14:textId="77777777" w:rsidR="00AB379C" w:rsidRPr="00D54752" w:rsidRDefault="00AB379C" w:rsidP="007055F6">
            <w:pPr>
              <w:jc w:val="center"/>
              <w:rPr>
                <w:rFonts w:eastAsia="Times New Roman" w:cstheme="minorHAnsi"/>
                <w:b/>
                <w:bCs/>
                <w:lang w:bidi="ar-SA"/>
              </w:rPr>
            </w:pPr>
            <w:r w:rsidRPr="00D54752">
              <w:rPr>
                <w:rFonts w:cstheme="minorHAnsi"/>
                <w:b/>
                <w:bCs/>
              </w:rPr>
              <w:t>96.1%</w:t>
            </w:r>
          </w:p>
        </w:tc>
        <w:tc>
          <w:tcPr>
            <w:tcW w:w="343" w:type="pct"/>
            <w:shd w:val="clear" w:color="auto" w:fill="auto"/>
            <w:vAlign w:val="center"/>
          </w:tcPr>
          <w:p w14:paraId="6507CB24" w14:textId="77777777" w:rsidR="00AB379C" w:rsidRPr="00D54752" w:rsidRDefault="00AB379C" w:rsidP="007055F6">
            <w:pPr>
              <w:jc w:val="center"/>
              <w:rPr>
                <w:rFonts w:eastAsia="Times New Roman" w:cstheme="minorHAnsi"/>
                <w:lang w:bidi="ar-SA"/>
              </w:rPr>
            </w:pPr>
            <w:r w:rsidRPr="00D54752">
              <w:rPr>
                <w:rFonts w:cstheme="minorHAnsi"/>
              </w:rPr>
              <w:t>95.3%</w:t>
            </w:r>
          </w:p>
        </w:tc>
        <w:tc>
          <w:tcPr>
            <w:tcW w:w="375" w:type="pct"/>
            <w:shd w:val="clear" w:color="auto" w:fill="auto"/>
            <w:vAlign w:val="center"/>
          </w:tcPr>
          <w:p w14:paraId="77091C56" w14:textId="77777777" w:rsidR="00AB379C" w:rsidRPr="00D54752" w:rsidRDefault="00AB379C" w:rsidP="007055F6">
            <w:pPr>
              <w:jc w:val="center"/>
              <w:rPr>
                <w:rFonts w:eastAsia="Times New Roman" w:cstheme="minorHAnsi"/>
                <w:lang w:bidi="ar-SA"/>
              </w:rPr>
            </w:pPr>
            <w:r w:rsidRPr="00D54752">
              <w:rPr>
                <w:rFonts w:cstheme="minorHAnsi"/>
              </w:rPr>
              <w:t>96.9%</w:t>
            </w:r>
          </w:p>
        </w:tc>
        <w:tc>
          <w:tcPr>
            <w:tcW w:w="376" w:type="pct"/>
            <w:shd w:val="clear" w:color="auto" w:fill="auto"/>
            <w:vAlign w:val="center"/>
          </w:tcPr>
          <w:p w14:paraId="3390FD8A" w14:textId="77777777" w:rsidR="00AB379C" w:rsidRPr="00D54752" w:rsidRDefault="00AB379C" w:rsidP="007055F6">
            <w:pPr>
              <w:jc w:val="center"/>
              <w:rPr>
                <w:rFonts w:eastAsia="Times New Roman" w:cstheme="minorHAnsi"/>
                <w:lang w:bidi="ar-SA"/>
              </w:rPr>
            </w:pPr>
            <w:r w:rsidRPr="00D54752">
              <w:rPr>
                <w:rFonts w:cstheme="minorHAnsi"/>
              </w:rPr>
              <w:t>92.3%</w:t>
            </w:r>
          </w:p>
        </w:tc>
        <w:tc>
          <w:tcPr>
            <w:tcW w:w="435" w:type="pct"/>
            <w:shd w:val="clear" w:color="auto" w:fill="auto"/>
            <w:vAlign w:val="center"/>
          </w:tcPr>
          <w:p w14:paraId="5C5B58FE"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343" w:type="pct"/>
            <w:shd w:val="clear" w:color="auto" w:fill="auto"/>
            <w:vAlign w:val="center"/>
          </w:tcPr>
          <w:p w14:paraId="3771FB84" w14:textId="77777777" w:rsidR="00AB379C" w:rsidRPr="00D54752" w:rsidRDefault="00AB379C" w:rsidP="007055F6">
            <w:pPr>
              <w:jc w:val="center"/>
              <w:rPr>
                <w:rFonts w:eastAsia="Times New Roman" w:cstheme="minorHAnsi"/>
                <w:lang w:bidi="ar-SA"/>
              </w:rPr>
            </w:pPr>
            <w:r w:rsidRPr="00D54752">
              <w:rPr>
                <w:rFonts w:cstheme="minorHAnsi"/>
              </w:rPr>
              <w:t>95.6%</w:t>
            </w:r>
          </w:p>
        </w:tc>
        <w:tc>
          <w:tcPr>
            <w:tcW w:w="343" w:type="pct"/>
            <w:shd w:val="clear" w:color="auto" w:fill="auto"/>
            <w:vAlign w:val="center"/>
          </w:tcPr>
          <w:p w14:paraId="2ACAB85E"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3E0FB794" w14:textId="6350794F"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r w:rsidR="00AB379C" w:rsidRPr="00D54752" w14:paraId="2D27FC84" w14:textId="77777777" w:rsidTr="00BA3D10">
        <w:trPr>
          <w:cantSplit/>
          <w:trHeight w:val="144"/>
        </w:trPr>
        <w:tc>
          <w:tcPr>
            <w:tcW w:w="296" w:type="pct"/>
            <w:shd w:val="clear" w:color="auto" w:fill="FFFFFF" w:themeFill="background1"/>
            <w:vAlign w:val="center"/>
            <w:hideMark/>
          </w:tcPr>
          <w:p w14:paraId="0764C578"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50" w:type="pct"/>
            <w:shd w:val="clear" w:color="auto" w:fill="FFFFFF" w:themeFill="background1"/>
            <w:vAlign w:val="center"/>
            <w:hideMark/>
          </w:tcPr>
          <w:p w14:paraId="3FF82F49" w14:textId="6D03703B"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 xml:space="preserve">Appropriate Treatment for Children with Upper Respiratory Infection </w:t>
            </w:r>
            <w:r w:rsidRPr="00D54752">
              <w:rPr>
                <w:rFonts w:eastAsia="Times New Roman" w:cstheme="minorHAnsi"/>
                <w:lang w:bidi="ar-SA"/>
              </w:rPr>
              <w:br/>
              <w:t>(</w:t>
            </w:r>
            <w:r w:rsidR="00EA2591">
              <w:rPr>
                <w:rFonts w:eastAsia="Times New Roman" w:cstheme="minorHAnsi"/>
                <w:lang w:bidi="ar-SA"/>
              </w:rPr>
              <w:t xml:space="preserve">Age </w:t>
            </w:r>
            <w:r w:rsidRPr="00D54752">
              <w:rPr>
                <w:rFonts w:eastAsia="Times New Roman" w:cstheme="minorHAnsi"/>
                <w:lang w:bidi="ar-SA"/>
              </w:rPr>
              <w:t>18 years)</w:t>
            </w:r>
          </w:p>
        </w:tc>
        <w:tc>
          <w:tcPr>
            <w:tcW w:w="312" w:type="pct"/>
            <w:shd w:val="clear" w:color="auto" w:fill="auto"/>
            <w:vAlign w:val="center"/>
          </w:tcPr>
          <w:p w14:paraId="2F3AE12E" w14:textId="77777777" w:rsidR="00AB379C" w:rsidRPr="00D54752" w:rsidRDefault="00AB379C" w:rsidP="007055F6">
            <w:pPr>
              <w:jc w:val="center"/>
              <w:rPr>
                <w:rFonts w:eastAsia="Times New Roman" w:cstheme="minorHAnsi"/>
                <w:lang w:bidi="ar-SA"/>
              </w:rPr>
            </w:pPr>
            <w:r w:rsidRPr="00D54752">
              <w:rPr>
                <w:rFonts w:cstheme="minorHAnsi"/>
              </w:rPr>
              <w:t>108</w:t>
            </w:r>
          </w:p>
        </w:tc>
        <w:tc>
          <w:tcPr>
            <w:tcW w:w="280" w:type="pct"/>
            <w:shd w:val="clear" w:color="auto" w:fill="auto"/>
            <w:vAlign w:val="center"/>
          </w:tcPr>
          <w:p w14:paraId="00DD7D81" w14:textId="77777777" w:rsidR="00AB379C" w:rsidRPr="00D54752" w:rsidRDefault="00AB379C" w:rsidP="007055F6">
            <w:pPr>
              <w:jc w:val="center"/>
              <w:rPr>
                <w:rFonts w:eastAsia="Times New Roman" w:cstheme="minorHAnsi"/>
                <w:lang w:bidi="ar-SA"/>
              </w:rPr>
            </w:pPr>
            <w:r w:rsidRPr="00D54752">
              <w:rPr>
                <w:rFonts w:cstheme="minorHAnsi"/>
              </w:rPr>
              <w:t>4</w:t>
            </w:r>
          </w:p>
        </w:tc>
        <w:tc>
          <w:tcPr>
            <w:tcW w:w="312" w:type="pct"/>
            <w:shd w:val="clear" w:color="auto" w:fill="auto"/>
            <w:vAlign w:val="center"/>
          </w:tcPr>
          <w:p w14:paraId="4C245E88" w14:textId="77777777" w:rsidR="00AB379C" w:rsidRPr="00D54752" w:rsidRDefault="00AB379C" w:rsidP="007055F6">
            <w:pPr>
              <w:jc w:val="center"/>
              <w:rPr>
                <w:rFonts w:eastAsia="Times New Roman" w:cstheme="minorHAnsi"/>
                <w:b/>
                <w:bCs/>
                <w:lang w:bidi="ar-SA"/>
              </w:rPr>
            </w:pPr>
            <w:r w:rsidRPr="00D54752">
              <w:rPr>
                <w:rFonts w:cstheme="minorHAnsi"/>
                <w:b/>
                <w:bCs/>
              </w:rPr>
              <w:t>96.3%</w:t>
            </w:r>
          </w:p>
        </w:tc>
        <w:tc>
          <w:tcPr>
            <w:tcW w:w="343" w:type="pct"/>
            <w:shd w:val="clear" w:color="auto" w:fill="auto"/>
            <w:vAlign w:val="center"/>
          </w:tcPr>
          <w:p w14:paraId="2A4B68BE" w14:textId="77777777" w:rsidR="00AB379C" w:rsidRPr="00D54752" w:rsidRDefault="00AB379C" w:rsidP="007055F6">
            <w:pPr>
              <w:jc w:val="center"/>
              <w:rPr>
                <w:rFonts w:eastAsia="Times New Roman" w:cstheme="minorHAnsi"/>
                <w:lang w:bidi="ar-SA"/>
              </w:rPr>
            </w:pPr>
            <w:r w:rsidRPr="00D54752">
              <w:rPr>
                <w:rFonts w:cstheme="minorHAnsi"/>
              </w:rPr>
              <w:t>92.3%</w:t>
            </w:r>
          </w:p>
        </w:tc>
        <w:tc>
          <w:tcPr>
            <w:tcW w:w="375" w:type="pct"/>
            <w:shd w:val="clear" w:color="auto" w:fill="auto"/>
            <w:vAlign w:val="center"/>
          </w:tcPr>
          <w:p w14:paraId="29FDFE17" w14:textId="77777777" w:rsidR="00AB379C" w:rsidRPr="00D54752" w:rsidRDefault="00AB379C" w:rsidP="007055F6">
            <w:pPr>
              <w:jc w:val="center"/>
              <w:rPr>
                <w:rFonts w:eastAsia="Times New Roman" w:cstheme="minorHAnsi"/>
                <w:lang w:bidi="ar-SA"/>
              </w:rPr>
            </w:pPr>
            <w:r w:rsidRPr="00D54752">
              <w:rPr>
                <w:rFonts w:cstheme="minorHAnsi"/>
              </w:rPr>
              <w:t>100.0%</w:t>
            </w:r>
          </w:p>
        </w:tc>
        <w:tc>
          <w:tcPr>
            <w:tcW w:w="376" w:type="pct"/>
            <w:shd w:val="clear" w:color="auto" w:fill="auto"/>
            <w:vAlign w:val="center"/>
          </w:tcPr>
          <w:p w14:paraId="1009939F" w14:textId="77777777" w:rsidR="00AB379C" w:rsidRPr="00D54752" w:rsidRDefault="00AB379C" w:rsidP="007055F6">
            <w:pPr>
              <w:jc w:val="center"/>
              <w:rPr>
                <w:rFonts w:eastAsia="Times New Roman" w:cstheme="minorHAnsi"/>
                <w:lang w:bidi="ar-SA"/>
              </w:rPr>
            </w:pPr>
            <w:r w:rsidRPr="00D54752">
              <w:rPr>
                <w:rFonts w:cstheme="minorHAnsi"/>
              </w:rPr>
              <w:t>84.8%</w:t>
            </w:r>
          </w:p>
        </w:tc>
        <w:tc>
          <w:tcPr>
            <w:tcW w:w="435" w:type="pct"/>
            <w:shd w:val="clear" w:color="auto" w:fill="auto"/>
            <w:vAlign w:val="center"/>
          </w:tcPr>
          <w:p w14:paraId="5A70F761"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343" w:type="pct"/>
            <w:shd w:val="clear" w:color="auto" w:fill="auto"/>
            <w:vAlign w:val="center"/>
          </w:tcPr>
          <w:p w14:paraId="3ACF1C0E" w14:textId="77777777" w:rsidR="00AB379C" w:rsidRPr="00D54752" w:rsidRDefault="00AB379C" w:rsidP="007055F6">
            <w:pPr>
              <w:jc w:val="center"/>
              <w:rPr>
                <w:rFonts w:eastAsia="Times New Roman" w:cstheme="minorHAnsi"/>
                <w:lang w:bidi="ar-SA"/>
              </w:rPr>
            </w:pPr>
            <w:r w:rsidRPr="00D54752">
              <w:rPr>
                <w:rFonts w:cstheme="minorHAnsi"/>
              </w:rPr>
              <w:t>96.0%</w:t>
            </w:r>
          </w:p>
        </w:tc>
        <w:tc>
          <w:tcPr>
            <w:tcW w:w="343" w:type="pct"/>
            <w:shd w:val="clear" w:color="auto" w:fill="auto"/>
            <w:vAlign w:val="center"/>
          </w:tcPr>
          <w:p w14:paraId="36741A6E"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1F26C388"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42694556" w14:textId="77777777" w:rsidTr="00BA3D10">
        <w:trPr>
          <w:cantSplit/>
          <w:trHeight w:val="144"/>
        </w:trPr>
        <w:tc>
          <w:tcPr>
            <w:tcW w:w="296" w:type="pct"/>
            <w:shd w:val="clear" w:color="auto" w:fill="FFFFFF" w:themeFill="background1"/>
            <w:vAlign w:val="center"/>
            <w:hideMark/>
          </w:tcPr>
          <w:p w14:paraId="720F320F"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50" w:type="pct"/>
            <w:shd w:val="clear" w:color="auto" w:fill="FFFFFF" w:themeFill="background1"/>
            <w:vAlign w:val="center"/>
            <w:hideMark/>
          </w:tcPr>
          <w:p w14:paraId="4C006F0C" w14:textId="77777777"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Appropriate Treatment for Children with Upper Respiratory Infection (Total)</w:t>
            </w:r>
          </w:p>
        </w:tc>
        <w:tc>
          <w:tcPr>
            <w:tcW w:w="312" w:type="pct"/>
            <w:shd w:val="clear" w:color="auto" w:fill="auto"/>
            <w:vAlign w:val="center"/>
          </w:tcPr>
          <w:p w14:paraId="47B0F41A" w14:textId="77777777" w:rsidR="00AB379C" w:rsidRPr="00D54752" w:rsidRDefault="00AB379C" w:rsidP="007055F6">
            <w:pPr>
              <w:jc w:val="center"/>
              <w:rPr>
                <w:rFonts w:eastAsia="Times New Roman" w:cstheme="minorHAnsi"/>
                <w:lang w:bidi="ar-SA"/>
              </w:rPr>
            </w:pPr>
            <w:r w:rsidRPr="00D54752">
              <w:rPr>
                <w:rFonts w:cstheme="minorHAnsi"/>
              </w:rPr>
              <w:t>2,413</w:t>
            </w:r>
          </w:p>
        </w:tc>
        <w:tc>
          <w:tcPr>
            <w:tcW w:w="280" w:type="pct"/>
            <w:shd w:val="clear" w:color="auto" w:fill="auto"/>
            <w:vAlign w:val="center"/>
          </w:tcPr>
          <w:p w14:paraId="6A9173FE" w14:textId="77777777" w:rsidR="00AB379C" w:rsidRPr="00D54752" w:rsidRDefault="00AB379C" w:rsidP="007055F6">
            <w:pPr>
              <w:jc w:val="center"/>
              <w:rPr>
                <w:rFonts w:eastAsia="Times New Roman" w:cstheme="minorHAnsi"/>
                <w:lang w:bidi="ar-SA"/>
              </w:rPr>
            </w:pPr>
            <w:r w:rsidRPr="00D54752">
              <w:rPr>
                <w:rFonts w:cstheme="minorHAnsi"/>
              </w:rPr>
              <w:t>93</w:t>
            </w:r>
          </w:p>
        </w:tc>
        <w:tc>
          <w:tcPr>
            <w:tcW w:w="312" w:type="pct"/>
            <w:shd w:val="clear" w:color="auto" w:fill="auto"/>
            <w:vAlign w:val="center"/>
          </w:tcPr>
          <w:p w14:paraId="691BBC59" w14:textId="77777777" w:rsidR="00AB379C" w:rsidRPr="00D54752" w:rsidRDefault="00AB379C" w:rsidP="007055F6">
            <w:pPr>
              <w:jc w:val="center"/>
              <w:rPr>
                <w:rFonts w:eastAsia="Times New Roman" w:cstheme="minorHAnsi"/>
                <w:b/>
                <w:bCs/>
                <w:lang w:bidi="ar-SA"/>
              </w:rPr>
            </w:pPr>
            <w:r w:rsidRPr="00D54752">
              <w:rPr>
                <w:rFonts w:cstheme="minorHAnsi"/>
                <w:b/>
                <w:bCs/>
              </w:rPr>
              <w:t>96.2%</w:t>
            </w:r>
          </w:p>
        </w:tc>
        <w:tc>
          <w:tcPr>
            <w:tcW w:w="343" w:type="pct"/>
            <w:shd w:val="clear" w:color="auto" w:fill="auto"/>
            <w:vAlign w:val="center"/>
          </w:tcPr>
          <w:p w14:paraId="6815A3CE" w14:textId="77777777" w:rsidR="00AB379C" w:rsidRPr="00D54752" w:rsidRDefault="00AB379C" w:rsidP="007055F6">
            <w:pPr>
              <w:jc w:val="center"/>
              <w:rPr>
                <w:rFonts w:eastAsia="Times New Roman" w:cstheme="minorHAnsi"/>
                <w:lang w:bidi="ar-SA"/>
              </w:rPr>
            </w:pPr>
            <w:r w:rsidRPr="00D54752">
              <w:rPr>
                <w:rFonts w:cstheme="minorHAnsi"/>
              </w:rPr>
              <w:t>95.4%</w:t>
            </w:r>
          </w:p>
        </w:tc>
        <w:tc>
          <w:tcPr>
            <w:tcW w:w="375" w:type="pct"/>
            <w:shd w:val="clear" w:color="auto" w:fill="auto"/>
            <w:vAlign w:val="center"/>
          </w:tcPr>
          <w:p w14:paraId="213A113F" w14:textId="77777777" w:rsidR="00AB379C" w:rsidRPr="00D54752" w:rsidRDefault="00AB379C" w:rsidP="007055F6">
            <w:pPr>
              <w:jc w:val="center"/>
              <w:rPr>
                <w:rFonts w:eastAsia="Times New Roman" w:cstheme="minorHAnsi"/>
                <w:lang w:bidi="ar-SA"/>
              </w:rPr>
            </w:pPr>
            <w:r w:rsidRPr="00D54752">
              <w:rPr>
                <w:rFonts w:cstheme="minorHAnsi"/>
              </w:rPr>
              <w:t>96.9%</w:t>
            </w:r>
          </w:p>
        </w:tc>
        <w:tc>
          <w:tcPr>
            <w:tcW w:w="376" w:type="pct"/>
            <w:shd w:val="clear" w:color="auto" w:fill="auto"/>
            <w:vAlign w:val="center"/>
          </w:tcPr>
          <w:p w14:paraId="4BB45795" w14:textId="77777777" w:rsidR="00AB379C" w:rsidRPr="00D54752" w:rsidRDefault="00AB379C" w:rsidP="007055F6">
            <w:pPr>
              <w:jc w:val="center"/>
              <w:rPr>
                <w:rFonts w:eastAsia="Times New Roman" w:cstheme="minorHAnsi"/>
                <w:lang w:bidi="ar-SA"/>
              </w:rPr>
            </w:pPr>
            <w:r w:rsidRPr="00D54752">
              <w:rPr>
                <w:rFonts w:cstheme="minorHAnsi"/>
              </w:rPr>
              <w:t>92.1%</w:t>
            </w:r>
          </w:p>
        </w:tc>
        <w:tc>
          <w:tcPr>
            <w:tcW w:w="435" w:type="pct"/>
            <w:shd w:val="clear" w:color="auto" w:fill="auto"/>
            <w:vAlign w:val="center"/>
          </w:tcPr>
          <w:p w14:paraId="6090C3B9"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343" w:type="pct"/>
            <w:shd w:val="clear" w:color="auto" w:fill="auto"/>
            <w:vAlign w:val="center"/>
          </w:tcPr>
          <w:p w14:paraId="2CB16CD2" w14:textId="77777777" w:rsidR="00AB379C" w:rsidRPr="00D54752" w:rsidRDefault="00AB379C" w:rsidP="007055F6">
            <w:pPr>
              <w:jc w:val="center"/>
              <w:rPr>
                <w:rFonts w:eastAsia="Times New Roman" w:cstheme="minorHAnsi"/>
                <w:lang w:bidi="ar-SA"/>
              </w:rPr>
            </w:pPr>
            <w:r w:rsidRPr="00D54752">
              <w:rPr>
                <w:rFonts w:cstheme="minorHAnsi"/>
              </w:rPr>
              <w:t>95.5%</w:t>
            </w:r>
          </w:p>
        </w:tc>
        <w:tc>
          <w:tcPr>
            <w:tcW w:w="343" w:type="pct"/>
            <w:shd w:val="clear" w:color="auto" w:fill="auto"/>
            <w:vAlign w:val="center"/>
          </w:tcPr>
          <w:p w14:paraId="2DA87B3F"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338CFA40"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3CDBBA20" w14:textId="77777777" w:rsidTr="00BA3D10">
        <w:trPr>
          <w:cantSplit/>
          <w:trHeight w:val="144"/>
        </w:trPr>
        <w:tc>
          <w:tcPr>
            <w:tcW w:w="296" w:type="pct"/>
            <w:shd w:val="clear" w:color="auto" w:fill="FFFFFF" w:themeFill="background1"/>
            <w:vAlign w:val="center"/>
          </w:tcPr>
          <w:p w14:paraId="5B95D725"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PA EQR</w:t>
            </w:r>
          </w:p>
        </w:tc>
        <w:tc>
          <w:tcPr>
            <w:tcW w:w="1050" w:type="pct"/>
            <w:shd w:val="clear" w:color="auto" w:fill="FFFFFF" w:themeFill="background1"/>
            <w:vAlign w:val="center"/>
          </w:tcPr>
          <w:p w14:paraId="1E6B9DA8" w14:textId="1070A60D"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 xml:space="preserve">Annual </w:t>
            </w:r>
            <w:r w:rsidR="00885A0E">
              <w:rPr>
                <w:rFonts w:eastAsia="Times New Roman" w:cstheme="minorHAnsi"/>
                <w:lang w:bidi="ar-SA"/>
              </w:rPr>
              <w:t>Percentage</w:t>
            </w:r>
            <w:r w:rsidRPr="00D54752">
              <w:rPr>
                <w:rFonts w:eastAsia="Times New Roman" w:cstheme="minorHAnsi"/>
                <w:lang w:bidi="ar-SA"/>
              </w:rPr>
              <w:t xml:space="preserve"> of Asthma Patients with One or More Asthma-Related Emergency Room Visits</w:t>
            </w:r>
            <w:r w:rsidRPr="00D54752">
              <w:rPr>
                <w:rFonts w:eastAsia="Times New Roman" w:cstheme="minorHAnsi"/>
                <w:lang w:bidi="ar-SA"/>
              </w:rPr>
              <w:br/>
              <w:t>(Ages 2–19 years)</w:t>
            </w:r>
          </w:p>
        </w:tc>
        <w:tc>
          <w:tcPr>
            <w:tcW w:w="312" w:type="pct"/>
            <w:shd w:val="clear" w:color="auto" w:fill="auto"/>
            <w:vAlign w:val="center"/>
          </w:tcPr>
          <w:p w14:paraId="218BE922" w14:textId="77777777" w:rsidR="00AB379C" w:rsidRPr="00D54752" w:rsidRDefault="00AB379C" w:rsidP="007055F6">
            <w:pPr>
              <w:jc w:val="center"/>
              <w:rPr>
                <w:rFonts w:eastAsia="Times New Roman" w:cstheme="minorHAnsi"/>
                <w:lang w:bidi="ar-SA"/>
              </w:rPr>
            </w:pPr>
            <w:r w:rsidRPr="00D54752">
              <w:rPr>
                <w:rFonts w:cstheme="minorHAnsi"/>
              </w:rPr>
              <w:t>1,024</w:t>
            </w:r>
          </w:p>
        </w:tc>
        <w:tc>
          <w:tcPr>
            <w:tcW w:w="280" w:type="pct"/>
            <w:shd w:val="clear" w:color="auto" w:fill="auto"/>
            <w:vAlign w:val="center"/>
          </w:tcPr>
          <w:p w14:paraId="0F7B928C" w14:textId="77777777" w:rsidR="00AB379C" w:rsidRPr="00D54752" w:rsidRDefault="00AB379C" w:rsidP="007055F6">
            <w:pPr>
              <w:jc w:val="center"/>
              <w:rPr>
                <w:rFonts w:eastAsia="Times New Roman" w:cstheme="minorHAnsi"/>
                <w:lang w:bidi="ar-SA"/>
              </w:rPr>
            </w:pPr>
            <w:r w:rsidRPr="00D54752">
              <w:rPr>
                <w:rFonts w:cstheme="minorHAnsi"/>
              </w:rPr>
              <w:t>83</w:t>
            </w:r>
          </w:p>
        </w:tc>
        <w:tc>
          <w:tcPr>
            <w:tcW w:w="312" w:type="pct"/>
            <w:shd w:val="clear" w:color="auto" w:fill="auto"/>
            <w:vAlign w:val="center"/>
          </w:tcPr>
          <w:p w14:paraId="12B1CC7E" w14:textId="77777777" w:rsidR="00AB379C" w:rsidRPr="00D54752" w:rsidRDefault="00AB379C" w:rsidP="007055F6">
            <w:pPr>
              <w:jc w:val="center"/>
              <w:rPr>
                <w:rFonts w:eastAsia="Times New Roman" w:cstheme="minorHAnsi"/>
                <w:b/>
                <w:bCs/>
                <w:lang w:bidi="ar-SA"/>
              </w:rPr>
            </w:pPr>
            <w:r w:rsidRPr="00D54752">
              <w:rPr>
                <w:rFonts w:cstheme="minorHAnsi"/>
                <w:b/>
                <w:bCs/>
              </w:rPr>
              <w:t>8.1%</w:t>
            </w:r>
          </w:p>
        </w:tc>
        <w:tc>
          <w:tcPr>
            <w:tcW w:w="343" w:type="pct"/>
            <w:shd w:val="clear" w:color="auto" w:fill="auto"/>
            <w:vAlign w:val="center"/>
          </w:tcPr>
          <w:p w14:paraId="49FECA20" w14:textId="77777777" w:rsidR="00AB379C" w:rsidRPr="00D54752" w:rsidRDefault="00AB379C" w:rsidP="007055F6">
            <w:pPr>
              <w:jc w:val="center"/>
              <w:rPr>
                <w:rFonts w:eastAsia="Times New Roman" w:cstheme="minorHAnsi"/>
                <w:lang w:bidi="ar-SA"/>
              </w:rPr>
            </w:pPr>
            <w:r w:rsidRPr="00D54752">
              <w:rPr>
                <w:rFonts w:cstheme="minorHAnsi"/>
              </w:rPr>
              <w:t>6.4%</w:t>
            </w:r>
          </w:p>
        </w:tc>
        <w:tc>
          <w:tcPr>
            <w:tcW w:w="375" w:type="pct"/>
            <w:shd w:val="clear" w:color="auto" w:fill="auto"/>
            <w:vAlign w:val="center"/>
          </w:tcPr>
          <w:p w14:paraId="4E9D0AFC" w14:textId="77777777" w:rsidR="00AB379C" w:rsidRPr="00D54752" w:rsidRDefault="00AB379C" w:rsidP="007055F6">
            <w:pPr>
              <w:jc w:val="center"/>
              <w:rPr>
                <w:rFonts w:eastAsia="Times New Roman" w:cstheme="minorHAnsi"/>
                <w:lang w:bidi="ar-SA"/>
              </w:rPr>
            </w:pPr>
            <w:r w:rsidRPr="00D54752">
              <w:rPr>
                <w:rFonts w:cstheme="minorHAnsi"/>
              </w:rPr>
              <w:t>9.8%</w:t>
            </w:r>
          </w:p>
        </w:tc>
        <w:tc>
          <w:tcPr>
            <w:tcW w:w="376" w:type="pct"/>
            <w:shd w:val="clear" w:color="auto" w:fill="auto"/>
            <w:vAlign w:val="center"/>
          </w:tcPr>
          <w:p w14:paraId="79BB4BD2" w14:textId="77777777" w:rsidR="00AB379C" w:rsidRPr="00D54752" w:rsidRDefault="00AB379C" w:rsidP="007055F6">
            <w:pPr>
              <w:jc w:val="center"/>
              <w:rPr>
                <w:rFonts w:eastAsia="Times New Roman" w:cstheme="minorHAnsi"/>
                <w:lang w:bidi="ar-SA"/>
              </w:rPr>
            </w:pPr>
            <w:r w:rsidRPr="00D54752">
              <w:rPr>
                <w:rFonts w:cstheme="minorHAnsi"/>
              </w:rPr>
              <w:t>6.3%</w:t>
            </w:r>
          </w:p>
        </w:tc>
        <w:tc>
          <w:tcPr>
            <w:tcW w:w="435" w:type="pct"/>
            <w:shd w:val="clear" w:color="auto" w:fill="auto"/>
            <w:vAlign w:val="center"/>
          </w:tcPr>
          <w:p w14:paraId="2158B52C"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632B1274" w14:textId="77777777" w:rsidR="00AB379C" w:rsidRPr="00D54752" w:rsidRDefault="00AB379C" w:rsidP="007055F6">
            <w:pPr>
              <w:jc w:val="center"/>
              <w:rPr>
                <w:rFonts w:eastAsia="Times New Roman" w:cstheme="minorHAnsi"/>
                <w:lang w:bidi="ar-SA"/>
              </w:rPr>
            </w:pPr>
            <w:r w:rsidRPr="00D54752">
              <w:rPr>
                <w:rFonts w:cstheme="minorHAnsi"/>
              </w:rPr>
              <w:t>9.1%</w:t>
            </w:r>
          </w:p>
        </w:tc>
        <w:tc>
          <w:tcPr>
            <w:tcW w:w="343" w:type="pct"/>
            <w:shd w:val="clear" w:color="auto" w:fill="auto"/>
            <w:vAlign w:val="center"/>
          </w:tcPr>
          <w:p w14:paraId="066FD232"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0ADF8AC7"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69B4227C" w14:textId="77777777" w:rsidTr="00BA3D10">
        <w:trPr>
          <w:cantSplit/>
          <w:trHeight w:val="144"/>
        </w:trPr>
        <w:tc>
          <w:tcPr>
            <w:tcW w:w="296" w:type="pct"/>
            <w:shd w:val="clear" w:color="auto" w:fill="FFFFFF" w:themeFill="background1"/>
            <w:vAlign w:val="center"/>
          </w:tcPr>
          <w:p w14:paraId="5480428D"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lastRenderedPageBreak/>
              <w:t>HEDIS</w:t>
            </w:r>
          </w:p>
        </w:tc>
        <w:tc>
          <w:tcPr>
            <w:tcW w:w="1050" w:type="pct"/>
            <w:shd w:val="clear" w:color="auto" w:fill="FFFFFF" w:themeFill="background1"/>
            <w:vAlign w:val="center"/>
          </w:tcPr>
          <w:p w14:paraId="57860EC3" w14:textId="2D5495C0"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Asthma Medication Ratio (</w:t>
            </w:r>
            <w:r w:rsidR="00EA2591">
              <w:rPr>
                <w:rFonts w:eastAsia="Times New Roman" w:cstheme="minorHAnsi"/>
                <w:lang w:bidi="ar-SA"/>
              </w:rPr>
              <w:t xml:space="preserve">Ages </w:t>
            </w:r>
            <w:r w:rsidRPr="00D54752">
              <w:rPr>
                <w:rFonts w:eastAsia="Times New Roman" w:cstheme="minorHAnsi"/>
                <w:lang w:bidi="ar-SA"/>
              </w:rPr>
              <w:t>5–11 years)</w:t>
            </w:r>
          </w:p>
        </w:tc>
        <w:tc>
          <w:tcPr>
            <w:tcW w:w="312" w:type="pct"/>
            <w:shd w:val="clear" w:color="auto" w:fill="auto"/>
            <w:vAlign w:val="center"/>
          </w:tcPr>
          <w:p w14:paraId="4CF12C20" w14:textId="77777777" w:rsidR="00AB379C" w:rsidRPr="00D54752" w:rsidRDefault="00AB379C" w:rsidP="007055F6">
            <w:pPr>
              <w:jc w:val="center"/>
              <w:rPr>
                <w:rFonts w:eastAsia="Times New Roman" w:cstheme="minorHAnsi"/>
                <w:lang w:bidi="ar-SA"/>
              </w:rPr>
            </w:pPr>
            <w:r w:rsidRPr="00D54752">
              <w:rPr>
                <w:rFonts w:cstheme="minorHAnsi"/>
              </w:rPr>
              <w:t>129</w:t>
            </w:r>
          </w:p>
        </w:tc>
        <w:tc>
          <w:tcPr>
            <w:tcW w:w="280" w:type="pct"/>
            <w:shd w:val="clear" w:color="auto" w:fill="auto"/>
            <w:vAlign w:val="center"/>
          </w:tcPr>
          <w:p w14:paraId="5B36A6EF" w14:textId="77777777" w:rsidR="00AB379C" w:rsidRPr="00D54752" w:rsidRDefault="00AB379C" w:rsidP="007055F6">
            <w:pPr>
              <w:jc w:val="center"/>
              <w:rPr>
                <w:rFonts w:eastAsia="Times New Roman" w:cstheme="minorHAnsi"/>
                <w:lang w:bidi="ar-SA"/>
              </w:rPr>
            </w:pPr>
            <w:r w:rsidRPr="00D54752">
              <w:rPr>
                <w:rFonts w:cstheme="minorHAnsi"/>
              </w:rPr>
              <w:t>114</w:t>
            </w:r>
          </w:p>
        </w:tc>
        <w:tc>
          <w:tcPr>
            <w:tcW w:w="312" w:type="pct"/>
            <w:shd w:val="clear" w:color="auto" w:fill="auto"/>
            <w:vAlign w:val="center"/>
          </w:tcPr>
          <w:p w14:paraId="5AAEFA76" w14:textId="77777777" w:rsidR="00AB379C" w:rsidRPr="00D54752" w:rsidRDefault="00AB379C" w:rsidP="007055F6">
            <w:pPr>
              <w:jc w:val="center"/>
              <w:rPr>
                <w:rFonts w:eastAsia="Times New Roman" w:cstheme="minorHAnsi"/>
                <w:b/>
                <w:bCs/>
                <w:lang w:bidi="ar-SA"/>
              </w:rPr>
            </w:pPr>
            <w:r w:rsidRPr="00D54752">
              <w:rPr>
                <w:rFonts w:cstheme="minorHAnsi"/>
                <w:b/>
                <w:bCs/>
              </w:rPr>
              <w:t>88.4%</w:t>
            </w:r>
          </w:p>
        </w:tc>
        <w:tc>
          <w:tcPr>
            <w:tcW w:w="343" w:type="pct"/>
            <w:shd w:val="clear" w:color="auto" w:fill="auto"/>
            <w:vAlign w:val="center"/>
          </w:tcPr>
          <w:p w14:paraId="05CB6054" w14:textId="77777777" w:rsidR="00AB379C" w:rsidRPr="00D54752" w:rsidRDefault="00AB379C" w:rsidP="007055F6">
            <w:pPr>
              <w:jc w:val="center"/>
              <w:rPr>
                <w:rFonts w:eastAsia="Times New Roman" w:cstheme="minorHAnsi"/>
                <w:lang w:bidi="ar-SA"/>
              </w:rPr>
            </w:pPr>
            <w:r w:rsidRPr="00D54752">
              <w:rPr>
                <w:rFonts w:cstheme="minorHAnsi"/>
              </w:rPr>
              <w:t>82.5%</w:t>
            </w:r>
          </w:p>
        </w:tc>
        <w:tc>
          <w:tcPr>
            <w:tcW w:w="375" w:type="pct"/>
            <w:shd w:val="clear" w:color="auto" w:fill="auto"/>
            <w:vAlign w:val="center"/>
          </w:tcPr>
          <w:p w14:paraId="663B39B9" w14:textId="77777777" w:rsidR="00AB379C" w:rsidRPr="00D54752" w:rsidRDefault="00AB379C" w:rsidP="007055F6">
            <w:pPr>
              <w:jc w:val="center"/>
              <w:rPr>
                <w:rFonts w:eastAsia="Times New Roman" w:cstheme="minorHAnsi"/>
                <w:lang w:bidi="ar-SA"/>
              </w:rPr>
            </w:pPr>
            <w:r w:rsidRPr="00D54752">
              <w:rPr>
                <w:rFonts w:cstheme="minorHAnsi"/>
              </w:rPr>
              <w:t>94.3%</w:t>
            </w:r>
          </w:p>
        </w:tc>
        <w:tc>
          <w:tcPr>
            <w:tcW w:w="376" w:type="pct"/>
            <w:shd w:val="clear" w:color="auto" w:fill="auto"/>
            <w:vAlign w:val="center"/>
          </w:tcPr>
          <w:p w14:paraId="09226BCA" w14:textId="77777777" w:rsidR="00AB379C" w:rsidRPr="00D54752" w:rsidRDefault="00AB379C" w:rsidP="007055F6">
            <w:pPr>
              <w:jc w:val="center"/>
              <w:rPr>
                <w:rFonts w:eastAsia="Times New Roman" w:cstheme="minorHAnsi"/>
                <w:lang w:bidi="ar-SA"/>
              </w:rPr>
            </w:pPr>
            <w:r w:rsidRPr="00D54752">
              <w:rPr>
                <w:rFonts w:cstheme="minorHAnsi"/>
              </w:rPr>
              <w:t>85.0%</w:t>
            </w:r>
          </w:p>
        </w:tc>
        <w:tc>
          <w:tcPr>
            <w:tcW w:w="435" w:type="pct"/>
            <w:shd w:val="clear" w:color="auto" w:fill="auto"/>
            <w:vAlign w:val="center"/>
          </w:tcPr>
          <w:p w14:paraId="088DE859"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47174824" w14:textId="77777777" w:rsidR="00AB379C" w:rsidRPr="00D54752" w:rsidRDefault="00AB379C" w:rsidP="007055F6">
            <w:pPr>
              <w:jc w:val="center"/>
              <w:rPr>
                <w:rFonts w:eastAsia="Times New Roman" w:cstheme="minorHAnsi"/>
                <w:lang w:bidi="ar-SA"/>
              </w:rPr>
            </w:pPr>
            <w:r w:rsidRPr="00D54752">
              <w:rPr>
                <w:rFonts w:cstheme="minorHAnsi"/>
              </w:rPr>
              <w:t>79.3%</w:t>
            </w:r>
          </w:p>
        </w:tc>
        <w:tc>
          <w:tcPr>
            <w:tcW w:w="343" w:type="pct"/>
            <w:shd w:val="clear" w:color="auto" w:fill="auto"/>
            <w:vAlign w:val="center"/>
          </w:tcPr>
          <w:p w14:paraId="6337748D"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535" w:type="pct"/>
            <w:shd w:val="clear" w:color="auto" w:fill="auto"/>
            <w:vAlign w:val="center"/>
          </w:tcPr>
          <w:p w14:paraId="617F3F81" w14:textId="494A1EF5"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647C0DC2" w14:textId="77777777" w:rsidTr="00BA3D10">
        <w:trPr>
          <w:cantSplit/>
          <w:trHeight w:val="638"/>
        </w:trPr>
        <w:tc>
          <w:tcPr>
            <w:tcW w:w="296" w:type="pct"/>
            <w:shd w:val="clear" w:color="auto" w:fill="FFFFFF" w:themeFill="background1"/>
            <w:vAlign w:val="center"/>
          </w:tcPr>
          <w:p w14:paraId="3E9BDB18"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50" w:type="pct"/>
            <w:shd w:val="clear" w:color="auto" w:fill="FFFFFF" w:themeFill="background1"/>
            <w:vAlign w:val="center"/>
          </w:tcPr>
          <w:p w14:paraId="7C30FEB5" w14:textId="0922E848"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Asthma Medication Ratio (</w:t>
            </w:r>
            <w:r w:rsidR="00EA2591">
              <w:rPr>
                <w:rFonts w:eastAsia="Times New Roman" w:cstheme="minorHAnsi"/>
                <w:lang w:bidi="ar-SA"/>
              </w:rPr>
              <w:t xml:space="preserve">Ages </w:t>
            </w:r>
            <w:r w:rsidRPr="00D54752">
              <w:rPr>
                <w:rFonts w:eastAsia="Times New Roman" w:cstheme="minorHAnsi"/>
                <w:lang w:bidi="ar-SA"/>
              </w:rPr>
              <w:t>12–18 years)</w:t>
            </w:r>
          </w:p>
        </w:tc>
        <w:tc>
          <w:tcPr>
            <w:tcW w:w="312" w:type="pct"/>
            <w:shd w:val="clear" w:color="auto" w:fill="auto"/>
            <w:vAlign w:val="center"/>
          </w:tcPr>
          <w:p w14:paraId="7EA86188" w14:textId="77777777" w:rsidR="00AB379C" w:rsidRPr="00D54752" w:rsidRDefault="00AB379C" w:rsidP="007055F6">
            <w:pPr>
              <w:jc w:val="center"/>
              <w:rPr>
                <w:rFonts w:eastAsia="Times New Roman" w:cstheme="minorHAnsi"/>
                <w:lang w:bidi="ar-SA"/>
              </w:rPr>
            </w:pPr>
            <w:r w:rsidRPr="00D54752">
              <w:rPr>
                <w:rFonts w:cstheme="minorHAnsi"/>
              </w:rPr>
              <w:t>158</w:t>
            </w:r>
          </w:p>
        </w:tc>
        <w:tc>
          <w:tcPr>
            <w:tcW w:w="280" w:type="pct"/>
            <w:shd w:val="clear" w:color="auto" w:fill="auto"/>
            <w:vAlign w:val="center"/>
          </w:tcPr>
          <w:p w14:paraId="1CB2A14F" w14:textId="77777777" w:rsidR="00AB379C" w:rsidRPr="00D54752" w:rsidRDefault="00AB379C" w:rsidP="007055F6">
            <w:pPr>
              <w:jc w:val="center"/>
              <w:rPr>
                <w:rFonts w:eastAsia="Times New Roman" w:cstheme="minorHAnsi"/>
                <w:lang w:bidi="ar-SA"/>
              </w:rPr>
            </w:pPr>
            <w:r w:rsidRPr="00D54752">
              <w:rPr>
                <w:rFonts w:cstheme="minorHAnsi"/>
              </w:rPr>
              <w:t>115</w:t>
            </w:r>
          </w:p>
        </w:tc>
        <w:tc>
          <w:tcPr>
            <w:tcW w:w="312" w:type="pct"/>
            <w:shd w:val="clear" w:color="auto" w:fill="auto"/>
            <w:vAlign w:val="center"/>
          </w:tcPr>
          <w:p w14:paraId="0BE313C4" w14:textId="77777777" w:rsidR="00AB379C" w:rsidRPr="00D54752" w:rsidRDefault="00AB379C" w:rsidP="007055F6">
            <w:pPr>
              <w:jc w:val="center"/>
              <w:rPr>
                <w:rFonts w:eastAsia="Times New Roman" w:cstheme="minorHAnsi"/>
                <w:b/>
                <w:bCs/>
                <w:lang w:bidi="ar-SA"/>
              </w:rPr>
            </w:pPr>
            <w:r w:rsidRPr="00D54752">
              <w:rPr>
                <w:rFonts w:cstheme="minorHAnsi"/>
                <w:b/>
                <w:bCs/>
              </w:rPr>
              <w:t>72.8%</w:t>
            </w:r>
          </w:p>
        </w:tc>
        <w:tc>
          <w:tcPr>
            <w:tcW w:w="343" w:type="pct"/>
            <w:shd w:val="clear" w:color="auto" w:fill="auto"/>
            <w:vAlign w:val="center"/>
          </w:tcPr>
          <w:p w14:paraId="217A054C" w14:textId="77777777" w:rsidR="00AB379C" w:rsidRPr="00D54752" w:rsidRDefault="00AB379C" w:rsidP="007055F6">
            <w:pPr>
              <w:jc w:val="center"/>
              <w:rPr>
                <w:rFonts w:eastAsia="Times New Roman" w:cstheme="minorHAnsi"/>
                <w:lang w:bidi="ar-SA"/>
              </w:rPr>
            </w:pPr>
            <w:r w:rsidRPr="00D54752">
              <w:rPr>
                <w:rFonts w:cstheme="minorHAnsi"/>
              </w:rPr>
              <w:t>65.5%</w:t>
            </w:r>
          </w:p>
        </w:tc>
        <w:tc>
          <w:tcPr>
            <w:tcW w:w="375" w:type="pct"/>
            <w:shd w:val="clear" w:color="auto" w:fill="auto"/>
            <w:vAlign w:val="center"/>
          </w:tcPr>
          <w:p w14:paraId="6129E5D6" w14:textId="77777777" w:rsidR="00AB379C" w:rsidRPr="00D54752" w:rsidRDefault="00AB379C" w:rsidP="007055F6">
            <w:pPr>
              <w:jc w:val="center"/>
              <w:rPr>
                <w:rFonts w:eastAsia="Times New Roman" w:cstheme="minorHAnsi"/>
                <w:lang w:bidi="ar-SA"/>
              </w:rPr>
            </w:pPr>
            <w:r w:rsidRPr="00D54752">
              <w:rPr>
                <w:rFonts w:cstheme="minorHAnsi"/>
              </w:rPr>
              <w:t>80.0%</w:t>
            </w:r>
          </w:p>
        </w:tc>
        <w:tc>
          <w:tcPr>
            <w:tcW w:w="376" w:type="pct"/>
            <w:shd w:val="clear" w:color="auto" w:fill="auto"/>
            <w:vAlign w:val="center"/>
          </w:tcPr>
          <w:p w14:paraId="1F63298C" w14:textId="77777777" w:rsidR="00AB379C" w:rsidRPr="00D54752" w:rsidRDefault="00AB379C" w:rsidP="007055F6">
            <w:pPr>
              <w:jc w:val="center"/>
              <w:rPr>
                <w:rFonts w:eastAsia="Times New Roman" w:cstheme="minorHAnsi"/>
                <w:lang w:bidi="ar-SA"/>
              </w:rPr>
            </w:pPr>
            <w:r w:rsidRPr="00D54752">
              <w:rPr>
                <w:rFonts w:cstheme="minorHAnsi"/>
              </w:rPr>
              <w:t>70.0%</w:t>
            </w:r>
          </w:p>
        </w:tc>
        <w:tc>
          <w:tcPr>
            <w:tcW w:w="435" w:type="pct"/>
            <w:shd w:val="clear" w:color="auto" w:fill="auto"/>
            <w:vAlign w:val="center"/>
          </w:tcPr>
          <w:p w14:paraId="3A3D9B6E"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68808DF2" w14:textId="77777777" w:rsidR="00AB379C" w:rsidRPr="00D54752" w:rsidRDefault="00AB379C" w:rsidP="007055F6">
            <w:pPr>
              <w:jc w:val="center"/>
              <w:rPr>
                <w:rFonts w:eastAsia="Times New Roman" w:cstheme="minorHAnsi"/>
                <w:lang w:bidi="ar-SA"/>
              </w:rPr>
            </w:pPr>
            <w:r w:rsidRPr="00D54752">
              <w:rPr>
                <w:rFonts w:cstheme="minorHAnsi"/>
              </w:rPr>
              <w:t>73.8%</w:t>
            </w:r>
          </w:p>
        </w:tc>
        <w:tc>
          <w:tcPr>
            <w:tcW w:w="343" w:type="pct"/>
            <w:shd w:val="clear" w:color="auto" w:fill="auto"/>
            <w:vAlign w:val="center"/>
          </w:tcPr>
          <w:p w14:paraId="26D26597"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7090222D" w14:textId="7DD78346"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r w:rsidR="00AB379C" w:rsidRPr="00D54752" w14:paraId="222E22DD" w14:textId="77777777" w:rsidTr="00BA3D10">
        <w:trPr>
          <w:cantSplit/>
          <w:trHeight w:val="144"/>
        </w:trPr>
        <w:tc>
          <w:tcPr>
            <w:tcW w:w="296" w:type="pct"/>
            <w:shd w:val="clear" w:color="auto" w:fill="FFFFFF" w:themeFill="background1"/>
            <w:vAlign w:val="center"/>
          </w:tcPr>
          <w:p w14:paraId="0628BD99"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50" w:type="pct"/>
            <w:shd w:val="clear" w:color="auto" w:fill="FFFFFF" w:themeFill="background1"/>
            <w:vAlign w:val="center"/>
          </w:tcPr>
          <w:p w14:paraId="63FE3C32" w14:textId="5B46000A"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Asthma Medication Ratio (</w:t>
            </w:r>
            <w:r w:rsidR="00EA2591">
              <w:rPr>
                <w:rFonts w:eastAsia="Times New Roman" w:cstheme="minorHAnsi"/>
                <w:lang w:bidi="ar-SA"/>
              </w:rPr>
              <w:t xml:space="preserve">Age </w:t>
            </w:r>
            <w:r w:rsidRPr="00D54752">
              <w:rPr>
                <w:rFonts w:eastAsia="Times New Roman" w:cstheme="minorHAnsi"/>
                <w:lang w:bidi="ar-SA"/>
              </w:rPr>
              <w:t>19 years)</w:t>
            </w:r>
          </w:p>
        </w:tc>
        <w:tc>
          <w:tcPr>
            <w:tcW w:w="312" w:type="pct"/>
            <w:shd w:val="clear" w:color="auto" w:fill="auto"/>
            <w:vAlign w:val="center"/>
          </w:tcPr>
          <w:p w14:paraId="2B582B0C" w14:textId="77777777" w:rsidR="00AB379C" w:rsidRPr="00D54752" w:rsidRDefault="00AB379C" w:rsidP="007055F6">
            <w:pPr>
              <w:jc w:val="center"/>
              <w:rPr>
                <w:rFonts w:eastAsia="Times New Roman" w:cstheme="minorHAnsi"/>
                <w:lang w:bidi="ar-SA"/>
              </w:rPr>
            </w:pPr>
            <w:r w:rsidRPr="00D54752">
              <w:rPr>
                <w:rFonts w:cstheme="minorHAnsi"/>
              </w:rPr>
              <w:t>2</w:t>
            </w:r>
          </w:p>
        </w:tc>
        <w:tc>
          <w:tcPr>
            <w:tcW w:w="280" w:type="pct"/>
            <w:shd w:val="clear" w:color="auto" w:fill="auto"/>
            <w:vAlign w:val="center"/>
          </w:tcPr>
          <w:p w14:paraId="70783FE0" w14:textId="77777777" w:rsidR="00AB379C" w:rsidRPr="00D54752" w:rsidRDefault="00AB379C" w:rsidP="007055F6">
            <w:pPr>
              <w:jc w:val="center"/>
              <w:rPr>
                <w:rFonts w:eastAsia="Times New Roman" w:cstheme="minorHAnsi"/>
                <w:lang w:bidi="ar-SA"/>
              </w:rPr>
            </w:pPr>
            <w:r w:rsidRPr="00D54752">
              <w:rPr>
                <w:rFonts w:cstheme="minorHAnsi"/>
              </w:rPr>
              <w:t>2</w:t>
            </w:r>
          </w:p>
        </w:tc>
        <w:tc>
          <w:tcPr>
            <w:tcW w:w="312" w:type="pct"/>
            <w:shd w:val="clear" w:color="auto" w:fill="auto"/>
            <w:vAlign w:val="center"/>
          </w:tcPr>
          <w:p w14:paraId="50377061" w14:textId="77777777" w:rsidR="00AB379C" w:rsidRPr="00D54752" w:rsidRDefault="00AB379C" w:rsidP="007055F6">
            <w:pPr>
              <w:jc w:val="center"/>
              <w:rPr>
                <w:rFonts w:eastAsia="Times New Roman" w:cstheme="minorHAnsi"/>
                <w:b/>
                <w:bCs/>
                <w:lang w:bidi="ar-SA"/>
              </w:rPr>
            </w:pPr>
            <w:r w:rsidRPr="00D54752">
              <w:rPr>
                <w:rFonts w:cstheme="minorHAnsi"/>
                <w:b/>
                <w:bCs/>
              </w:rPr>
              <w:t>NA</w:t>
            </w:r>
          </w:p>
        </w:tc>
        <w:tc>
          <w:tcPr>
            <w:tcW w:w="343" w:type="pct"/>
            <w:shd w:val="clear" w:color="auto" w:fill="auto"/>
            <w:vAlign w:val="center"/>
          </w:tcPr>
          <w:p w14:paraId="79DF2AC0"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75" w:type="pct"/>
            <w:shd w:val="clear" w:color="auto" w:fill="auto"/>
            <w:vAlign w:val="center"/>
          </w:tcPr>
          <w:p w14:paraId="01780F13"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76" w:type="pct"/>
            <w:shd w:val="clear" w:color="auto" w:fill="auto"/>
            <w:vAlign w:val="center"/>
          </w:tcPr>
          <w:p w14:paraId="75E7012C"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435" w:type="pct"/>
            <w:shd w:val="clear" w:color="auto" w:fill="auto"/>
            <w:vAlign w:val="center"/>
          </w:tcPr>
          <w:p w14:paraId="3A24FACF"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43" w:type="pct"/>
            <w:shd w:val="clear" w:color="auto" w:fill="auto"/>
            <w:vAlign w:val="center"/>
          </w:tcPr>
          <w:p w14:paraId="37B6A5F3" w14:textId="77777777" w:rsidR="00AB379C" w:rsidRPr="00D54752" w:rsidRDefault="00AB379C" w:rsidP="007055F6">
            <w:pPr>
              <w:jc w:val="center"/>
              <w:rPr>
                <w:rFonts w:eastAsia="Times New Roman" w:cstheme="minorHAnsi"/>
                <w:lang w:bidi="ar-SA"/>
              </w:rPr>
            </w:pPr>
            <w:r w:rsidRPr="00D54752">
              <w:rPr>
                <w:rFonts w:cstheme="minorHAnsi"/>
              </w:rPr>
              <w:t>0.0%</w:t>
            </w:r>
          </w:p>
        </w:tc>
        <w:tc>
          <w:tcPr>
            <w:tcW w:w="343" w:type="pct"/>
            <w:shd w:val="clear" w:color="auto" w:fill="auto"/>
            <w:vAlign w:val="center"/>
          </w:tcPr>
          <w:p w14:paraId="75093171"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535" w:type="pct"/>
            <w:shd w:val="clear" w:color="auto" w:fill="auto"/>
            <w:vAlign w:val="center"/>
          </w:tcPr>
          <w:p w14:paraId="7CBAB7E7"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7B4550CC" w14:textId="77777777" w:rsidTr="00BA3D10">
        <w:trPr>
          <w:cantSplit/>
          <w:trHeight w:val="144"/>
        </w:trPr>
        <w:tc>
          <w:tcPr>
            <w:tcW w:w="296" w:type="pct"/>
            <w:shd w:val="clear" w:color="auto" w:fill="FFFFFF" w:themeFill="background1"/>
            <w:vAlign w:val="center"/>
          </w:tcPr>
          <w:p w14:paraId="5EFC3B32"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50" w:type="pct"/>
            <w:shd w:val="clear" w:color="auto" w:fill="FFFFFF" w:themeFill="background1"/>
            <w:vAlign w:val="center"/>
          </w:tcPr>
          <w:p w14:paraId="0D77CEE0" w14:textId="77777777" w:rsidR="00AB379C" w:rsidRPr="00D54752" w:rsidRDefault="00AB379C" w:rsidP="007055F6">
            <w:pPr>
              <w:ind w:left="45"/>
              <w:jc w:val="left"/>
              <w:rPr>
                <w:rFonts w:eastAsia="Times New Roman" w:cstheme="minorHAnsi"/>
                <w:lang w:bidi="ar-SA"/>
              </w:rPr>
            </w:pPr>
            <w:r w:rsidRPr="00D54752">
              <w:rPr>
                <w:rFonts w:eastAsia="Times New Roman" w:cstheme="minorHAnsi"/>
                <w:lang w:bidi="ar-SA"/>
              </w:rPr>
              <w:t>Asthma Medication Ratio (Total)</w:t>
            </w:r>
          </w:p>
        </w:tc>
        <w:tc>
          <w:tcPr>
            <w:tcW w:w="312" w:type="pct"/>
            <w:shd w:val="clear" w:color="auto" w:fill="auto"/>
            <w:vAlign w:val="center"/>
          </w:tcPr>
          <w:p w14:paraId="48481575" w14:textId="77777777" w:rsidR="00AB379C" w:rsidRPr="00D54752" w:rsidRDefault="00AB379C" w:rsidP="007055F6">
            <w:pPr>
              <w:jc w:val="center"/>
              <w:rPr>
                <w:rFonts w:eastAsia="Times New Roman" w:cstheme="minorHAnsi"/>
                <w:lang w:bidi="ar-SA"/>
              </w:rPr>
            </w:pPr>
            <w:r w:rsidRPr="00D54752">
              <w:rPr>
                <w:rFonts w:cstheme="minorHAnsi"/>
              </w:rPr>
              <w:t>289</w:t>
            </w:r>
          </w:p>
        </w:tc>
        <w:tc>
          <w:tcPr>
            <w:tcW w:w="280" w:type="pct"/>
            <w:shd w:val="clear" w:color="auto" w:fill="auto"/>
            <w:vAlign w:val="center"/>
          </w:tcPr>
          <w:p w14:paraId="106BF82F" w14:textId="77777777" w:rsidR="00AB379C" w:rsidRPr="00D54752" w:rsidRDefault="00AB379C" w:rsidP="007055F6">
            <w:pPr>
              <w:jc w:val="center"/>
              <w:rPr>
                <w:rFonts w:eastAsia="Times New Roman" w:cstheme="minorHAnsi"/>
                <w:lang w:bidi="ar-SA"/>
              </w:rPr>
            </w:pPr>
            <w:r w:rsidRPr="00D54752">
              <w:rPr>
                <w:rFonts w:cstheme="minorHAnsi"/>
              </w:rPr>
              <w:t>231</w:t>
            </w:r>
          </w:p>
        </w:tc>
        <w:tc>
          <w:tcPr>
            <w:tcW w:w="312" w:type="pct"/>
            <w:shd w:val="clear" w:color="auto" w:fill="auto"/>
            <w:vAlign w:val="center"/>
          </w:tcPr>
          <w:p w14:paraId="191CCBEA" w14:textId="77777777" w:rsidR="00AB379C" w:rsidRPr="00D54752" w:rsidRDefault="00AB379C" w:rsidP="007055F6">
            <w:pPr>
              <w:jc w:val="center"/>
              <w:rPr>
                <w:rFonts w:eastAsia="Times New Roman" w:cstheme="minorHAnsi"/>
                <w:b/>
                <w:bCs/>
                <w:lang w:bidi="ar-SA"/>
              </w:rPr>
            </w:pPr>
            <w:r w:rsidRPr="00D54752">
              <w:rPr>
                <w:rFonts w:cstheme="minorHAnsi"/>
                <w:b/>
                <w:bCs/>
              </w:rPr>
              <w:t>79.9%</w:t>
            </w:r>
          </w:p>
        </w:tc>
        <w:tc>
          <w:tcPr>
            <w:tcW w:w="343" w:type="pct"/>
            <w:shd w:val="clear" w:color="auto" w:fill="auto"/>
            <w:vAlign w:val="center"/>
          </w:tcPr>
          <w:p w14:paraId="00C78343" w14:textId="77777777" w:rsidR="00AB379C" w:rsidRPr="00D54752" w:rsidRDefault="00AB379C" w:rsidP="007055F6">
            <w:pPr>
              <w:jc w:val="center"/>
              <w:rPr>
                <w:rFonts w:eastAsia="Times New Roman" w:cstheme="minorHAnsi"/>
                <w:lang w:bidi="ar-SA"/>
              </w:rPr>
            </w:pPr>
            <w:r w:rsidRPr="00D54752">
              <w:rPr>
                <w:rFonts w:cstheme="minorHAnsi"/>
              </w:rPr>
              <w:t>75.1%</w:t>
            </w:r>
          </w:p>
        </w:tc>
        <w:tc>
          <w:tcPr>
            <w:tcW w:w="375" w:type="pct"/>
            <w:shd w:val="clear" w:color="auto" w:fill="auto"/>
            <w:vAlign w:val="center"/>
          </w:tcPr>
          <w:p w14:paraId="01035E1C" w14:textId="77777777" w:rsidR="00AB379C" w:rsidRPr="00D54752" w:rsidRDefault="00AB379C" w:rsidP="007055F6">
            <w:pPr>
              <w:jc w:val="center"/>
              <w:rPr>
                <w:rFonts w:eastAsia="Times New Roman" w:cstheme="minorHAnsi"/>
                <w:lang w:bidi="ar-SA"/>
              </w:rPr>
            </w:pPr>
            <w:r w:rsidRPr="00D54752">
              <w:rPr>
                <w:rFonts w:cstheme="minorHAnsi"/>
              </w:rPr>
              <w:t>84.7%</w:t>
            </w:r>
          </w:p>
        </w:tc>
        <w:tc>
          <w:tcPr>
            <w:tcW w:w="376" w:type="pct"/>
            <w:shd w:val="clear" w:color="auto" w:fill="auto"/>
            <w:vAlign w:val="center"/>
          </w:tcPr>
          <w:p w14:paraId="793E178F" w14:textId="77777777" w:rsidR="00AB379C" w:rsidRPr="00D54752" w:rsidRDefault="00AB379C" w:rsidP="007055F6">
            <w:pPr>
              <w:jc w:val="center"/>
              <w:rPr>
                <w:rFonts w:eastAsia="Times New Roman" w:cstheme="minorHAnsi"/>
                <w:lang w:bidi="ar-SA"/>
              </w:rPr>
            </w:pPr>
            <w:r w:rsidRPr="00D54752">
              <w:rPr>
                <w:rFonts w:cstheme="minorHAnsi"/>
              </w:rPr>
              <w:t>77.0%</w:t>
            </w:r>
          </w:p>
        </w:tc>
        <w:tc>
          <w:tcPr>
            <w:tcW w:w="435" w:type="pct"/>
            <w:shd w:val="clear" w:color="auto" w:fill="auto"/>
            <w:vAlign w:val="center"/>
          </w:tcPr>
          <w:p w14:paraId="5E1AC7E9"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44742A02" w14:textId="77777777" w:rsidR="00AB379C" w:rsidRPr="00D54752" w:rsidRDefault="00AB379C" w:rsidP="007055F6">
            <w:pPr>
              <w:jc w:val="center"/>
              <w:rPr>
                <w:rFonts w:eastAsia="Times New Roman" w:cstheme="minorHAnsi"/>
                <w:lang w:bidi="ar-SA"/>
              </w:rPr>
            </w:pPr>
            <w:r w:rsidRPr="00D54752">
              <w:rPr>
                <w:rFonts w:cstheme="minorHAnsi"/>
              </w:rPr>
              <w:t>76.4%</w:t>
            </w:r>
          </w:p>
        </w:tc>
        <w:tc>
          <w:tcPr>
            <w:tcW w:w="343" w:type="pct"/>
            <w:shd w:val="clear" w:color="auto" w:fill="auto"/>
            <w:vAlign w:val="center"/>
          </w:tcPr>
          <w:p w14:paraId="377C6BF0"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3B45AE87" w14:textId="77777777" w:rsidR="00AB379C" w:rsidRPr="00D54752" w:rsidRDefault="00AB379C" w:rsidP="007055F6">
            <w:pPr>
              <w:jc w:val="center"/>
              <w:rPr>
                <w:rFonts w:eastAsia="Times New Roman" w:cstheme="minorHAnsi"/>
                <w:lang w:bidi="ar-SA"/>
              </w:rPr>
            </w:pPr>
            <w:r w:rsidRPr="00D54752">
              <w:rPr>
                <w:rFonts w:cstheme="minorHAnsi"/>
              </w:rPr>
              <w:t>NA</w:t>
            </w:r>
          </w:p>
        </w:tc>
      </w:tr>
    </w:tbl>
    <w:p w14:paraId="2D39A78F" w14:textId="77777777" w:rsidR="00AB379C" w:rsidRDefault="00AB379C" w:rsidP="008632D7">
      <w:pPr>
        <w:rPr>
          <w:sz w:val="20"/>
          <w:szCs w:val="20"/>
        </w:rPr>
      </w:pPr>
      <w:bookmarkStart w:id="132" w:name="_Toc98922469"/>
      <w:r w:rsidRPr="00F7033D">
        <w:rPr>
          <w:sz w:val="20"/>
          <w:szCs w:val="20"/>
          <w:vertAlign w:val="superscript"/>
        </w:rPr>
        <w:t>1</w:t>
      </w:r>
      <w:r w:rsidRPr="00F7033D">
        <w:rPr>
          <w:sz w:val="20"/>
          <w:szCs w:val="20"/>
        </w:rPr>
        <w:t xml:space="preserve"> For comparison of MY 202</w:t>
      </w:r>
      <w:r>
        <w:rPr>
          <w:sz w:val="20"/>
          <w:szCs w:val="20"/>
        </w:rPr>
        <w:t>1</w:t>
      </w:r>
      <w:r w:rsidRPr="00F7033D">
        <w:rPr>
          <w:sz w:val="20"/>
          <w:szCs w:val="20"/>
        </w:rPr>
        <w:t xml:space="preserve"> rates to MY 20</w:t>
      </w:r>
      <w:r>
        <w:rPr>
          <w:sz w:val="20"/>
          <w:szCs w:val="20"/>
        </w:rPr>
        <w:t>20</w:t>
      </w:r>
      <w:r w:rsidRPr="00F7033D">
        <w:rPr>
          <w:sz w:val="20"/>
          <w:szCs w:val="20"/>
        </w:rPr>
        <w:t xml:space="preserve"> rates, statistically significant increases are indicated by “+,” statistically significant decreases by “</w:t>
      </w:r>
      <w:r w:rsidRPr="00F7033D">
        <w:rPr>
          <w:rFonts w:cstheme="minorHAnsi"/>
          <w:sz w:val="20"/>
          <w:szCs w:val="20"/>
        </w:rPr>
        <w:t>−</w:t>
      </w:r>
      <w:r w:rsidRPr="00F7033D">
        <w:rPr>
          <w:sz w:val="20"/>
          <w:szCs w:val="20"/>
        </w:rPr>
        <w:t>,” and no statistically significant change by “</w:t>
      </w:r>
      <w:proofErr w:type="spellStart"/>
      <w:r w:rsidRPr="00F7033D">
        <w:rPr>
          <w:sz w:val="20"/>
          <w:szCs w:val="20"/>
        </w:rPr>
        <w:t>n.s</w:t>
      </w:r>
      <w:proofErr w:type="spellEnd"/>
      <w:r w:rsidRPr="00F7033D">
        <w:rPr>
          <w:sz w:val="20"/>
          <w:szCs w:val="20"/>
        </w:rPr>
        <w:t xml:space="preserve">.” </w:t>
      </w:r>
      <w:r w:rsidRPr="00F7033D">
        <w:rPr>
          <w:bCs/>
          <w:sz w:val="20"/>
          <w:szCs w:val="20"/>
        </w:rPr>
        <w:t>For comparison of MY 202</w:t>
      </w:r>
      <w:r>
        <w:rPr>
          <w:bCs/>
          <w:sz w:val="20"/>
          <w:szCs w:val="20"/>
        </w:rPr>
        <w:t>1</w:t>
      </w:r>
      <w:r w:rsidRPr="00F7033D">
        <w:rPr>
          <w:bCs/>
          <w:sz w:val="20"/>
          <w:szCs w:val="20"/>
        </w:rPr>
        <w:t xml:space="preserve"> rates to CHIP MMC rates, the “+” denotes that the plan rate exceeds the CHIP MMC rate, the “</w:t>
      </w:r>
      <w:r w:rsidRPr="00F7033D">
        <w:rPr>
          <w:rFonts w:cstheme="minorHAnsi"/>
          <w:sz w:val="20"/>
          <w:szCs w:val="20"/>
        </w:rPr>
        <w:t>−</w:t>
      </w:r>
      <w:r w:rsidRPr="00F7033D">
        <w:rPr>
          <w:bCs/>
          <w:sz w:val="20"/>
          <w:szCs w:val="20"/>
        </w:rPr>
        <w:t>” denotes that the MMC rate exceeds the plan rate, and “</w:t>
      </w:r>
      <w:proofErr w:type="spellStart"/>
      <w:r w:rsidRPr="00F7033D">
        <w:rPr>
          <w:bCs/>
          <w:sz w:val="20"/>
          <w:szCs w:val="20"/>
        </w:rPr>
        <w:t>n.s</w:t>
      </w:r>
      <w:proofErr w:type="spellEnd"/>
      <w:r w:rsidRPr="00F7033D">
        <w:rPr>
          <w:bCs/>
          <w:sz w:val="20"/>
          <w:szCs w:val="20"/>
        </w:rPr>
        <w:t>.” denotes no statistically significant difference between the two rates. Gray shading indicates IPRO does</w:t>
      </w:r>
      <w:r>
        <w:rPr>
          <w:bCs/>
          <w:sz w:val="20"/>
          <w:szCs w:val="20"/>
        </w:rPr>
        <w:t xml:space="preserve"> </w:t>
      </w:r>
      <w:r w:rsidRPr="00F7033D">
        <w:rPr>
          <w:bCs/>
          <w:sz w:val="20"/>
          <w:szCs w:val="20"/>
        </w:rPr>
        <w:t>n</w:t>
      </w:r>
      <w:r>
        <w:rPr>
          <w:bCs/>
          <w:sz w:val="20"/>
          <w:szCs w:val="20"/>
        </w:rPr>
        <w:t>o</w:t>
      </w:r>
      <w:r w:rsidRPr="00F7033D">
        <w:rPr>
          <w:bCs/>
          <w:sz w:val="20"/>
          <w:szCs w:val="20"/>
        </w:rPr>
        <w:t>t provide or calculate these rates.</w:t>
      </w:r>
    </w:p>
    <w:p w14:paraId="17DDDFC2" w14:textId="32433952" w:rsidR="00AB379C" w:rsidRDefault="00AB379C" w:rsidP="008632D7">
      <w:pPr>
        <w:rPr>
          <w:sz w:val="20"/>
          <w:szCs w:val="20"/>
        </w:rPr>
      </w:pPr>
      <w:proofErr w:type="spellStart"/>
      <w:r w:rsidRPr="00F7033D">
        <w:rPr>
          <w:sz w:val="20"/>
          <w:szCs w:val="20"/>
        </w:rPr>
        <w:t>Denom</w:t>
      </w:r>
      <w:proofErr w:type="spellEnd"/>
      <w:r w:rsidRPr="00F7033D">
        <w:rPr>
          <w:sz w:val="20"/>
          <w:szCs w:val="20"/>
        </w:rPr>
        <w:t xml:space="preserve">: denominator; Num: numerator; MY: measurement year; MMC: Medicaid Managed Care; HEDIS: Healthcare Effectiveness Data and Information Set; </w:t>
      </w:r>
      <w:r w:rsidRPr="002F6375">
        <w:rPr>
          <w:sz w:val="20"/>
          <w:szCs w:val="20"/>
        </w:rPr>
        <w:t>N/A</w:t>
      </w:r>
      <w:r>
        <w:rPr>
          <w:sz w:val="20"/>
          <w:szCs w:val="20"/>
        </w:rPr>
        <w:t>:</w:t>
      </w:r>
      <w:r w:rsidRPr="002F6375">
        <w:rPr>
          <w:sz w:val="20"/>
          <w:szCs w:val="20"/>
        </w:rPr>
        <w:t xml:space="preserve"> not applicable,</w:t>
      </w:r>
      <w:r>
        <w:rPr>
          <w:sz w:val="20"/>
          <w:szCs w:val="20"/>
        </w:rPr>
        <w:t xml:space="preserve"> as denominator is less than 30.</w:t>
      </w:r>
    </w:p>
    <w:p w14:paraId="57FAD1F5" w14:textId="77777777" w:rsidR="008632D7" w:rsidRPr="00F7033D" w:rsidRDefault="008632D7" w:rsidP="008632D7">
      <w:pPr>
        <w:rPr>
          <w:sz w:val="20"/>
          <w:szCs w:val="20"/>
        </w:rPr>
      </w:pPr>
    </w:p>
    <w:p w14:paraId="35DDE1E8" w14:textId="77777777" w:rsidR="00AB379C" w:rsidRPr="00F7033D" w:rsidRDefault="00AB379C" w:rsidP="00AB379C">
      <w:pPr>
        <w:pStyle w:val="Heading3"/>
      </w:pPr>
      <w:bookmarkStart w:id="133" w:name="_Toc132641626"/>
      <w:r w:rsidRPr="00F7033D">
        <w:t>Behavioral Health</w:t>
      </w:r>
      <w:bookmarkEnd w:id="132"/>
      <w:bookmarkEnd w:id="133"/>
    </w:p>
    <w:p w14:paraId="1C303F40" w14:textId="77777777" w:rsidR="00AB379C" w:rsidRPr="00F7033D" w:rsidRDefault="00AB379C" w:rsidP="00AB379C">
      <w:pPr>
        <w:rPr>
          <w:bCs/>
        </w:rPr>
      </w:pPr>
      <w:r w:rsidRPr="00F7033D">
        <w:t>No strengths are identified for 202</w:t>
      </w:r>
      <w:r>
        <w:t>2</w:t>
      </w:r>
      <w:r w:rsidRPr="00F7033D">
        <w:t xml:space="preserve"> (MY 202</w:t>
      </w:r>
      <w:r>
        <w:t>1</w:t>
      </w:r>
      <w:r w:rsidRPr="00F7033D">
        <w:t xml:space="preserve">) </w:t>
      </w:r>
      <w:r w:rsidRPr="00F7033D">
        <w:rPr>
          <w:bCs/>
        </w:rPr>
        <w:t>Behavioral Health performance measures.</w:t>
      </w:r>
    </w:p>
    <w:p w14:paraId="01F7360C" w14:textId="77777777" w:rsidR="00AB379C" w:rsidRPr="00F7033D" w:rsidRDefault="00AB379C" w:rsidP="00AB379C">
      <w:pPr>
        <w:rPr>
          <w:bCs/>
        </w:rPr>
      </w:pPr>
    </w:p>
    <w:p w14:paraId="03E11BE4" w14:textId="77777777" w:rsidR="00AB379C" w:rsidRPr="00F7033D" w:rsidRDefault="00AB379C" w:rsidP="00AB379C">
      <w:pPr>
        <w:rPr>
          <w:bCs/>
        </w:rPr>
      </w:pPr>
      <w:r w:rsidRPr="00F7033D">
        <w:rPr>
          <w:bCs/>
        </w:rPr>
        <w:t xml:space="preserve">No opportunities for improvement are </w:t>
      </w:r>
      <w:r w:rsidRPr="00F7033D">
        <w:t>identified for 202</w:t>
      </w:r>
      <w:r>
        <w:t>2</w:t>
      </w:r>
      <w:r w:rsidRPr="00F7033D">
        <w:t xml:space="preserve"> (MY 202</w:t>
      </w:r>
      <w:r>
        <w:t>1</w:t>
      </w:r>
      <w:r w:rsidRPr="00F7033D">
        <w:t xml:space="preserve">) </w:t>
      </w:r>
      <w:r w:rsidRPr="00F7033D">
        <w:rPr>
          <w:bCs/>
        </w:rPr>
        <w:t>Behavioral Health performance measures.</w:t>
      </w:r>
      <w:r w:rsidRPr="00F7033D" w:rsidDel="00CA091F">
        <w:t xml:space="preserve"> </w:t>
      </w:r>
    </w:p>
    <w:p w14:paraId="6DF7AFC7" w14:textId="77777777" w:rsidR="00AB379C" w:rsidRPr="00F7033D" w:rsidRDefault="00AB379C" w:rsidP="00AB379C">
      <w:pPr>
        <w:pStyle w:val="tableheading"/>
      </w:pPr>
      <w:bookmarkStart w:id="134" w:name="_Toc98922505"/>
      <w:bookmarkStart w:id="135" w:name="_Toc132641667"/>
      <w:r w:rsidRPr="00F7033D">
        <w:t>Table 2.7: Behavioral Health</w:t>
      </w:r>
      <w:bookmarkEnd w:id="134"/>
      <w:bookmarkEnd w:id="135"/>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848"/>
        <w:gridCol w:w="3012"/>
        <w:gridCol w:w="892"/>
        <w:gridCol w:w="803"/>
        <w:gridCol w:w="892"/>
        <w:gridCol w:w="1055"/>
        <w:gridCol w:w="1070"/>
        <w:gridCol w:w="1160"/>
        <w:gridCol w:w="1162"/>
        <w:gridCol w:w="981"/>
        <w:gridCol w:w="981"/>
        <w:gridCol w:w="1534"/>
      </w:tblGrid>
      <w:tr w:rsidR="00AB379C" w:rsidRPr="00D54752" w14:paraId="610C00D9" w14:textId="77777777" w:rsidTr="00375A13">
        <w:trPr>
          <w:cantSplit/>
          <w:trHeight w:val="60"/>
          <w:tblHeader/>
        </w:trPr>
        <w:tc>
          <w:tcPr>
            <w:tcW w:w="1346" w:type="pct"/>
            <w:gridSpan w:val="2"/>
            <w:shd w:val="clear" w:color="000000" w:fill="5F497A"/>
            <w:vAlign w:val="bottom"/>
            <w:hideMark/>
          </w:tcPr>
          <w:p w14:paraId="521F4DBC" w14:textId="77777777" w:rsidR="00AB379C" w:rsidRPr="00D54752" w:rsidRDefault="00AB379C" w:rsidP="007055F6">
            <w:pPr>
              <w:jc w:val="center"/>
              <w:rPr>
                <w:rFonts w:ascii="Calibri" w:eastAsia="Times New Roman" w:hAnsi="Calibri" w:cs="Times New Roman"/>
                <w:b/>
                <w:bCs/>
                <w:color w:val="FFFFFF"/>
                <w:lang w:bidi="ar-SA"/>
              </w:rPr>
            </w:pPr>
            <w:r w:rsidRPr="00D54752">
              <w:rPr>
                <w:rFonts w:ascii="Calibri" w:eastAsia="Times New Roman" w:hAnsi="Calibri" w:cs="Times New Roman"/>
                <w:b/>
                <w:bCs/>
                <w:color w:val="FFFFFF"/>
                <w:lang w:bidi="ar-SA"/>
              </w:rPr>
              <w:t>Indicator</w:t>
            </w:r>
          </w:p>
        </w:tc>
        <w:tc>
          <w:tcPr>
            <w:tcW w:w="1622" w:type="pct"/>
            <w:gridSpan w:val="5"/>
            <w:shd w:val="clear" w:color="000000" w:fill="5F497A"/>
            <w:vAlign w:val="bottom"/>
            <w:hideMark/>
          </w:tcPr>
          <w:p w14:paraId="15F5F7F2" w14:textId="77777777" w:rsidR="00AB379C" w:rsidRPr="00D54752" w:rsidRDefault="00AB379C" w:rsidP="007055F6">
            <w:pPr>
              <w:jc w:val="center"/>
              <w:rPr>
                <w:rFonts w:ascii="Calibri" w:eastAsia="Times New Roman" w:hAnsi="Calibri" w:cs="Times New Roman"/>
                <w:b/>
                <w:bCs/>
                <w:color w:val="FFFFFF"/>
                <w:lang w:bidi="ar-SA"/>
              </w:rPr>
            </w:pPr>
            <w:r w:rsidRPr="00D54752">
              <w:rPr>
                <w:rFonts w:eastAsia="Times New Roman" w:cstheme="minorHAnsi"/>
                <w:b/>
                <w:color w:val="FFFFFF"/>
                <w:lang w:bidi="ar-SA"/>
              </w:rPr>
              <w:t>2022 (MY 2021)</w:t>
            </w:r>
          </w:p>
        </w:tc>
        <w:tc>
          <w:tcPr>
            <w:tcW w:w="2032" w:type="pct"/>
            <w:gridSpan w:val="5"/>
            <w:shd w:val="clear" w:color="000000" w:fill="5F497A"/>
            <w:vAlign w:val="bottom"/>
            <w:hideMark/>
          </w:tcPr>
          <w:p w14:paraId="1835BFCE" w14:textId="77777777" w:rsidR="00AB379C" w:rsidRPr="00D54752" w:rsidRDefault="00AB379C" w:rsidP="007055F6">
            <w:pPr>
              <w:jc w:val="center"/>
              <w:rPr>
                <w:rFonts w:ascii="Calibri" w:eastAsia="Times New Roman" w:hAnsi="Calibri" w:cs="Times New Roman"/>
                <w:b/>
                <w:bCs/>
                <w:color w:val="FFFFFF"/>
                <w:vertAlign w:val="superscript"/>
                <w:lang w:bidi="ar-SA"/>
              </w:rPr>
            </w:pPr>
            <w:r w:rsidRPr="00D54752">
              <w:rPr>
                <w:rFonts w:eastAsia="Times New Roman" w:cstheme="minorHAnsi"/>
                <w:b/>
                <w:color w:val="FFFFFF"/>
                <w:lang w:bidi="ar-SA"/>
              </w:rPr>
              <w:t>Rate Comparison</w:t>
            </w:r>
            <w:r w:rsidRPr="00D54752">
              <w:rPr>
                <w:rFonts w:eastAsia="Times New Roman" w:cstheme="minorHAnsi"/>
                <w:b/>
                <w:color w:val="FFFFFF"/>
                <w:vertAlign w:val="superscript"/>
                <w:lang w:bidi="ar-SA"/>
              </w:rPr>
              <w:t>1</w:t>
            </w:r>
          </w:p>
        </w:tc>
      </w:tr>
      <w:tr w:rsidR="00AB379C" w:rsidRPr="00D54752" w14:paraId="06EFBCBE" w14:textId="77777777" w:rsidTr="00375A13">
        <w:trPr>
          <w:cantSplit/>
          <w:trHeight w:val="144"/>
          <w:tblHeader/>
        </w:trPr>
        <w:tc>
          <w:tcPr>
            <w:tcW w:w="297" w:type="pct"/>
            <w:shd w:val="clear" w:color="000000" w:fill="5F497A"/>
            <w:vAlign w:val="bottom"/>
            <w:hideMark/>
          </w:tcPr>
          <w:p w14:paraId="24897BD2" w14:textId="77777777" w:rsidR="00AB379C" w:rsidRPr="00D54752" w:rsidRDefault="00AB379C" w:rsidP="007055F6">
            <w:pPr>
              <w:jc w:val="center"/>
              <w:rPr>
                <w:rFonts w:ascii="Calibri" w:eastAsia="Times New Roman" w:hAnsi="Calibri" w:cs="Times New Roman"/>
                <w:b/>
                <w:bCs/>
                <w:color w:val="FFFFFF"/>
                <w:lang w:bidi="ar-SA"/>
              </w:rPr>
            </w:pPr>
            <w:r w:rsidRPr="00D54752">
              <w:rPr>
                <w:rFonts w:ascii="Calibri" w:eastAsia="Times New Roman" w:hAnsi="Calibri" w:cs="Times New Roman"/>
                <w:b/>
                <w:bCs/>
                <w:color w:val="FFFFFF"/>
                <w:lang w:bidi="ar-SA"/>
              </w:rPr>
              <w:t>Source</w:t>
            </w:r>
          </w:p>
        </w:tc>
        <w:tc>
          <w:tcPr>
            <w:tcW w:w="1049" w:type="pct"/>
            <w:shd w:val="clear" w:color="000000" w:fill="5F497A"/>
            <w:vAlign w:val="bottom"/>
            <w:hideMark/>
          </w:tcPr>
          <w:p w14:paraId="495FEBD9" w14:textId="77777777" w:rsidR="00AB379C" w:rsidRPr="00D54752" w:rsidRDefault="00AB379C" w:rsidP="007055F6">
            <w:pPr>
              <w:jc w:val="center"/>
              <w:rPr>
                <w:rFonts w:ascii="Calibri" w:eastAsia="Times New Roman" w:hAnsi="Calibri" w:cs="Times New Roman"/>
                <w:b/>
                <w:bCs/>
                <w:color w:val="FFFFFF"/>
                <w:lang w:bidi="ar-SA"/>
              </w:rPr>
            </w:pPr>
            <w:r w:rsidRPr="00D54752">
              <w:rPr>
                <w:rFonts w:ascii="Calibri" w:eastAsia="Times New Roman" w:hAnsi="Calibri" w:cs="Times New Roman"/>
                <w:b/>
                <w:bCs/>
                <w:color w:val="FFFFFF"/>
                <w:lang w:bidi="ar-SA"/>
              </w:rPr>
              <w:t>Name</w:t>
            </w:r>
          </w:p>
        </w:tc>
        <w:tc>
          <w:tcPr>
            <w:tcW w:w="312" w:type="pct"/>
            <w:shd w:val="clear" w:color="000000" w:fill="5F497A"/>
            <w:vAlign w:val="bottom"/>
            <w:hideMark/>
          </w:tcPr>
          <w:p w14:paraId="7FE7C563" w14:textId="77777777" w:rsidR="00AB379C" w:rsidRPr="00D54752" w:rsidRDefault="00AB379C" w:rsidP="007055F6">
            <w:pPr>
              <w:jc w:val="center"/>
              <w:rPr>
                <w:rFonts w:ascii="Calibri" w:eastAsia="Times New Roman" w:hAnsi="Calibri" w:cs="Times New Roman"/>
                <w:b/>
                <w:bCs/>
                <w:color w:val="FFFFFF"/>
                <w:lang w:bidi="ar-SA"/>
              </w:rPr>
            </w:pPr>
            <w:proofErr w:type="spellStart"/>
            <w:r w:rsidRPr="00D54752">
              <w:rPr>
                <w:rFonts w:ascii="Calibri" w:eastAsia="Times New Roman" w:hAnsi="Calibri" w:cs="Times New Roman"/>
                <w:b/>
                <w:bCs/>
                <w:color w:val="FFFFFF"/>
                <w:lang w:bidi="ar-SA"/>
              </w:rPr>
              <w:t>Denom</w:t>
            </w:r>
            <w:proofErr w:type="spellEnd"/>
          </w:p>
        </w:tc>
        <w:tc>
          <w:tcPr>
            <w:tcW w:w="281" w:type="pct"/>
            <w:shd w:val="clear" w:color="000000" w:fill="5F497A"/>
            <w:vAlign w:val="bottom"/>
            <w:hideMark/>
          </w:tcPr>
          <w:p w14:paraId="798C53D5" w14:textId="77777777" w:rsidR="00AB379C" w:rsidRPr="00D54752" w:rsidRDefault="00AB379C" w:rsidP="007055F6">
            <w:pPr>
              <w:jc w:val="center"/>
              <w:rPr>
                <w:rFonts w:ascii="Calibri" w:eastAsia="Times New Roman" w:hAnsi="Calibri" w:cs="Times New Roman"/>
                <w:b/>
                <w:bCs/>
                <w:color w:val="FFFFFF"/>
                <w:lang w:bidi="ar-SA"/>
              </w:rPr>
            </w:pPr>
            <w:r w:rsidRPr="00D54752">
              <w:rPr>
                <w:rFonts w:ascii="Calibri" w:eastAsia="Times New Roman" w:hAnsi="Calibri" w:cs="Times New Roman"/>
                <w:b/>
                <w:bCs/>
                <w:color w:val="FFFFFF"/>
                <w:lang w:bidi="ar-SA"/>
              </w:rPr>
              <w:t>Num</w:t>
            </w:r>
          </w:p>
        </w:tc>
        <w:tc>
          <w:tcPr>
            <w:tcW w:w="312" w:type="pct"/>
            <w:shd w:val="clear" w:color="000000" w:fill="5F497A"/>
            <w:vAlign w:val="bottom"/>
            <w:hideMark/>
          </w:tcPr>
          <w:p w14:paraId="17790FBD" w14:textId="77777777" w:rsidR="00AB379C" w:rsidRPr="00D54752" w:rsidRDefault="00AB379C" w:rsidP="007055F6">
            <w:pPr>
              <w:jc w:val="center"/>
              <w:rPr>
                <w:rFonts w:ascii="Calibri" w:eastAsia="Times New Roman" w:hAnsi="Calibri" w:cs="Times New Roman"/>
                <w:b/>
                <w:bCs/>
                <w:color w:val="FFFFFF"/>
                <w:lang w:bidi="ar-SA"/>
              </w:rPr>
            </w:pPr>
            <w:r w:rsidRPr="00D54752">
              <w:rPr>
                <w:rFonts w:ascii="Calibri" w:eastAsia="Times New Roman" w:hAnsi="Calibri" w:cs="Times New Roman"/>
                <w:b/>
                <w:bCs/>
                <w:color w:val="FFFFFF"/>
                <w:lang w:bidi="ar-SA"/>
              </w:rPr>
              <w:t>Rate</w:t>
            </w:r>
          </w:p>
        </w:tc>
        <w:tc>
          <w:tcPr>
            <w:tcW w:w="343" w:type="pct"/>
            <w:shd w:val="clear" w:color="000000" w:fill="5F497A"/>
            <w:vAlign w:val="bottom"/>
            <w:hideMark/>
          </w:tcPr>
          <w:p w14:paraId="1A5D74CB" w14:textId="77777777" w:rsidR="00AB379C" w:rsidRPr="00D54752" w:rsidRDefault="00AB379C" w:rsidP="007055F6">
            <w:pPr>
              <w:jc w:val="center"/>
              <w:rPr>
                <w:rFonts w:ascii="Calibri" w:eastAsia="Times New Roman" w:hAnsi="Calibri" w:cs="Times New Roman"/>
                <w:b/>
                <w:bCs/>
                <w:color w:val="FFFFFF"/>
                <w:lang w:bidi="ar-SA"/>
              </w:rPr>
            </w:pPr>
            <w:r w:rsidRPr="00D54752">
              <w:rPr>
                <w:rFonts w:ascii="Calibri" w:eastAsia="Times New Roman" w:hAnsi="Calibri" w:cs="Times New Roman"/>
                <w:b/>
                <w:bCs/>
                <w:color w:val="FFFFFF"/>
                <w:lang w:bidi="ar-SA"/>
              </w:rPr>
              <w:t>Lower 95% Confidence Limit</w:t>
            </w:r>
          </w:p>
        </w:tc>
        <w:tc>
          <w:tcPr>
            <w:tcW w:w="374" w:type="pct"/>
            <w:shd w:val="clear" w:color="000000" w:fill="5F497A"/>
            <w:vAlign w:val="bottom"/>
            <w:hideMark/>
          </w:tcPr>
          <w:p w14:paraId="0E564CE4" w14:textId="77777777" w:rsidR="00AB379C" w:rsidRPr="00D54752" w:rsidRDefault="00AB379C" w:rsidP="007055F6">
            <w:pPr>
              <w:jc w:val="center"/>
              <w:rPr>
                <w:rFonts w:ascii="Calibri" w:eastAsia="Times New Roman" w:hAnsi="Calibri" w:cs="Times New Roman"/>
                <w:b/>
                <w:bCs/>
                <w:color w:val="FFFFFF"/>
                <w:lang w:bidi="ar-SA"/>
              </w:rPr>
            </w:pPr>
            <w:r w:rsidRPr="00D54752">
              <w:rPr>
                <w:rFonts w:ascii="Calibri" w:eastAsia="Times New Roman" w:hAnsi="Calibri" w:cs="Times New Roman"/>
                <w:b/>
                <w:bCs/>
                <w:color w:val="FFFFFF"/>
                <w:lang w:bidi="ar-SA"/>
              </w:rPr>
              <w:t>Upper 95% Confidence Limit</w:t>
            </w:r>
          </w:p>
        </w:tc>
        <w:tc>
          <w:tcPr>
            <w:tcW w:w="405" w:type="pct"/>
            <w:shd w:val="clear" w:color="000000" w:fill="5F497A"/>
            <w:vAlign w:val="bottom"/>
            <w:hideMark/>
          </w:tcPr>
          <w:p w14:paraId="1FD082B3" w14:textId="77777777" w:rsidR="00AB379C" w:rsidRPr="00D54752" w:rsidRDefault="00AB379C" w:rsidP="007055F6">
            <w:pPr>
              <w:jc w:val="center"/>
              <w:rPr>
                <w:rFonts w:ascii="Calibri" w:eastAsia="Times New Roman" w:hAnsi="Calibri" w:cs="Times New Roman"/>
                <w:b/>
                <w:bCs/>
                <w:color w:val="FFFFFF"/>
                <w:lang w:bidi="ar-SA"/>
              </w:rPr>
            </w:pPr>
            <w:r w:rsidRPr="00D54752">
              <w:rPr>
                <w:rFonts w:eastAsia="Times New Roman" w:cstheme="minorHAnsi"/>
                <w:b/>
                <w:color w:val="FFFFFF"/>
                <w:lang w:bidi="ar-SA"/>
              </w:rPr>
              <w:t>2021 (MY 2020) Rate</w:t>
            </w:r>
          </w:p>
        </w:tc>
        <w:tc>
          <w:tcPr>
            <w:tcW w:w="406" w:type="pct"/>
            <w:shd w:val="clear" w:color="000000" w:fill="5F497A"/>
            <w:vAlign w:val="bottom"/>
            <w:hideMark/>
          </w:tcPr>
          <w:p w14:paraId="1D32C587" w14:textId="77777777" w:rsidR="00AB379C" w:rsidRPr="00D54752" w:rsidRDefault="00AB379C" w:rsidP="007055F6">
            <w:pPr>
              <w:jc w:val="center"/>
              <w:rPr>
                <w:rFonts w:ascii="Calibri" w:eastAsia="Times New Roman" w:hAnsi="Calibri" w:cs="Times New Roman"/>
                <w:b/>
                <w:bCs/>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2021</w:t>
            </w:r>
          </w:p>
        </w:tc>
        <w:tc>
          <w:tcPr>
            <w:tcW w:w="343" w:type="pct"/>
            <w:shd w:val="clear" w:color="000000" w:fill="5F497A"/>
            <w:vAlign w:val="bottom"/>
            <w:hideMark/>
          </w:tcPr>
          <w:p w14:paraId="3FD07DDF" w14:textId="77777777" w:rsidR="00AB379C" w:rsidRPr="00D54752" w:rsidRDefault="00AB379C" w:rsidP="007055F6">
            <w:pPr>
              <w:jc w:val="center"/>
              <w:rPr>
                <w:rFonts w:ascii="Calibri" w:eastAsia="Times New Roman" w:hAnsi="Calibri" w:cs="Times New Roman"/>
                <w:b/>
                <w:bCs/>
                <w:color w:val="FFFFFF"/>
                <w:lang w:bidi="ar-SA"/>
              </w:rPr>
            </w:pPr>
            <w:r w:rsidRPr="00D54752">
              <w:rPr>
                <w:rFonts w:eastAsia="Times New Roman" w:cstheme="minorHAnsi"/>
                <w:b/>
                <w:color w:val="FFFFFF"/>
                <w:lang w:bidi="ar-SA"/>
              </w:rPr>
              <w:t>MMC</w:t>
            </w:r>
          </w:p>
        </w:tc>
        <w:tc>
          <w:tcPr>
            <w:tcW w:w="343" w:type="pct"/>
            <w:shd w:val="clear" w:color="000000" w:fill="5F497A"/>
            <w:vAlign w:val="bottom"/>
            <w:hideMark/>
          </w:tcPr>
          <w:p w14:paraId="3C79A5D5" w14:textId="77777777" w:rsidR="00AB379C" w:rsidRPr="00D54752" w:rsidRDefault="00AB379C" w:rsidP="007055F6">
            <w:pPr>
              <w:jc w:val="center"/>
              <w:rPr>
                <w:rFonts w:ascii="Calibri" w:eastAsia="Times New Roman" w:hAnsi="Calibri" w:cs="Times New Roman"/>
                <w:b/>
                <w:bCs/>
                <w:color w:val="FFFFFF"/>
                <w:lang w:bidi="ar-SA"/>
              </w:rPr>
            </w:pPr>
            <w:r w:rsidRPr="00D54752">
              <w:rPr>
                <w:rFonts w:eastAsia="Times New Roman" w:cstheme="minorHAnsi"/>
                <w:b/>
                <w:color w:val="FFFFFF"/>
                <w:lang w:bidi="ar-SA"/>
              </w:rPr>
              <w:t>2022 Rate</w:t>
            </w:r>
            <w:r w:rsidRPr="00D54752">
              <w:rPr>
                <w:rFonts w:eastAsia="Times New Roman" w:cstheme="minorHAnsi"/>
                <w:b/>
                <w:color w:val="FFFFFF"/>
                <w:lang w:bidi="ar-SA"/>
              </w:rPr>
              <w:br/>
              <w:t>Compared to MMC</w:t>
            </w:r>
          </w:p>
        </w:tc>
        <w:tc>
          <w:tcPr>
            <w:tcW w:w="535" w:type="pct"/>
            <w:shd w:val="clear" w:color="000000" w:fill="5F497A"/>
            <w:vAlign w:val="bottom"/>
            <w:hideMark/>
          </w:tcPr>
          <w:p w14:paraId="21DBC3B5" w14:textId="77777777" w:rsidR="00AB379C" w:rsidRPr="00D54752" w:rsidRDefault="00AB379C" w:rsidP="007055F6">
            <w:pPr>
              <w:jc w:val="center"/>
              <w:rPr>
                <w:rFonts w:ascii="Calibri" w:eastAsia="Times New Roman" w:hAnsi="Calibri" w:cs="Times New Roman"/>
                <w:b/>
                <w:bCs/>
                <w:color w:val="FFFFFF"/>
                <w:lang w:bidi="ar-SA"/>
              </w:rPr>
            </w:pPr>
            <w:r w:rsidRPr="00D54752">
              <w:rPr>
                <w:rFonts w:eastAsia="Times New Roman" w:cstheme="minorHAnsi"/>
                <w:b/>
                <w:color w:val="FFFFFF"/>
                <w:lang w:bidi="ar-SA"/>
              </w:rPr>
              <w:t>HEDIS 2022 Percentile</w:t>
            </w:r>
          </w:p>
        </w:tc>
      </w:tr>
      <w:tr w:rsidR="00AB379C" w:rsidRPr="00D54752" w14:paraId="10DE220C" w14:textId="77777777" w:rsidTr="00375A13">
        <w:trPr>
          <w:cantSplit/>
          <w:trHeight w:val="144"/>
        </w:trPr>
        <w:tc>
          <w:tcPr>
            <w:tcW w:w="297" w:type="pct"/>
            <w:shd w:val="clear" w:color="auto" w:fill="FFFFFF" w:themeFill="background1"/>
            <w:vAlign w:val="center"/>
            <w:hideMark/>
          </w:tcPr>
          <w:p w14:paraId="36286B2A"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47A3EF31" w14:textId="2555CB75"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Metabolic Monitoring for Children and Adolescents on Antipsychotics—Blood Glucose (</w:t>
            </w:r>
            <w:r w:rsidR="00BB5662">
              <w:rPr>
                <w:rFonts w:eastAsia="Times New Roman" w:cstheme="minorHAnsi"/>
                <w:lang w:bidi="ar-SA"/>
              </w:rPr>
              <w:t xml:space="preserve">Ages </w:t>
            </w:r>
            <w:r w:rsidRPr="00D54752">
              <w:rPr>
                <w:rFonts w:eastAsia="Times New Roman" w:cstheme="minorHAnsi"/>
                <w:lang w:bidi="ar-SA"/>
              </w:rPr>
              <w:t>1—11 years)</w:t>
            </w:r>
          </w:p>
        </w:tc>
        <w:tc>
          <w:tcPr>
            <w:tcW w:w="312" w:type="pct"/>
            <w:shd w:val="clear" w:color="auto" w:fill="auto"/>
            <w:vAlign w:val="center"/>
          </w:tcPr>
          <w:p w14:paraId="771C08D5" w14:textId="77777777" w:rsidR="00AB379C" w:rsidRPr="00D54752" w:rsidRDefault="00AB379C" w:rsidP="007055F6">
            <w:pPr>
              <w:jc w:val="center"/>
              <w:rPr>
                <w:rFonts w:eastAsia="Times New Roman" w:cstheme="minorHAnsi"/>
                <w:lang w:bidi="ar-SA"/>
              </w:rPr>
            </w:pPr>
            <w:r w:rsidRPr="00D54752">
              <w:rPr>
                <w:rFonts w:cstheme="minorHAnsi"/>
              </w:rPr>
              <w:t>10</w:t>
            </w:r>
          </w:p>
        </w:tc>
        <w:tc>
          <w:tcPr>
            <w:tcW w:w="281" w:type="pct"/>
            <w:shd w:val="clear" w:color="auto" w:fill="auto"/>
            <w:vAlign w:val="center"/>
          </w:tcPr>
          <w:p w14:paraId="098BD203" w14:textId="77777777" w:rsidR="00AB379C" w:rsidRPr="00D54752" w:rsidRDefault="00AB379C" w:rsidP="007055F6">
            <w:pPr>
              <w:jc w:val="center"/>
              <w:rPr>
                <w:rFonts w:eastAsia="Times New Roman" w:cstheme="minorHAnsi"/>
                <w:lang w:bidi="ar-SA"/>
              </w:rPr>
            </w:pPr>
            <w:r w:rsidRPr="00D54752">
              <w:rPr>
                <w:rFonts w:cstheme="minorHAnsi"/>
              </w:rPr>
              <w:t>6</w:t>
            </w:r>
          </w:p>
        </w:tc>
        <w:tc>
          <w:tcPr>
            <w:tcW w:w="312" w:type="pct"/>
            <w:shd w:val="clear" w:color="auto" w:fill="auto"/>
            <w:vAlign w:val="center"/>
          </w:tcPr>
          <w:p w14:paraId="54046FAA" w14:textId="77777777" w:rsidR="00AB379C" w:rsidRPr="00D54752" w:rsidRDefault="00AB379C" w:rsidP="007055F6">
            <w:pPr>
              <w:jc w:val="center"/>
              <w:rPr>
                <w:rFonts w:eastAsia="Times New Roman" w:cstheme="minorHAnsi"/>
                <w:b/>
                <w:bCs/>
                <w:lang w:bidi="ar-SA"/>
              </w:rPr>
            </w:pPr>
            <w:r w:rsidRPr="00D54752">
              <w:rPr>
                <w:rFonts w:cstheme="minorHAnsi"/>
                <w:b/>
                <w:bCs/>
              </w:rPr>
              <w:t>N/A</w:t>
            </w:r>
          </w:p>
        </w:tc>
        <w:tc>
          <w:tcPr>
            <w:tcW w:w="343" w:type="pct"/>
            <w:shd w:val="clear" w:color="auto" w:fill="auto"/>
            <w:vAlign w:val="center"/>
          </w:tcPr>
          <w:p w14:paraId="493CBDE6"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74" w:type="pct"/>
            <w:shd w:val="clear" w:color="auto" w:fill="auto"/>
            <w:vAlign w:val="center"/>
          </w:tcPr>
          <w:p w14:paraId="3A4E0509"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405" w:type="pct"/>
            <w:shd w:val="clear" w:color="auto" w:fill="auto"/>
            <w:vAlign w:val="center"/>
          </w:tcPr>
          <w:p w14:paraId="5E23F3FF"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406" w:type="pct"/>
            <w:shd w:val="clear" w:color="auto" w:fill="auto"/>
            <w:vAlign w:val="center"/>
          </w:tcPr>
          <w:p w14:paraId="245473A7"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43" w:type="pct"/>
            <w:shd w:val="clear" w:color="auto" w:fill="auto"/>
            <w:vAlign w:val="center"/>
          </w:tcPr>
          <w:p w14:paraId="56E5845D" w14:textId="77777777" w:rsidR="00AB379C" w:rsidRPr="00D54752" w:rsidRDefault="00AB379C" w:rsidP="007055F6">
            <w:pPr>
              <w:jc w:val="center"/>
              <w:rPr>
                <w:rFonts w:eastAsia="Times New Roman" w:cstheme="minorHAnsi"/>
                <w:lang w:bidi="ar-SA"/>
              </w:rPr>
            </w:pPr>
            <w:r w:rsidRPr="00D54752">
              <w:rPr>
                <w:rFonts w:cstheme="minorHAnsi"/>
              </w:rPr>
              <w:t>0.0%</w:t>
            </w:r>
          </w:p>
        </w:tc>
        <w:tc>
          <w:tcPr>
            <w:tcW w:w="343" w:type="pct"/>
            <w:shd w:val="clear" w:color="auto" w:fill="auto"/>
            <w:vAlign w:val="center"/>
          </w:tcPr>
          <w:p w14:paraId="3E13D48D"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535" w:type="pct"/>
            <w:shd w:val="clear" w:color="auto" w:fill="auto"/>
            <w:vAlign w:val="center"/>
          </w:tcPr>
          <w:p w14:paraId="19CE0D3A"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2CC52096" w14:textId="77777777" w:rsidTr="00375A13">
        <w:trPr>
          <w:cantSplit/>
          <w:trHeight w:val="144"/>
        </w:trPr>
        <w:tc>
          <w:tcPr>
            <w:tcW w:w="297" w:type="pct"/>
            <w:shd w:val="clear" w:color="auto" w:fill="FFFFFF" w:themeFill="background1"/>
            <w:vAlign w:val="center"/>
            <w:hideMark/>
          </w:tcPr>
          <w:p w14:paraId="34CCCDC6"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2FFEED3D" w14:textId="06796C32"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Metabolic Monitoring for Children and Adolescents on Antipsychotics—Blood Glucose (</w:t>
            </w:r>
            <w:r w:rsidR="00BB5662">
              <w:rPr>
                <w:rFonts w:eastAsia="Times New Roman" w:cstheme="minorHAnsi"/>
                <w:lang w:bidi="ar-SA"/>
              </w:rPr>
              <w:t xml:space="preserve">Ages </w:t>
            </w:r>
            <w:r w:rsidRPr="00D54752">
              <w:rPr>
                <w:rFonts w:eastAsia="Times New Roman" w:cstheme="minorHAnsi"/>
                <w:lang w:bidi="ar-SA"/>
              </w:rPr>
              <w:t>12—17 years)</w:t>
            </w:r>
          </w:p>
        </w:tc>
        <w:tc>
          <w:tcPr>
            <w:tcW w:w="312" w:type="pct"/>
            <w:shd w:val="clear" w:color="auto" w:fill="auto"/>
            <w:vAlign w:val="center"/>
          </w:tcPr>
          <w:p w14:paraId="61DFFB80" w14:textId="77777777" w:rsidR="00AB379C" w:rsidRPr="00D54752" w:rsidRDefault="00AB379C" w:rsidP="007055F6">
            <w:pPr>
              <w:jc w:val="center"/>
              <w:rPr>
                <w:rFonts w:eastAsia="Times New Roman" w:cstheme="minorHAnsi"/>
                <w:lang w:bidi="ar-SA"/>
              </w:rPr>
            </w:pPr>
            <w:r w:rsidRPr="00D54752">
              <w:rPr>
                <w:rFonts w:cstheme="minorHAnsi"/>
              </w:rPr>
              <w:t>64</w:t>
            </w:r>
          </w:p>
        </w:tc>
        <w:tc>
          <w:tcPr>
            <w:tcW w:w="281" w:type="pct"/>
            <w:shd w:val="clear" w:color="auto" w:fill="auto"/>
            <w:vAlign w:val="center"/>
          </w:tcPr>
          <w:p w14:paraId="68C03C22" w14:textId="77777777" w:rsidR="00AB379C" w:rsidRPr="00D54752" w:rsidRDefault="00AB379C" w:rsidP="007055F6">
            <w:pPr>
              <w:jc w:val="center"/>
              <w:rPr>
                <w:rFonts w:eastAsia="Times New Roman" w:cstheme="minorHAnsi"/>
                <w:lang w:bidi="ar-SA"/>
              </w:rPr>
            </w:pPr>
            <w:r w:rsidRPr="00D54752">
              <w:rPr>
                <w:rFonts w:cstheme="minorHAnsi"/>
              </w:rPr>
              <w:t>45</w:t>
            </w:r>
          </w:p>
        </w:tc>
        <w:tc>
          <w:tcPr>
            <w:tcW w:w="312" w:type="pct"/>
            <w:shd w:val="clear" w:color="auto" w:fill="auto"/>
            <w:vAlign w:val="center"/>
          </w:tcPr>
          <w:p w14:paraId="31CFCE00" w14:textId="77777777" w:rsidR="00AB379C" w:rsidRPr="00D54752" w:rsidRDefault="00AB379C" w:rsidP="007055F6">
            <w:pPr>
              <w:jc w:val="center"/>
              <w:rPr>
                <w:rFonts w:eastAsia="Times New Roman" w:cstheme="minorHAnsi"/>
                <w:b/>
                <w:bCs/>
                <w:lang w:bidi="ar-SA"/>
              </w:rPr>
            </w:pPr>
            <w:r w:rsidRPr="00D54752">
              <w:rPr>
                <w:rFonts w:cstheme="minorHAnsi"/>
                <w:b/>
                <w:bCs/>
              </w:rPr>
              <w:t>70.3%</w:t>
            </w:r>
          </w:p>
        </w:tc>
        <w:tc>
          <w:tcPr>
            <w:tcW w:w="343" w:type="pct"/>
            <w:shd w:val="clear" w:color="auto" w:fill="auto"/>
            <w:vAlign w:val="center"/>
          </w:tcPr>
          <w:p w14:paraId="0C1EB430" w14:textId="77777777" w:rsidR="00AB379C" w:rsidRPr="00D54752" w:rsidRDefault="00AB379C" w:rsidP="007055F6">
            <w:pPr>
              <w:jc w:val="center"/>
              <w:rPr>
                <w:rFonts w:eastAsia="Times New Roman" w:cstheme="minorHAnsi"/>
                <w:lang w:bidi="ar-SA"/>
              </w:rPr>
            </w:pPr>
            <w:r w:rsidRPr="00D54752">
              <w:rPr>
                <w:rFonts w:cstheme="minorHAnsi"/>
              </w:rPr>
              <w:t>58.3%</w:t>
            </w:r>
          </w:p>
        </w:tc>
        <w:tc>
          <w:tcPr>
            <w:tcW w:w="374" w:type="pct"/>
            <w:shd w:val="clear" w:color="auto" w:fill="auto"/>
            <w:vAlign w:val="center"/>
          </w:tcPr>
          <w:p w14:paraId="10F35548" w14:textId="77777777" w:rsidR="00AB379C" w:rsidRPr="00D54752" w:rsidRDefault="00AB379C" w:rsidP="007055F6">
            <w:pPr>
              <w:jc w:val="center"/>
              <w:rPr>
                <w:rFonts w:eastAsia="Times New Roman" w:cstheme="minorHAnsi"/>
                <w:lang w:bidi="ar-SA"/>
              </w:rPr>
            </w:pPr>
            <w:r w:rsidRPr="00D54752">
              <w:rPr>
                <w:rFonts w:cstheme="minorHAnsi"/>
              </w:rPr>
              <w:t>82.3%</w:t>
            </w:r>
          </w:p>
        </w:tc>
        <w:tc>
          <w:tcPr>
            <w:tcW w:w="405" w:type="pct"/>
            <w:shd w:val="clear" w:color="auto" w:fill="auto"/>
            <w:vAlign w:val="center"/>
          </w:tcPr>
          <w:p w14:paraId="621B5557" w14:textId="77777777" w:rsidR="00AB379C" w:rsidRPr="00D54752" w:rsidRDefault="00AB379C" w:rsidP="007055F6">
            <w:pPr>
              <w:jc w:val="center"/>
              <w:rPr>
                <w:rFonts w:eastAsia="Times New Roman" w:cstheme="minorHAnsi"/>
                <w:lang w:bidi="ar-SA"/>
              </w:rPr>
            </w:pPr>
            <w:r w:rsidRPr="00D54752">
              <w:rPr>
                <w:rFonts w:cstheme="minorHAnsi"/>
              </w:rPr>
              <w:t>53.7%</w:t>
            </w:r>
          </w:p>
        </w:tc>
        <w:tc>
          <w:tcPr>
            <w:tcW w:w="406" w:type="pct"/>
            <w:shd w:val="clear" w:color="auto" w:fill="auto"/>
            <w:vAlign w:val="center"/>
          </w:tcPr>
          <w:p w14:paraId="4DA5CE8F"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6CF229A0" w14:textId="77777777" w:rsidR="00AB379C" w:rsidRPr="00D54752" w:rsidRDefault="00AB379C" w:rsidP="007055F6">
            <w:pPr>
              <w:jc w:val="center"/>
              <w:rPr>
                <w:rFonts w:eastAsia="Times New Roman" w:cstheme="minorHAnsi"/>
                <w:lang w:bidi="ar-SA"/>
              </w:rPr>
            </w:pPr>
            <w:r w:rsidRPr="00D54752">
              <w:rPr>
                <w:rFonts w:cstheme="minorHAnsi"/>
              </w:rPr>
              <w:t>70.3%</w:t>
            </w:r>
          </w:p>
        </w:tc>
        <w:tc>
          <w:tcPr>
            <w:tcW w:w="343" w:type="pct"/>
            <w:shd w:val="clear" w:color="auto" w:fill="auto"/>
            <w:vAlign w:val="center"/>
          </w:tcPr>
          <w:p w14:paraId="2133CBA0"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5B176D33" w14:textId="15F49EEE"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3C0FB413" w14:textId="77777777" w:rsidTr="00375A13">
        <w:trPr>
          <w:cantSplit/>
          <w:trHeight w:val="144"/>
        </w:trPr>
        <w:tc>
          <w:tcPr>
            <w:tcW w:w="297" w:type="pct"/>
            <w:shd w:val="clear" w:color="auto" w:fill="FFFFFF" w:themeFill="background1"/>
            <w:vAlign w:val="center"/>
            <w:hideMark/>
          </w:tcPr>
          <w:p w14:paraId="217FD2EA"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3FCB2C3B" w14:textId="77777777"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Metabolic Monitoring for Children and Adolescents on Antipsychotics—Blood Glucose (Total)</w:t>
            </w:r>
          </w:p>
        </w:tc>
        <w:tc>
          <w:tcPr>
            <w:tcW w:w="312" w:type="pct"/>
            <w:shd w:val="clear" w:color="auto" w:fill="auto"/>
            <w:vAlign w:val="center"/>
          </w:tcPr>
          <w:p w14:paraId="706CA960" w14:textId="77777777" w:rsidR="00AB379C" w:rsidRPr="00D54752" w:rsidRDefault="00AB379C" w:rsidP="007055F6">
            <w:pPr>
              <w:jc w:val="center"/>
              <w:rPr>
                <w:rFonts w:eastAsia="Times New Roman" w:cstheme="minorHAnsi"/>
                <w:lang w:bidi="ar-SA"/>
              </w:rPr>
            </w:pPr>
            <w:r w:rsidRPr="00D54752">
              <w:rPr>
                <w:rFonts w:cstheme="minorHAnsi"/>
              </w:rPr>
              <w:t>74</w:t>
            </w:r>
          </w:p>
        </w:tc>
        <w:tc>
          <w:tcPr>
            <w:tcW w:w="281" w:type="pct"/>
            <w:shd w:val="clear" w:color="auto" w:fill="auto"/>
            <w:vAlign w:val="center"/>
          </w:tcPr>
          <w:p w14:paraId="13AAAED4" w14:textId="77777777" w:rsidR="00AB379C" w:rsidRPr="00D54752" w:rsidRDefault="00AB379C" w:rsidP="007055F6">
            <w:pPr>
              <w:jc w:val="center"/>
              <w:rPr>
                <w:rFonts w:eastAsia="Times New Roman" w:cstheme="minorHAnsi"/>
                <w:lang w:bidi="ar-SA"/>
              </w:rPr>
            </w:pPr>
            <w:r w:rsidRPr="00D54752">
              <w:rPr>
                <w:rFonts w:cstheme="minorHAnsi"/>
              </w:rPr>
              <w:t>51</w:t>
            </w:r>
          </w:p>
        </w:tc>
        <w:tc>
          <w:tcPr>
            <w:tcW w:w="312" w:type="pct"/>
            <w:shd w:val="clear" w:color="auto" w:fill="auto"/>
            <w:vAlign w:val="center"/>
          </w:tcPr>
          <w:p w14:paraId="1601C4AC" w14:textId="77777777" w:rsidR="00AB379C" w:rsidRPr="00D54752" w:rsidRDefault="00AB379C" w:rsidP="007055F6">
            <w:pPr>
              <w:jc w:val="center"/>
              <w:rPr>
                <w:rFonts w:eastAsia="Times New Roman" w:cstheme="minorHAnsi"/>
                <w:b/>
                <w:bCs/>
                <w:lang w:bidi="ar-SA"/>
              </w:rPr>
            </w:pPr>
            <w:r w:rsidRPr="00D54752">
              <w:rPr>
                <w:rFonts w:cstheme="minorHAnsi"/>
                <w:b/>
                <w:bCs/>
              </w:rPr>
              <w:t>68.9%</w:t>
            </w:r>
          </w:p>
        </w:tc>
        <w:tc>
          <w:tcPr>
            <w:tcW w:w="343" w:type="pct"/>
            <w:shd w:val="clear" w:color="auto" w:fill="auto"/>
            <w:vAlign w:val="center"/>
          </w:tcPr>
          <w:p w14:paraId="5CE2C32A" w14:textId="77777777" w:rsidR="00AB379C" w:rsidRPr="00D54752" w:rsidRDefault="00AB379C" w:rsidP="007055F6">
            <w:pPr>
              <w:jc w:val="center"/>
              <w:rPr>
                <w:rFonts w:eastAsia="Times New Roman" w:cstheme="minorHAnsi"/>
                <w:lang w:bidi="ar-SA"/>
              </w:rPr>
            </w:pPr>
            <w:r w:rsidRPr="00D54752">
              <w:rPr>
                <w:rFonts w:cstheme="minorHAnsi"/>
              </w:rPr>
              <w:t>57.7%</w:t>
            </w:r>
          </w:p>
        </w:tc>
        <w:tc>
          <w:tcPr>
            <w:tcW w:w="374" w:type="pct"/>
            <w:shd w:val="clear" w:color="auto" w:fill="auto"/>
            <w:vAlign w:val="center"/>
          </w:tcPr>
          <w:p w14:paraId="02660372" w14:textId="77777777" w:rsidR="00AB379C" w:rsidRPr="00D54752" w:rsidRDefault="00AB379C" w:rsidP="007055F6">
            <w:pPr>
              <w:jc w:val="center"/>
              <w:rPr>
                <w:rFonts w:eastAsia="Times New Roman" w:cstheme="minorHAnsi"/>
                <w:lang w:bidi="ar-SA"/>
              </w:rPr>
            </w:pPr>
            <w:r w:rsidRPr="00D54752">
              <w:rPr>
                <w:rFonts w:cstheme="minorHAnsi"/>
              </w:rPr>
              <w:t>80.1%</w:t>
            </w:r>
          </w:p>
        </w:tc>
        <w:tc>
          <w:tcPr>
            <w:tcW w:w="405" w:type="pct"/>
            <w:shd w:val="clear" w:color="auto" w:fill="auto"/>
            <w:vAlign w:val="center"/>
          </w:tcPr>
          <w:p w14:paraId="1E9ED015" w14:textId="77777777" w:rsidR="00AB379C" w:rsidRPr="00D54752" w:rsidRDefault="00AB379C" w:rsidP="007055F6">
            <w:pPr>
              <w:jc w:val="center"/>
              <w:rPr>
                <w:rFonts w:eastAsia="Times New Roman" w:cstheme="minorHAnsi"/>
                <w:lang w:bidi="ar-SA"/>
              </w:rPr>
            </w:pPr>
            <w:r w:rsidRPr="00D54752">
              <w:rPr>
                <w:rFonts w:cstheme="minorHAnsi"/>
              </w:rPr>
              <w:t>53.9%</w:t>
            </w:r>
          </w:p>
        </w:tc>
        <w:tc>
          <w:tcPr>
            <w:tcW w:w="406" w:type="pct"/>
            <w:shd w:val="clear" w:color="auto" w:fill="auto"/>
            <w:vAlign w:val="center"/>
          </w:tcPr>
          <w:p w14:paraId="4DA17ACA"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46F07AF6" w14:textId="77777777" w:rsidR="00AB379C" w:rsidRPr="00D54752" w:rsidRDefault="00AB379C" w:rsidP="007055F6">
            <w:pPr>
              <w:jc w:val="center"/>
              <w:rPr>
                <w:rFonts w:eastAsia="Times New Roman" w:cstheme="minorHAnsi"/>
                <w:lang w:bidi="ar-SA"/>
              </w:rPr>
            </w:pPr>
            <w:r w:rsidRPr="00D54752">
              <w:rPr>
                <w:rFonts w:cstheme="minorHAnsi"/>
              </w:rPr>
              <w:t>68.9%</w:t>
            </w:r>
          </w:p>
        </w:tc>
        <w:tc>
          <w:tcPr>
            <w:tcW w:w="343" w:type="pct"/>
            <w:shd w:val="clear" w:color="auto" w:fill="auto"/>
            <w:vAlign w:val="center"/>
          </w:tcPr>
          <w:p w14:paraId="12AA1892"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227D4D6B" w14:textId="61DEF901"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90th percentile </w:t>
            </w:r>
          </w:p>
        </w:tc>
      </w:tr>
      <w:tr w:rsidR="00AB379C" w:rsidRPr="00D54752" w14:paraId="19E8C13D" w14:textId="77777777" w:rsidTr="00375A13">
        <w:trPr>
          <w:cantSplit/>
          <w:trHeight w:val="144"/>
        </w:trPr>
        <w:tc>
          <w:tcPr>
            <w:tcW w:w="297" w:type="pct"/>
            <w:shd w:val="clear" w:color="auto" w:fill="FFFFFF" w:themeFill="background1"/>
            <w:vAlign w:val="center"/>
            <w:hideMark/>
          </w:tcPr>
          <w:p w14:paraId="417C0B34"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lastRenderedPageBreak/>
              <w:t>HEDIS</w:t>
            </w:r>
          </w:p>
        </w:tc>
        <w:tc>
          <w:tcPr>
            <w:tcW w:w="1049" w:type="pct"/>
            <w:shd w:val="clear" w:color="auto" w:fill="FFFFFF" w:themeFill="background1"/>
            <w:vAlign w:val="center"/>
            <w:hideMark/>
          </w:tcPr>
          <w:p w14:paraId="4EC69C9C" w14:textId="1DA9B06F"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Metabolic Monitoring for Children and Adolescents on Antipsychotics— Cholesterol (</w:t>
            </w:r>
            <w:r w:rsidR="00BB5662">
              <w:rPr>
                <w:rFonts w:eastAsia="Times New Roman" w:cstheme="minorHAnsi"/>
                <w:lang w:bidi="ar-SA"/>
              </w:rPr>
              <w:t xml:space="preserve">Ages </w:t>
            </w:r>
            <w:r w:rsidRPr="00D54752">
              <w:rPr>
                <w:rFonts w:eastAsia="Times New Roman" w:cstheme="minorHAnsi"/>
                <w:lang w:bidi="ar-SA"/>
              </w:rPr>
              <w:t>1—11 years)</w:t>
            </w:r>
          </w:p>
        </w:tc>
        <w:tc>
          <w:tcPr>
            <w:tcW w:w="312" w:type="pct"/>
            <w:shd w:val="clear" w:color="auto" w:fill="auto"/>
            <w:vAlign w:val="center"/>
          </w:tcPr>
          <w:p w14:paraId="3472FAE4" w14:textId="77777777" w:rsidR="00AB379C" w:rsidRPr="00D54752" w:rsidRDefault="00AB379C" w:rsidP="007055F6">
            <w:pPr>
              <w:jc w:val="center"/>
              <w:rPr>
                <w:rFonts w:eastAsia="Times New Roman" w:cstheme="minorHAnsi"/>
                <w:lang w:bidi="ar-SA"/>
              </w:rPr>
            </w:pPr>
            <w:r w:rsidRPr="00D54752">
              <w:rPr>
                <w:rFonts w:cstheme="minorHAnsi"/>
              </w:rPr>
              <w:t>10</w:t>
            </w:r>
          </w:p>
        </w:tc>
        <w:tc>
          <w:tcPr>
            <w:tcW w:w="281" w:type="pct"/>
            <w:shd w:val="clear" w:color="auto" w:fill="auto"/>
            <w:vAlign w:val="center"/>
          </w:tcPr>
          <w:p w14:paraId="3A0FDE16" w14:textId="77777777" w:rsidR="00AB379C" w:rsidRPr="00D54752" w:rsidRDefault="00AB379C" w:rsidP="007055F6">
            <w:pPr>
              <w:jc w:val="center"/>
              <w:rPr>
                <w:rFonts w:eastAsia="Times New Roman" w:cstheme="minorHAnsi"/>
                <w:lang w:bidi="ar-SA"/>
              </w:rPr>
            </w:pPr>
            <w:r w:rsidRPr="00D54752">
              <w:rPr>
                <w:rFonts w:cstheme="minorHAnsi"/>
              </w:rPr>
              <w:t>7</w:t>
            </w:r>
          </w:p>
        </w:tc>
        <w:tc>
          <w:tcPr>
            <w:tcW w:w="312" w:type="pct"/>
            <w:shd w:val="clear" w:color="auto" w:fill="auto"/>
            <w:vAlign w:val="center"/>
          </w:tcPr>
          <w:p w14:paraId="0DC7C2FE" w14:textId="77777777" w:rsidR="00AB379C" w:rsidRPr="00D54752" w:rsidRDefault="00AB379C" w:rsidP="007055F6">
            <w:pPr>
              <w:jc w:val="center"/>
              <w:rPr>
                <w:rFonts w:eastAsia="Times New Roman" w:cstheme="minorHAnsi"/>
                <w:b/>
                <w:bCs/>
                <w:lang w:bidi="ar-SA"/>
              </w:rPr>
            </w:pPr>
            <w:r w:rsidRPr="00D54752">
              <w:rPr>
                <w:rFonts w:cstheme="minorHAnsi"/>
                <w:b/>
                <w:bCs/>
              </w:rPr>
              <w:t>N/A</w:t>
            </w:r>
          </w:p>
        </w:tc>
        <w:tc>
          <w:tcPr>
            <w:tcW w:w="343" w:type="pct"/>
            <w:shd w:val="clear" w:color="auto" w:fill="auto"/>
            <w:vAlign w:val="center"/>
          </w:tcPr>
          <w:p w14:paraId="43904B50"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74" w:type="pct"/>
            <w:shd w:val="clear" w:color="auto" w:fill="auto"/>
            <w:vAlign w:val="center"/>
          </w:tcPr>
          <w:p w14:paraId="11A60904"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405" w:type="pct"/>
            <w:shd w:val="clear" w:color="auto" w:fill="auto"/>
            <w:vAlign w:val="center"/>
          </w:tcPr>
          <w:p w14:paraId="29B4A6D6"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406" w:type="pct"/>
            <w:shd w:val="clear" w:color="auto" w:fill="auto"/>
            <w:vAlign w:val="center"/>
          </w:tcPr>
          <w:p w14:paraId="1271250E"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43" w:type="pct"/>
            <w:shd w:val="clear" w:color="auto" w:fill="auto"/>
            <w:vAlign w:val="center"/>
          </w:tcPr>
          <w:p w14:paraId="19A73E3D" w14:textId="77777777" w:rsidR="00AB379C" w:rsidRPr="00D54752" w:rsidRDefault="00AB379C" w:rsidP="007055F6">
            <w:pPr>
              <w:jc w:val="center"/>
              <w:rPr>
                <w:rFonts w:eastAsia="Times New Roman" w:cstheme="minorHAnsi"/>
                <w:lang w:bidi="ar-SA"/>
              </w:rPr>
            </w:pPr>
            <w:r w:rsidRPr="00D54752">
              <w:rPr>
                <w:rFonts w:cstheme="minorHAnsi"/>
              </w:rPr>
              <w:t>0.0%</w:t>
            </w:r>
          </w:p>
        </w:tc>
        <w:tc>
          <w:tcPr>
            <w:tcW w:w="343" w:type="pct"/>
            <w:shd w:val="clear" w:color="auto" w:fill="auto"/>
            <w:vAlign w:val="center"/>
          </w:tcPr>
          <w:p w14:paraId="400B6DD2"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535" w:type="pct"/>
            <w:shd w:val="clear" w:color="auto" w:fill="auto"/>
            <w:vAlign w:val="center"/>
          </w:tcPr>
          <w:p w14:paraId="1180EBF5"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6356D6D6" w14:textId="77777777" w:rsidTr="00375A13">
        <w:trPr>
          <w:cantSplit/>
          <w:trHeight w:val="144"/>
        </w:trPr>
        <w:tc>
          <w:tcPr>
            <w:tcW w:w="297" w:type="pct"/>
            <w:shd w:val="clear" w:color="auto" w:fill="FFFFFF" w:themeFill="background1"/>
            <w:vAlign w:val="center"/>
            <w:hideMark/>
          </w:tcPr>
          <w:p w14:paraId="114A1396"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61DE0D79" w14:textId="508DDF3B"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Metabolic Monitoring for Children and Adolescents on Antipsychotics— Cholesterol (</w:t>
            </w:r>
            <w:r w:rsidR="00BB5662">
              <w:rPr>
                <w:rFonts w:eastAsia="Times New Roman" w:cstheme="minorHAnsi"/>
                <w:lang w:bidi="ar-SA"/>
              </w:rPr>
              <w:t xml:space="preserve">Ages </w:t>
            </w:r>
            <w:r w:rsidRPr="00D54752">
              <w:rPr>
                <w:rFonts w:eastAsia="Times New Roman" w:cstheme="minorHAnsi"/>
                <w:lang w:bidi="ar-SA"/>
              </w:rPr>
              <w:t>12—17 years)</w:t>
            </w:r>
          </w:p>
        </w:tc>
        <w:tc>
          <w:tcPr>
            <w:tcW w:w="312" w:type="pct"/>
            <w:shd w:val="clear" w:color="auto" w:fill="auto"/>
            <w:vAlign w:val="center"/>
          </w:tcPr>
          <w:p w14:paraId="1EB7CCB3" w14:textId="77777777" w:rsidR="00AB379C" w:rsidRPr="00D54752" w:rsidRDefault="00AB379C" w:rsidP="007055F6">
            <w:pPr>
              <w:jc w:val="center"/>
              <w:rPr>
                <w:rFonts w:eastAsia="Times New Roman" w:cstheme="minorHAnsi"/>
                <w:lang w:bidi="ar-SA"/>
              </w:rPr>
            </w:pPr>
            <w:r w:rsidRPr="00D54752">
              <w:rPr>
                <w:rFonts w:cstheme="minorHAnsi"/>
              </w:rPr>
              <w:t>64</w:t>
            </w:r>
          </w:p>
        </w:tc>
        <w:tc>
          <w:tcPr>
            <w:tcW w:w="281" w:type="pct"/>
            <w:shd w:val="clear" w:color="auto" w:fill="auto"/>
            <w:vAlign w:val="center"/>
          </w:tcPr>
          <w:p w14:paraId="0C34BE88" w14:textId="77777777" w:rsidR="00AB379C" w:rsidRPr="00D54752" w:rsidRDefault="00AB379C" w:rsidP="007055F6">
            <w:pPr>
              <w:jc w:val="center"/>
              <w:rPr>
                <w:rFonts w:eastAsia="Times New Roman" w:cstheme="minorHAnsi"/>
                <w:lang w:bidi="ar-SA"/>
              </w:rPr>
            </w:pPr>
            <w:r w:rsidRPr="00D54752">
              <w:rPr>
                <w:rFonts w:cstheme="minorHAnsi"/>
              </w:rPr>
              <w:t>30</w:t>
            </w:r>
          </w:p>
        </w:tc>
        <w:tc>
          <w:tcPr>
            <w:tcW w:w="312" w:type="pct"/>
            <w:shd w:val="clear" w:color="auto" w:fill="auto"/>
            <w:vAlign w:val="center"/>
          </w:tcPr>
          <w:p w14:paraId="5E7E102A" w14:textId="77777777" w:rsidR="00AB379C" w:rsidRPr="00D54752" w:rsidRDefault="00AB379C" w:rsidP="007055F6">
            <w:pPr>
              <w:jc w:val="center"/>
              <w:rPr>
                <w:rFonts w:eastAsia="Times New Roman" w:cstheme="minorHAnsi"/>
                <w:b/>
                <w:bCs/>
                <w:lang w:bidi="ar-SA"/>
              </w:rPr>
            </w:pPr>
            <w:r w:rsidRPr="00D54752">
              <w:rPr>
                <w:rFonts w:cstheme="minorHAnsi"/>
                <w:b/>
                <w:bCs/>
              </w:rPr>
              <w:t>46.9%</w:t>
            </w:r>
          </w:p>
        </w:tc>
        <w:tc>
          <w:tcPr>
            <w:tcW w:w="343" w:type="pct"/>
            <w:shd w:val="clear" w:color="auto" w:fill="auto"/>
            <w:vAlign w:val="center"/>
          </w:tcPr>
          <w:p w14:paraId="253F1445" w14:textId="77777777" w:rsidR="00AB379C" w:rsidRPr="00D54752" w:rsidRDefault="00AB379C" w:rsidP="007055F6">
            <w:pPr>
              <w:jc w:val="center"/>
              <w:rPr>
                <w:rFonts w:eastAsia="Times New Roman" w:cstheme="minorHAnsi"/>
                <w:lang w:bidi="ar-SA"/>
              </w:rPr>
            </w:pPr>
            <w:r w:rsidRPr="00D54752">
              <w:rPr>
                <w:rFonts w:cstheme="minorHAnsi"/>
              </w:rPr>
              <w:t>33.9%</w:t>
            </w:r>
          </w:p>
        </w:tc>
        <w:tc>
          <w:tcPr>
            <w:tcW w:w="374" w:type="pct"/>
            <w:shd w:val="clear" w:color="auto" w:fill="auto"/>
            <w:vAlign w:val="center"/>
          </w:tcPr>
          <w:p w14:paraId="7FF95BF3" w14:textId="77777777" w:rsidR="00AB379C" w:rsidRPr="00D54752" w:rsidRDefault="00AB379C" w:rsidP="007055F6">
            <w:pPr>
              <w:jc w:val="center"/>
              <w:rPr>
                <w:rFonts w:eastAsia="Times New Roman" w:cstheme="minorHAnsi"/>
                <w:lang w:bidi="ar-SA"/>
              </w:rPr>
            </w:pPr>
            <w:r w:rsidRPr="00D54752">
              <w:rPr>
                <w:rFonts w:cstheme="minorHAnsi"/>
              </w:rPr>
              <w:t>59.9%</w:t>
            </w:r>
          </w:p>
        </w:tc>
        <w:tc>
          <w:tcPr>
            <w:tcW w:w="405" w:type="pct"/>
            <w:shd w:val="clear" w:color="auto" w:fill="auto"/>
            <w:vAlign w:val="center"/>
          </w:tcPr>
          <w:p w14:paraId="1C498505" w14:textId="77777777" w:rsidR="00AB379C" w:rsidRPr="00D54752" w:rsidRDefault="00AB379C" w:rsidP="007055F6">
            <w:pPr>
              <w:jc w:val="center"/>
              <w:rPr>
                <w:rFonts w:eastAsia="Times New Roman" w:cstheme="minorHAnsi"/>
                <w:lang w:bidi="ar-SA"/>
              </w:rPr>
            </w:pPr>
            <w:r w:rsidRPr="00D54752">
              <w:rPr>
                <w:rFonts w:cstheme="minorHAnsi"/>
              </w:rPr>
              <w:t>24.1%</w:t>
            </w:r>
          </w:p>
        </w:tc>
        <w:tc>
          <w:tcPr>
            <w:tcW w:w="406" w:type="pct"/>
            <w:shd w:val="clear" w:color="auto" w:fill="auto"/>
            <w:vAlign w:val="center"/>
          </w:tcPr>
          <w:p w14:paraId="4B80E184"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343" w:type="pct"/>
            <w:shd w:val="clear" w:color="auto" w:fill="auto"/>
            <w:vAlign w:val="center"/>
          </w:tcPr>
          <w:p w14:paraId="2A58507C" w14:textId="77777777" w:rsidR="00AB379C" w:rsidRPr="00D54752" w:rsidRDefault="00AB379C" w:rsidP="007055F6">
            <w:pPr>
              <w:jc w:val="center"/>
              <w:rPr>
                <w:rFonts w:eastAsia="Times New Roman" w:cstheme="minorHAnsi"/>
                <w:lang w:bidi="ar-SA"/>
              </w:rPr>
            </w:pPr>
            <w:r w:rsidRPr="00D54752">
              <w:rPr>
                <w:rFonts w:cstheme="minorHAnsi"/>
              </w:rPr>
              <w:t>46.9%</w:t>
            </w:r>
          </w:p>
        </w:tc>
        <w:tc>
          <w:tcPr>
            <w:tcW w:w="343" w:type="pct"/>
            <w:shd w:val="clear" w:color="auto" w:fill="auto"/>
            <w:vAlign w:val="center"/>
          </w:tcPr>
          <w:p w14:paraId="19145C1F"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3D1ED825" w14:textId="1B662A09"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76586807" w14:textId="77777777" w:rsidTr="00375A13">
        <w:trPr>
          <w:cantSplit/>
          <w:trHeight w:val="144"/>
        </w:trPr>
        <w:tc>
          <w:tcPr>
            <w:tcW w:w="297" w:type="pct"/>
            <w:shd w:val="clear" w:color="auto" w:fill="FFFFFF" w:themeFill="background1"/>
            <w:vAlign w:val="center"/>
            <w:hideMark/>
          </w:tcPr>
          <w:p w14:paraId="157CAFF4"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6B76DFCE" w14:textId="77777777"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Metabolic Monitoring for Children and Adolescents on Antipsychotics — Cholesterol (Total)</w:t>
            </w:r>
          </w:p>
        </w:tc>
        <w:tc>
          <w:tcPr>
            <w:tcW w:w="312" w:type="pct"/>
            <w:shd w:val="clear" w:color="auto" w:fill="auto"/>
            <w:vAlign w:val="center"/>
          </w:tcPr>
          <w:p w14:paraId="4A74DC91" w14:textId="77777777" w:rsidR="00AB379C" w:rsidRPr="00D54752" w:rsidRDefault="00AB379C" w:rsidP="007055F6">
            <w:pPr>
              <w:jc w:val="center"/>
              <w:rPr>
                <w:rFonts w:eastAsia="Times New Roman" w:cstheme="minorHAnsi"/>
                <w:lang w:bidi="ar-SA"/>
              </w:rPr>
            </w:pPr>
            <w:r w:rsidRPr="00D54752">
              <w:rPr>
                <w:rFonts w:cstheme="minorHAnsi"/>
              </w:rPr>
              <w:t>74</w:t>
            </w:r>
          </w:p>
        </w:tc>
        <w:tc>
          <w:tcPr>
            <w:tcW w:w="281" w:type="pct"/>
            <w:shd w:val="clear" w:color="auto" w:fill="auto"/>
            <w:vAlign w:val="center"/>
          </w:tcPr>
          <w:p w14:paraId="003E94E6" w14:textId="77777777" w:rsidR="00AB379C" w:rsidRPr="00D54752" w:rsidRDefault="00AB379C" w:rsidP="007055F6">
            <w:pPr>
              <w:jc w:val="center"/>
              <w:rPr>
                <w:rFonts w:eastAsia="Times New Roman" w:cstheme="minorHAnsi"/>
                <w:lang w:bidi="ar-SA"/>
              </w:rPr>
            </w:pPr>
            <w:r w:rsidRPr="00D54752">
              <w:rPr>
                <w:rFonts w:cstheme="minorHAnsi"/>
              </w:rPr>
              <w:t>37</w:t>
            </w:r>
          </w:p>
        </w:tc>
        <w:tc>
          <w:tcPr>
            <w:tcW w:w="312" w:type="pct"/>
            <w:shd w:val="clear" w:color="auto" w:fill="auto"/>
            <w:vAlign w:val="center"/>
          </w:tcPr>
          <w:p w14:paraId="7BE2F672" w14:textId="77777777" w:rsidR="00AB379C" w:rsidRPr="00D54752" w:rsidRDefault="00AB379C" w:rsidP="007055F6">
            <w:pPr>
              <w:jc w:val="center"/>
              <w:rPr>
                <w:rFonts w:eastAsia="Times New Roman" w:cstheme="minorHAnsi"/>
                <w:b/>
                <w:bCs/>
                <w:lang w:bidi="ar-SA"/>
              </w:rPr>
            </w:pPr>
            <w:r w:rsidRPr="00D54752">
              <w:rPr>
                <w:rFonts w:cstheme="minorHAnsi"/>
                <w:b/>
                <w:bCs/>
              </w:rPr>
              <w:t>50.0%</w:t>
            </w:r>
          </w:p>
        </w:tc>
        <w:tc>
          <w:tcPr>
            <w:tcW w:w="343" w:type="pct"/>
            <w:shd w:val="clear" w:color="auto" w:fill="auto"/>
            <w:vAlign w:val="center"/>
          </w:tcPr>
          <w:p w14:paraId="4D156AC7" w14:textId="77777777" w:rsidR="00AB379C" w:rsidRPr="00D54752" w:rsidRDefault="00AB379C" w:rsidP="007055F6">
            <w:pPr>
              <w:jc w:val="center"/>
              <w:rPr>
                <w:rFonts w:eastAsia="Times New Roman" w:cstheme="minorHAnsi"/>
                <w:lang w:bidi="ar-SA"/>
              </w:rPr>
            </w:pPr>
            <w:r w:rsidRPr="00D54752">
              <w:rPr>
                <w:rFonts w:cstheme="minorHAnsi"/>
              </w:rPr>
              <w:t>37.9%</w:t>
            </w:r>
          </w:p>
        </w:tc>
        <w:tc>
          <w:tcPr>
            <w:tcW w:w="374" w:type="pct"/>
            <w:shd w:val="clear" w:color="auto" w:fill="auto"/>
            <w:vAlign w:val="center"/>
          </w:tcPr>
          <w:p w14:paraId="49AE23CB" w14:textId="77777777" w:rsidR="00AB379C" w:rsidRPr="00D54752" w:rsidRDefault="00AB379C" w:rsidP="007055F6">
            <w:pPr>
              <w:jc w:val="center"/>
              <w:rPr>
                <w:rFonts w:eastAsia="Times New Roman" w:cstheme="minorHAnsi"/>
                <w:lang w:bidi="ar-SA"/>
              </w:rPr>
            </w:pPr>
            <w:r w:rsidRPr="00D54752">
              <w:rPr>
                <w:rFonts w:cstheme="minorHAnsi"/>
              </w:rPr>
              <w:t>62.1%</w:t>
            </w:r>
          </w:p>
        </w:tc>
        <w:tc>
          <w:tcPr>
            <w:tcW w:w="405" w:type="pct"/>
            <w:shd w:val="clear" w:color="auto" w:fill="auto"/>
            <w:vAlign w:val="center"/>
          </w:tcPr>
          <w:p w14:paraId="389FF1DF" w14:textId="77777777" w:rsidR="00AB379C" w:rsidRPr="00D54752" w:rsidRDefault="00AB379C" w:rsidP="007055F6">
            <w:pPr>
              <w:jc w:val="center"/>
              <w:rPr>
                <w:rFonts w:eastAsia="Times New Roman" w:cstheme="minorHAnsi"/>
                <w:lang w:bidi="ar-SA"/>
              </w:rPr>
            </w:pPr>
            <w:r w:rsidRPr="00D54752">
              <w:rPr>
                <w:rFonts w:cstheme="minorHAnsi"/>
              </w:rPr>
              <w:t>30.8%</w:t>
            </w:r>
          </w:p>
        </w:tc>
        <w:tc>
          <w:tcPr>
            <w:tcW w:w="406" w:type="pct"/>
            <w:shd w:val="clear" w:color="auto" w:fill="auto"/>
            <w:vAlign w:val="center"/>
          </w:tcPr>
          <w:p w14:paraId="6B0ECAA8"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343" w:type="pct"/>
            <w:shd w:val="clear" w:color="auto" w:fill="auto"/>
            <w:vAlign w:val="center"/>
          </w:tcPr>
          <w:p w14:paraId="31817649" w14:textId="77777777" w:rsidR="00AB379C" w:rsidRPr="00D54752" w:rsidRDefault="00AB379C" w:rsidP="007055F6">
            <w:pPr>
              <w:jc w:val="center"/>
              <w:rPr>
                <w:rFonts w:eastAsia="Times New Roman" w:cstheme="minorHAnsi"/>
                <w:lang w:bidi="ar-SA"/>
              </w:rPr>
            </w:pPr>
            <w:r w:rsidRPr="00D54752">
              <w:rPr>
                <w:rFonts w:cstheme="minorHAnsi"/>
              </w:rPr>
              <w:t>50.0%</w:t>
            </w:r>
          </w:p>
        </w:tc>
        <w:tc>
          <w:tcPr>
            <w:tcW w:w="343" w:type="pct"/>
            <w:shd w:val="clear" w:color="auto" w:fill="auto"/>
            <w:vAlign w:val="center"/>
          </w:tcPr>
          <w:p w14:paraId="4EA38DAF"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737F5122" w14:textId="4FAE743C"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305782B7" w14:textId="77777777" w:rsidTr="00375A13">
        <w:trPr>
          <w:cantSplit/>
          <w:trHeight w:val="144"/>
        </w:trPr>
        <w:tc>
          <w:tcPr>
            <w:tcW w:w="297" w:type="pct"/>
            <w:shd w:val="clear" w:color="auto" w:fill="FFFFFF" w:themeFill="background1"/>
            <w:vAlign w:val="center"/>
            <w:hideMark/>
          </w:tcPr>
          <w:p w14:paraId="389BDD4A"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4E852664" w14:textId="45BB811D"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Metabolic Monitoring for Children and Adolescents on Antipsychotics— Blood Glucose &amp; Cholesterol (</w:t>
            </w:r>
            <w:r w:rsidR="00BB5662">
              <w:rPr>
                <w:rFonts w:eastAsia="Times New Roman" w:cstheme="minorHAnsi"/>
                <w:lang w:bidi="ar-SA"/>
              </w:rPr>
              <w:t xml:space="preserve">Ages </w:t>
            </w:r>
            <w:r w:rsidRPr="00D54752">
              <w:rPr>
                <w:rFonts w:eastAsia="Times New Roman" w:cstheme="minorHAnsi"/>
                <w:lang w:bidi="ar-SA"/>
              </w:rPr>
              <w:t>1—11 years)</w:t>
            </w:r>
          </w:p>
        </w:tc>
        <w:tc>
          <w:tcPr>
            <w:tcW w:w="312" w:type="pct"/>
            <w:shd w:val="clear" w:color="auto" w:fill="auto"/>
            <w:vAlign w:val="center"/>
          </w:tcPr>
          <w:p w14:paraId="651EA13E" w14:textId="77777777" w:rsidR="00AB379C" w:rsidRPr="00D54752" w:rsidRDefault="00AB379C" w:rsidP="007055F6">
            <w:pPr>
              <w:jc w:val="center"/>
              <w:rPr>
                <w:rFonts w:eastAsia="Times New Roman" w:cstheme="minorHAnsi"/>
                <w:lang w:bidi="ar-SA"/>
              </w:rPr>
            </w:pPr>
            <w:r w:rsidRPr="00D54752">
              <w:rPr>
                <w:rFonts w:cstheme="minorHAnsi"/>
              </w:rPr>
              <w:t>10</w:t>
            </w:r>
          </w:p>
        </w:tc>
        <w:tc>
          <w:tcPr>
            <w:tcW w:w="281" w:type="pct"/>
            <w:shd w:val="clear" w:color="auto" w:fill="auto"/>
            <w:vAlign w:val="center"/>
          </w:tcPr>
          <w:p w14:paraId="631CBC56" w14:textId="77777777" w:rsidR="00AB379C" w:rsidRPr="00D54752" w:rsidRDefault="00AB379C" w:rsidP="007055F6">
            <w:pPr>
              <w:jc w:val="center"/>
              <w:rPr>
                <w:rFonts w:eastAsia="Times New Roman" w:cstheme="minorHAnsi"/>
                <w:lang w:bidi="ar-SA"/>
              </w:rPr>
            </w:pPr>
            <w:r w:rsidRPr="00D54752">
              <w:rPr>
                <w:rFonts w:cstheme="minorHAnsi"/>
              </w:rPr>
              <w:t>6</w:t>
            </w:r>
          </w:p>
        </w:tc>
        <w:tc>
          <w:tcPr>
            <w:tcW w:w="312" w:type="pct"/>
            <w:shd w:val="clear" w:color="auto" w:fill="auto"/>
            <w:vAlign w:val="center"/>
          </w:tcPr>
          <w:p w14:paraId="60720FE6" w14:textId="77777777" w:rsidR="00AB379C" w:rsidRPr="00D54752" w:rsidRDefault="00AB379C" w:rsidP="007055F6">
            <w:pPr>
              <w:jc w:val="center"/>
              <w:rPr>
                <w:rFonts w:eastAsia="Times New Roman" w:cstheme="minorHAnsi"/>
                <w:b/>
                <w:bCs/>
                <w:lang w:bidi="ar-SA"/>
              </w:rPr>
            </w:pPr>
            <w:r w:rsidRPr="00D54752">
              <w:rPr>
                <w:rFonts w:cstheme="minorHAnsi"/>
                <w:b/>
                <w:bCs/>
              </w:rPr>
              <w:t>N/A</w:t>
            </w:r>
          </w:p>
        </w:tc>
        <w:tc>
          <w:tcPr>
            <w:tcW w:w="343" w:type="pct"/>
            <w:shd w:val="clear" w:color="auto" w:fill="auto"/>
            <w:vAlign w:val="center"/>
          </w:tcPr>
          <w:p w14:paraId="12D8D089"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74" w:type="pct"/>
            <w:shd w:val="clear" w:color="auto" w:fill="auto"/>
            <w:vAlign w:val="center"/>
          </w:tcPr>
          <w:p w14:paraId="22C4D36A"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405" w:type="pct"/>
            <w:shd w:val="clear" w:color="auto" w:fill="auto"/>
            <w:vAlign w:val="center"/>
          </w:tcPr>
          <w:p w14:paraId="73EF5376"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406" w:type="pct"/>
            <w:shd w:val="clear" w:color="auto" w:fill="auto"/>
            <w:vAlign w:val="center"/>
          </w:tcPr>
          <w:p w14:paraId="3F61BA6C"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43" w:type="pct"/>
            <w:shd w:val="clear" w:color="auto" w:fill="auto"/>
            <w:vAlign w:val="center"/>
          </w:tcPr>
          <w:p w14:paraId="23399216" w14:textId="77777777" w:rsidR="00AB379C" w:rsidRPr="00D54752" w:rsidRDefault="00AB379C" w:rsidP="007055F6">
            <w:pPr>
              <w:jc w:val="center"/>
              <w:rPr>
                <w:rFonts w:eastAsia="Times New Roman" w:cstheme="minorHAnsi"/>
                <w:lang w:bidi="ar-SA"/>
              </w:rPr>
            </w:pPr>
            <w:r w:rsidRPr="00D54752">
              <w:rPr>
                <w:rFonts w:cstheme="minorHAnsi"/>
              </w:rPr>
              <w:t>0.0%</w:t>
            </w:r>
          </w:p>
        </w:tc>
        <w:tc>
          <w:tcPr>
            <w:tcW w:w="343" w:type="pct"/>
            <w:shd w:val="clear" w:color="auto" w:fill="auto"/>
            <w:vAlign w:val="center"/>
          </w:tcPr>
          <w:p w14:paraId="72A60917"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535" w:type="pct"/>
            <w:shd w:val="clear" w:color="auto" w:fill="auto"/>
            <w:vAlign w:val="center"/>
          </w:tcPr>
          <w:p w14:paraId="66B7B2E9"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2D7AF30C" w14:textId="77777777" w:rsidTr="00375A13">
        <w:trPr>
          <w:cantSplit/>
          <w:trHeight w:val="144"/>
        </w:trPr>
        <w:tc>
          <w:tcPr>
            <w:tcW w:w="297" w:type="pct"/>
            <w:shd w:val="clear" w:color="auto" w:fill="FFFFFF" w:themeFill="background1"/>
            <w:vAlign w:val="center"/>
            <w:hideMark/>
          </w:tcPr>
          <w:p w14:paraId="283E79CD"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7FD386B5" w14:textId="54F9AFCD"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 xml:space="preserve">Metabolic Monitoring for Children and Adolescents on Antipsychotics </w:t>
            </w:r>
            <w:r w:rsidR="00BB5662">
              <w:rPr>
                <w:rFonts w:eastAsia="Times New Roman" w:cstheme="minorHAnsi"/>
                <w:lang w:bidi="ar-SA"/>
              </w:rPr>
              <w:t>–</w:t>
            </w:r>
            <w:r w:rsidRPr="00D54752">
              <w:rPr>
                <w:rFonts w:eastAsia="Times New Roman" w:cstheme="minorHAnsi"/>
                <w:lang w:bidi="ar-SA"/>
              </w:rPr>
              <w:t xml:space="preserve"> Blood Glucose &amp; Cholesterol (</w:t>
            </w:r>
            <w:r w:rsidR="00BB5662">
              <w:rPr>
                <w:rFonts w:eastAsia="Times New Roman" w:cstheme="minorHAnsi"/>
                <w:lang w:bidi="ar-SA"/>
              </w:rPr>
              <w:t xml:space="preserve">Ages </w:t>
            </w:r>
            <w:r w:rsidRPr="00D54752">
              <w:rPr>
                <w:rFonts w:eastAsia="Times New Roman" w:cstheme="minorHAnsi"/>
                <w:lang w:bidi="ar-SA"/>
              </w:rPr>
              <w:t>12</w:t>
            </w:r>
            <w:r w:rsidR="00BB5662">
              <w:rPr>
                <w:rFonts w:eastAsia="Times New Roman" w:cstheme="minorHAnsi"/>
                <w:lang w:bidi="ar-SA"/>
              </w:rPr>
              <w:t>–</w:t>
            </w:r>
            <w:r w:rsidRPr="00D54752">
              <w:rPr>
                <w:rFonts w:eastAsia="Times New Roman" w:cstheme="minorHAnsi"/>
                <w:lang w:bidi="ar-SA"/>
              </w:rPr>
              <w:t>17 Years)</w:t>
            </w:r>
          </w:p>
        </w:tc>
        <w:tc>
          <w:tcPr>
            <w:tcW w:w="312" w:type="pct"/>
            <w:shd w:val="clear" w:color="auto" w:fill="auto"/>
            <w:vAlign w:val="center"/>
          </w:tcPr>
          <w:p w14:paraId="70E3DAC4" w14:textId="77777777" w:rsidR="00AB379C" w:rsidRPr="00D54752" w:rsidRDefault="00AB379C" w:rsidP="007055F6">
            <w:pPr>
              <w:jc w:val="center"/>
              <w:rPr>
                <w:rFonts w:eastAsia="Times New Roman" w:cstheme="minorHAnsi"/>
                <w:lang w:bidi="ar-SA"/>
              </w:rPr>
            </w:pPr>
            <w:r w:rsidRPr="00D54752">
              <w:rPr>
                <w:rFonts w:cstheme="minorHAnsi"/>
              </w:rPr>
              <w:t>64</w:t>
            </w:r>
          </w:p>
        </w:tc>
        <w:tc>
          <w:tcPr>
            <w:tcW w:w="281" w:type="pct"/>
            <w:shd w:val="clear" w:color="auto" w:fill="auto"/>
            <w:vAlign w:val="center"/>
          </w:tcPr>
          <w:p w14:paraId="704C8BB5" w14:textId="77777777" w:rsidR="00AB379C" w:rsidRPr="00D54752" w:rsidRDefault="00AB379C" w:rsidP="007055F6">
            <w:pPr>
              <w:jc w:val="center"/>
              <w:rPr>
                <w:rFonts w:eastAsia="Times New Roman" w:cstheme="minorHAnsi"/>
                <w:lang w:bidi="ar-SA"/>
              </w:rPr>
            </w:pPr>
            <w:r w:rsidRPr="00D54752">
              <w:rPr>
                <w:rFonts w:cstheme="minorHAnsi"/>
              </w:rPr>
              <w:t>30</w:t>
            </w:r>
          </w:p>
        </w:tc>
        <w:tc>
          <w:tcPr>
            <w:tcW w:w="312" w:type="pct"/>
            <w:shd w:val="clear" w:color="auto" w:fill="auto"/>
            <w:vAlign w:val="center"/>
          </w:tcPr>
          <w:p w14:paraId="43989E5B" w14:textId="77777777" w:rsidR="00AB379C" w:rsidRPr="00D54752" w:rsidRDefault="00AB379C" w:rsidP="007055F6">
            <w:pPr>
              <w:jc w:val="center"/>
              <w:rPr>
                <w:rFonts w:eastAsia="Times New Roman" w:cstheme="minorHAnsi"/>
                <w:b/>
                <w:bCs/>
                <w:lang w:bidi="ar-SA"/>
              </w:rPr>
            </w:pPr>
            <w:r w:rsidRPr="00D54752">
              <w:rPr>
                <w:rFonts w:cstheme="minorHAnsi"/>
                <w:b/>
                <w:bCs/>
              </w:rPr>
              <w:t>46.9%</w:t>
            </w:r>
          </w:p>
        </w:tc>
        <w:tc>
          <w:tcPr>
            <w:tcW w:w="343" w:type="pct"/>
            <w:shd w:val="clear" w:color="auto" w:fill="auto"/>
            <w:vAlign w:val="center"/>
          </w:tcPr>
          <w:p w14:paraId="50FFEFC9" w14:textId="77777777" w:rsidR="00AB379C" w:rsidRPr="00D54752" w:rsidRDefault="00AB379C" w:rsidP="007055F6">
            <w:pPr>
              <w:jc w:val="center"/>
              <w:rPr>
                <w:rFonts w:eastAsia="Times New Roman" w:cstheme="minorHAnsi"/>
                <w:lang w:bidi="ar-SA"/>
              </w:rPr>
            </w:pPr>
            <w:r w:rsidRPr="00D54752">
              <w:rPr>
                <w:rFonts w:cstheme="minorHAnsi"/>
              </w:rPr>
              <w:t>33.9%</w:t>
            </w:r>
          </w:p>
        </w:tc>
        <w:tc>
          <w:tcPr>
            <w:tcW w:w="374" w:type="pct"/>
            <w:shd w:val="clear" w:color="auto" w:fill="auto"/>
            <w:vAlign w:val="center"/>
          </w:tcPr>
          <w:p w14:paraId="059ECCFD" w14:textId="77777777" w:rsidR="00AB379C" w:rsidRPr="00D54752" w:rsidRDefault="00AB379C" w:rsidP="007055F6">
            <w:pPr>
              <w:jc w:val="center"/>
              <w:rPr>
                <w:rFonts w:eastAsia="Times New Roman" w:cstheme="minorHAnsi"/>
                <w:lang w:bidi="ar-SA"/>
              </w:rPr>
            </w:pPr>
            <w:r w:rsidRPr="00D54752">
              <w:rPr>
                <w:rFonts w:cstheme="minorHAnsi"/>
              </w:rPr>
              <w:t>59.9%</w:t>
            </w:r>
          </w:p>
        </w:tc>
        <w:tc>
          <w:tcPr>
            <w:tcW w:w="405" w:type="pct"/>
            <w:shd w:val="clear" w:color="auto" w:fill="auto"/>
            <w:vAlign w:val="center"/>
          </w:tcPr>
          <w:p w14:paraId="382AA6A8" w14:textId="77777777" w:rsidR="00AB379C" w:rsidRPr="00D54752" w:rsidRDefault="00AB379C" w:rsidP="007055F6">
            <w:pPr>
              <w:jc w:val="center"/>
              <w:rPr>
                <w:rFonts w:eastAsia="Times New Roman" w:cstheme="minorHAnsi"/>
                <w:lang w:bidi="ar-SA"/>
              </w:rPr>
            </w:pPr>
            <w:r w:rsidRPr="00D54752">
              <w:rPr>
                <w:rFonts w:cstheme="minorHAnsi"/>
              </w:rPr>
              <w:t>22.2%</w:t>
            </w:r>
          </w:p>
        </w:tc>
        <w:tc>
          <w:tcPr>
            <w:tcW w:w="406" w:type="pct"/>
            <w:shd w:val="clear" w:color="auto" w:fill="auto"/>
            <w:vAlign w:val="center"/>
          </w:tcPr>
          <w:p w14:paraId="57483CF8"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343" w:type="pct"/>
            <w:shd w:val="clear" w:color="auto" w:fill="auto"/>
            <w:vAlign w:val="center"/>
          </w:tcPr>
          <w:p w14:paraId="0957C9F1" w14:textId="77777777" w:rsidR="00AB379C" w:rsidRPr="00D54752" w:rsidRDefault="00AB379C" w:rsidP="007055F6">
            <w:pPr>
              <w:jc w:val="center"/>
              <w:rPr>
                <w:rFonts w:eastAsia="Times New Roman" w:cstheme="minorHAnsi"/>
                <w:lang w:bidi="ar-SA"/>
              </w:rPr>
            </w:pPr>
            <w:r w:rsidRPr="00D54752">
              <w:rPr>
                <w:rFonts w:cstheme="minorHAnsi"/>
              </w:rPr>
              <w:t>46.9%</w:t>
            </w:r>
          </w:p>
        </w:tc>
        <w:tc>
          <w:tcPr>
            <w:tcW w:w="343" w:type="pct"/>
            <w:shd w:val="clear" w:color="auto" w:fill="auto"/>
            <w:vAlign w:val="center"/>
          </w:tcPr>
          <w:p w14:paraId="07EADFD9"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589A2B46" w14:textId="164B1D05"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569FA466" w14:textId="77777777" w:rsidTr="00375A13">
        <w:trPr>
          <w:cantSplit/>
          <w:trHeight w:val="144"/>
        </w:trPr>
        <w:tc>
          <w:tcPr>
            <w:tcW w:w="297" w:type="pct"/>
            <w:shd w:val="clear" w:color="auto" w:fill="FFFFFF" w:themeFill="background1"/>
            <w:vAlign w:val="center"/>
            <w:hideMark/>
          </w:tcPr>
          <w:p w14:paraId="60CAEC4C"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63D810C0" w14:textId="77777777"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Metabolic Monitoring for Children and Adolescents on Antipsychotics—Blood Glucose &amp; Cholesterol (Total)</w:t>
            </w:r>
          </w:p>
        </w:tc>
        <w:tc>
          <w:tcPr>
            <w:tcW w:w="312" w:type="pct"/>
            <w:shd w:val="clear" w:color="auto" w:fill="auto"/>
            <w:vAlign w:val="center"/>
          </w:tcPr>
          <w:p w14:paraId="73077A3A" w14:textId="77777777" w:rsidR="00AB379C" w:rsidRPr="00D54752" w:rsidRDefault="00AB379C" w:rsidP="007055F6">
            <w:pPr>
              <w:jc w:val="center"/>
              <w:rPr>
                <w:rFonts w:eastAsia="Times New Roman" w:cstheme="minorHAnsi"/>
                <w:lang w:bidi="ar-SA"/>
              </w:rPr>
            </w:pPr>
            <w:r w:rsidRPr="00D54752">
              <w:rPr>
                <w:rFonts w:cstheme="minorHAnsi"/>
              </w:rPr>
              <w:t>74</w:t>
            </w:r>
          </w:p>
        </w:tc>
        <w:tc>
          <w:tcPr>
            <w:tcW w:w="281" w:type="pct"/>
            <w:shd w:val="clear" w:color="auto" w:fill="auto"/>
            <w:vAlign w:val="center"/>
          </w:tcPr>
          <w:p w14:paraId="00E8F32B" w14:textId="77777777" w:rsidR="00AB379C" w:rsidRPr="00D54752" w:rsidRDefault="00AB379C" w:rsidP="007055F6">
            <w:pPr>
              <w:jc w:val="center"/>
              <w:rPr>
                <w:rFonts w:eastAsia="Times New Roman" w:cstheme="minorHAnsi"/>
                <w:lang w:bidi="ar-SA"/>
              </w:rPr>
            </w:pPr>
            <w:r w:rsidRPr="00D54752">
              <w:rPr>
                <w:rFonts w:cstheme="minorHAnsi"/>
              </w:rPr>
              <w:t>36</w:t>
            </w:r>
          </w:p>
        </w:tc>
        <w:tc>
          <w:tcPr>
            <w:tcW w:w="312" w:type="pct"/>
            <w:shd w:val="clear" w:color="auto" w:fill="auto"/>
            <w:vAlign w:val="center"/>
          </w:tcPr>
          <w:p w14:paraId="03C561E9" w14:textId="77777777" w:rsidR="00AB379C" w:rsidRPr="00D54752" w:rsidRDefault="00AB379C" w:rsidP="007055F6">
            <w:pPr>
              <w:jc w:val="center"/>
              <w:rPr>
                <w:rFonts w:eastAsia="Times New Roman" w:cstheme="minorHAnsi"/>
                <w:b/>
                <w:bCs/>
                <w:lang w:bidi="ar-SA"/>
              </w:rPr>
            </w:pPr>
            <w:r w:rsidRPr="00D54752">
              <w:rPr>
                <w:rFonts w:cstheme="minorHAnsi"/>
                <w:b/>
                <w:bCs/>
              </w:rPr>
              <w:t>48.7%</w:t>
            </w:r>
          </w:p>
        </w:tc>
        <w:tc>
          <w:tcPr>
            <w:tcW w:w="343" w:type="pct"/>
            <w:shd w:val="clear" w:color="auto" w:fill="auto"/>
            <w:vAlign w:val="center"/>
          </w:tcPr>
          <w:p w14:paraId="4649DE58" w14:textId="77777777" w:rsidR="00AB379C" w:rsidRPr="00D54752" w:rsidRDefault="00AB379C" w:rsidP="007055F6">
            <w:pPr>
              <w:jc w:val="center"/>
              <w:rPr>
                <w:rFonts w:eastAsia="Times New Roman" w:cstheme="minorHAnsi"/>
                <w:lang w:bidi="ar-SA"/>
              </w:rPr>
            </w:pPr>
            <w:r w:rsidRPr="00D54752">
              <w:rPr>
                <w:rFonts w:cstheme="minorHAnsi"/>
              </w:rPr>
              <w:t>36.6%</w:t>
            </w:r>
          </w:p>
        </w:tc>
        <w:tc>
          <w:tcPr>
            <w:tcW w:w="374" w:type="pct"/>
            <w:shd w:val="clear" w:color="auto" w:fill="auto"/>
            <w:vAlign w:val="center"/>
          </w:tcPr>
          <w:p w14:paraId="1AE3ABDF" w14:textId="77777777" w:rsidR="00AB379C" w:rsidRPr="00D54752" w:rsidRDefault="00AB379C" w:rsidP="007055F6">
            <w:pPr>
              <w:jc w:val="center"/>
              <w:rPr>
                <w:rFonts w:eastAsia="Times New Roman" w:cstheme="minorHAnsi"/>
                <w:lang w:bidi="ar-SA"/>
              </w:rPr>
            </w:pPr>
            <w:r w:rsidRPr="00D54752">
              <w:rPr>
                <w:rFonts w:cstheme="minorHAnsi"/>
              </w:rPr>
              <w:t>60.7%</w:t>
            </w:r>
          </w:p>
        </w:tc>
        <w:tc>
          <w:tcPr>
            <w:tcW w:w="405" w:type="pct"/>
            <w:shd w:val="clear" w:color="auto" w:fill="auto"/>
            <w:vAlign w:val="center"/>
          </w:tcPr>
          <w:p w14:paraId="2B4552B2" w14:textId="77777777" w:rsidR="00AB379C" w:rsidRPr="00D54752" w:rsidRDefault="00AB379C" w:rsidP="007055F6">
            <w:pPr>
              <w:jc w:val="center"/>
              <w:rPr>
                <w:rFonts w:eastAsia="Times New Roman" w:cstheme="minorHAnsi"/>
                <w:lang w:bidi="ar-SA"/>
              </w:rPr>
            </w:pPr>
            <w:r w:rsidRPr="00D54752">
              <w:rPr>
                <w:rFonts w:cstheme="minorHAnsi"/>
              </w:rPr>
              <w:t>26.2%</w:t>
            </w:r>
          </w:p>
        </w:tc>
        <w:tc>
          <w:tcPr>
            <w:tcW w:w="406" w:type="pct"/>
            <w:shd w:val="clear" w:color="auto" w:fill="auto"/>
            <w:vAlign w:val="center"/>
          </w:tcPr>
          <w:p w14:paraId="1D82317C" w14:textId="77777777" w:rsidR="00AB379C" w:rsidRPr="00D54752" w:rsidRDefault="00AB379C" w:rsidP="007055F6">
            <w:pPr>
              <w:jc w:val="center"/>
              <w:rPr>
                <w:rFonts w:eastAsia="Times New Roman" w:cstheme="minorHAnsi"/>
                <w:lang w:bidi="ar-SA"/>
              </w:rPr>
            </w:pPr>
            <w:r w:rsidRPr="00D54752">
              <w:rPr>
                <w:rFonts w:cstheme="minorHAnsi"/>
              </w:rPr>
              <w:t>+</w:t>
            </w:r>
          </w:p>
        </w:tc>
        <w:tc>
          <w:tcPr>
            <w:tcW w:w="343" w:type="pct"/>
            <w:shd w:val="clear" w:color="auto" w:fill="auto"/>
            <w:vAlign w:val="center"/>
          </w:tcPr>
          <w:p w14:paraId="26B12C14" w14:textId="77777777" w:rsidR="00AB379C" w:rsidRPr="00D54752" w:rsidRDefault="00AB379C" w:rsidP="007055F6">
            <w:pPr>
              <w:jc w:val="center"/>
              <w:rPr>
                <w:rFonts w:eastAsia="Times New Roman" w:cstheme="minorHAnsi"/>
                <w:lang w:bidi="ar-SA"/>
              </w:rPr>
            </w:pPr>
            <w:r w:rsidRPr="00D54752">
              <w:rPr>
                <w:rFonts w:cstheme="minorHAnsi"/>
              </w:rPr>
              <w:t>48.7%</w:t>
            </w:r>
          </w:p>
        </w:tc>
        <w:tc>
          <w:tcPr>
            <w:tcW w:w="343" w:type="pct"/>
            <w:shd w:val="clear" w:color="auto" w:fill="auto"/>
            <w:vAlign w:val="center"/>
          </w:tcPr>
          <w:p w14:paraId="75F4C06C"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4986E22D" w14:textId="09A5B5EF"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75th and &lt; 90th percentile </w:t>
            </w:r>
          </w:p>
        </w:tc>
      </w:tr>
      <w:tr w:rsidR="00AB379C" w:rsidRPr="00D54752" w14:paraId="65DA8126" w14:textId="77777777" w:rsidTr="00375A13">
        <w:trPr>
          <w:cantSplit/>
          <w:trHeight w:val="144"/>
        </w:trPr>
        <w:tc>
          <w:tcPr>
            <w:tcW w:w="297" w:type="pct"/>
            <w:shd w:val="clear" w:color="auto" w:fill="FFFFFF" w:themeFill="background1"/>
            <w:vAlign w:val="center"/>
            <w:hideMark/>
          </w:tcPr>
          <w:p w14:paraId="4572C4E8"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5EF8C8AE" w14:textId="14D008BA"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Use of First-Line Psychosocial Care for Children and Adolescents on Antipsychotics (</w:t>
            </w:r>
            <w:r w:rsidR="00BB5662">
              <w:rPr>
                <w:rFonts w:eastAsia="Times New Roman" w:cstheme="minorHAnsi"/>
                <w:lang w:bidi="ar-SA"/>
              </w:rPr>
              <w:t xml:space="preserve">Ages </w:t>
            </w:r>
            <w:r w:rsidRPr="00D54752">
              <w:rPr>
                <w:rFonts w:eastAsia="Times New Roman" w:cstheme="minorHAnsi"/>
                <w:lang w:bidi="ar-SA"/>
              </w:rPr>
              <w:t>1</w:t>
            </w:r>
            <w:r w:rsidR="00674C05">
              <w:rPr>
                <w:rFonts w:eastAsia="Times New Roman" w:cstheme="minorHAnsi"/>
                <w:lang w:bidi="ar-SA"/>
              </w:rPr>
              <w:t>–</w:t>
            </w:r>
            <w:r w:rsidRPr="00D54752">
              <w:rPr>
                <w:rFonts w:eastAsia="Times New Roman" w:cstheme="minorHAnsi"/>
                <w:lang w:bidi="ar-SA"/>
              </w:rPr>
              <w:t>11 years)</w:t>
            </w:r>
          </w:p>
        </w:tc>
        <w:tc>
          <w:tcPr>
            <w:tcW w:w="312" w:type="pct"/>
            <w:shd w:val="clear" w:color="auto" w:fill="auto"/>
            <w:vAlign w:val="center"/>
          </w:tcPr>
          <w:p w14:paraId="0937913B" w14:textId="77777777" w:rsidR="00AB379C" w:rsidRPr="00D54752" w:rsidRDefault="00AB379C" w:rsidP="007055F6">
            <w:pPr>
              <w:jc w:val="center"/>
              <w:rPr>
                <w:rFonts w:eastAsia="Times New Roman" w:cstheme="minorHAnsi"/>
                <w:lang w:bidi="ar-SA"/>
              </w:rPr>
            </w:pPr>
            <w:r w:rsidRPr="00D54752">
              <w:rPr>
                <w:rFonts w:cstheme="minorHAnsi"/>
              </w:rPr>
              <w:t>5</w:t>
            </w:r>
          </w:p>
        </w:tc>
        <w:tc>
          <w:tcPr>
            <w:tcW w:w="281" w:type="pct"/>
            <w:shd w:val="clear" w:color="auto" w:fill="auto"/>
            <w:vAlign w:val="center"/>
          </w:tcPr>
          <w:p w14:paraId="33CB4BFE" w14:textId="77777777" w:rsidR="00AB379C" w:rsidRPr="00D54752" w:rsidRDefault="00AB379C" w:rsidP="007055F6">
            <w:pPr>
              <w:jc w:val="center"/>
              <w:rPr>
                <w:rFonts w:eastAsia="Times New Roman" w:cstheme="minorHAnsi"/>
                <w:lang w:bidi="ar-SA"/>
              </w:rPr>
            </w:pPr>
            <w:r w:rsidRPr="00D54752">
              <w:rPr>
                <w:rFonts w:cstheme="minorHAnsi"/>
              </w:rPr>
              <w:t>2</w:t>
            </w:r>
          </w:p>
        </w:tc>
        <w:tc>
          <w:tcPr>
            <w:tcW w:w="312" w:type="pct"/>
            <w:shd w:val="clear" w:color="auto" w:fill="auto"/>
            <w:vAlign w:val="center"/>
          </w:tcPr>
          <w:p w14:paraId="192F14A9" w14:textId="77777777" w:rsidR="00AB379C" w:rsidRPr="00D54752" w:rsidRDefault="00AB379C" w:rsidP="007055F6">
            <w:pPr>
              <w:jc w:val="center"/>
              <w:rPr>
                <w:rFonts w:eastAsia="Times New Roman" w:cstheme="minorHAnsi"/>
                <w:b/>
                <w:bCs/>
                <w:lang w:bidi="ar-SA"/>
              </w:rPr>
            </w:pPr>
            <w:r w:rsidRPr="00D54752">
              <w:rPr>
                <w:rFonts w:cstheme="minorHAnsi"/>
                <w:b/>
                <w:bCs/>
              </w:rPr>
              <w:t>N/A</w:t>
            </w:r>
          </w:p>
        </w:tc>
        <w:tc>
          <w:tcPr>
            <w:tcW w:w="343" w:type="pct"/>
            <w:shd w:val="clear" w:color="auto" w:fill="auto"/>
            <w:vAlign w:val="center"/>
          </w:tcPr>
          <w:p w14:paraId="3E385283"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74" w:type="pct"/>
            <w:shd w:val="clear" w:color="auto" w:fill="auto"/>
            <w:vAlign w:val="center"/>
          </w:tcPr>
          <w:p w14:paraId="11C2517F"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405" w:type="pct"/>
            <w:shd w:val="clear" w:color="auto" w:fill="auto"/>
            <w:vAlign w:val="center"/>
          </w:tcPr>
          <w:p w14:paraId="66BD29CF"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406" w:type="pct"/>
            <w:shd w:val="clear" w:color="auto" w:fill="auto"/>
            <w:vAlign w:val="center"/>
          </w:tcPr>
          <w:p w14:paraId="01F9DEA4"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343" w:type="pct"/>
            <w:shd w:val="clear" w:color="auto" w:fill="auto"/>
            <w:vAlign w:val="center"/>
          </w:tcPr>
          <w:p w14:paraId="69DEF764" w14:textId="77777777" w:rsidR="00AB379C" w:rsidRPr="00D54752" w:rsidRDefault="00AB379C" w:rsidP="007055F6">
            <w:pPr>
              <w:jc w:val="center"/>
              <w:rPr>
                <w:rFonts w:eastAsia="Times New Roman" w:cstheme="minorHAnsi"/>
                <w:lang w:bidi="ar-SA"/>
              </w:rPr>
            </w:pPr>
            <w:r w:rsidRPr="00D54752">
              <w:rPr>
                <w:rFonts w:cstheme="minorHAnsi"/>
              </w:rPr>
              <w:t>0.0%</w:t>
            </w:r>
          </w:p>
        </w:tc>
        <w:tc>
          <w:tcPr>
            <w:tcW w:w="343" w:type="pct"/>
            <w:shd w:val="clear" w:color="auto" w:fill="auto"/>
            <w:vAlign w:val="center"/>
          </w:tcPr>
          <w:p w14:paraId="29C5B1EA" w14:textId="77777777" w:rsidR="00AB379C" w:rsidRPr="00D54752" w:rsidRDefault="00AB379C" w:rsidP="007055F6">
            <w:pPr>
              <w:jc w:val="center"/>
              <w:rPr>
                <w:rFonts w:eastAsia="Times New Roman" w:cstheme="minorHAnsi"/>
                <w:lang w:bidi="ar-SA"/>
              </w:rPr>
            </w:pPr>
            <w:r w:rsidRPr="00D54752">
              <w:rPr>
                <w:rFonts w:cstheme="minorHAnsi"/>
              </w:rPr>
              <w:t>N/A</w:t>
            </w:r>
          </w:p>
        </w:tc>
        <w:tc>
          <w:tcPr>
            <w:tcW w:w="535" w:type="pct"/>
            <w:shd w:val="clear" w:color="auto" w:fill="auto"/>
            <w:vAlign w:val="center"/>
          </w:tcPr>
          <w:p w14:paraId="20472EC8" w14:textId="77777777" w:rsidR="00AB379C" w:rsidRPr="00D54752" w:rsidRDefault="00AB379C" w:rsidP="007055F6">
            <w:pPr>
              <w:jc w:val="center"/>
              <w:rPr>
                <w:rFonts w:eastAsia="Times New Roman" w:cstheme="minorHAnsi"/>
                <w:lang w:bidi="ar-SA"/>
              </w:rPr>
            </w:pPr>
            <w:r w:rsidRPr="00D54752">
              <w:rPr>
                <w:rFonts w:cstheme="minorHAnsi"/>
              </w:rPr>
              <w:t>NA</w:t>
            </w:r>
          </w:p>
        </w:tc>
      </w:tr>
      <w:tr w:rsidR="00AB379C" w:rsidRPr="00D54752" w14:paraId="1C7DD95F" w14:textId="77777777" w:rsidTr="00375A13">
        <w:trPr>
          <w:cantSplit/>
          <w:trHeight w:val="144"/>
        </w:trPr>
        <w:tc>
          <w:tcPr>
            <w:tcW w:w="297" w:type="pct"/>
            <w:shd w:val="clear" w:color="auto" w:fill="FFFFFF" w:themeFill="background1"/>
            <w:vAlign w:val="center"/>
            <w:hideMark/>
          </w:tcPr>
          <w:p w14:paraId="0A998E7C"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t>HEDIS</w:t>
            </w:r>
          </w:p>
        </w:tc>
        <w:tc>
          <w:tcPr>
            <w:tcW w:w="1049" w:type="pct"/>
            <w:shd w:val="clear" w:color="auto" w:fill="FFFFFF" w:themeFill="background1"/>
            <w:vAlign w:val="center"/>
            <w:hideMark/>
          </w:tcPr>
          <w:p w14:paraId="3FFBF24E" w14:textId="7429A794"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Use of First-Line Psychosocial Care for Children and Adolescents on Antipsychotics (</w:t>
            </w:r>
            <w:r w:rsidR="00674C05">
              <w:rPr>
                <w:rFonts w:eastAsia="Times New Roman" w:cstheme="minorHAnsi"/>
                <w:lang w:bidi="ar-SA"/>
              </w:rPr>
              <w:t xml:space="preserve">Ages </w:t>
            </w:r>
            <w:r w:rsidRPr="00D54752">
              <w:rPr>
                <w:rFonts w:eastAsia="Times New Roman" w:cstheme="minorHAnsi"/>
                <w:lang w:bidi="ar-SA"/>
              </w:rPr>
              <w:t>12</w:t>
            </w:r>
            <w:r w:rsidR="00674C05">
              <w:rPr>
                <w:rFonts w:eastAsia="Times New Roman" w:cstheme="minorHAnsi"/>
                <w:lang w:bidi="ar-SA"/>
              </w:rPr>
              <w:t>–</w:t>
            </w:r>
            <w:r w:rsidRPr="00D54752">
              <w:rPr>
                <w:rFonts w:eastAsia="Times New Roman" w:cstheme="minorHAnsi"/>
                <w:lang w:bidi="ar-SA"/>
              </w:rPr>
              <w:t>17 years)</w:t>
            </w:r>
          </w:p>
        </w:tc>
        <w:tc>
          <w:tcPr>
            <w:tcW w:w="312" w:type="pct"/>
            <w:shd w:val="clear" w:color="auto" w:fill="auto"/>
            <w:vAlign w:val="center"/>
          </w:tcPr>
          <w:p w14:paraId="3F8B6A36" w14:textId="77777777" w:rsidR="00AB379C" w:rsidRPr="00D54752" w:rsidRDefault="00AB379C" w:rsidP="007055F6">
            <w:pPr>
              <w:jc w:val="center"/>
              <w:rPr>
                <w:rFonts w:eastAsia="Times New Roman" w:cstheme="minorHAnsi"/>
                <w:lang w:bidi="ar-SA"/>
              </w:rPr>
            </w:pPr>
            <w:r w:rsidRPr="00D54752">
              <w:rPr>
                <w:rFonts w:cstheme="minorHAnsi"/>
              </w:rPr>
              <w:t>48</w:t>
            </w:r>
          </w:p>
        </w:tc>
        <w:tc>
          <w:tcPr>
            <w:tcW w:w="281" w:type="pct"/>
            <w:shd w:val="clear" w:color="auto" w:fill="auto"/>
            <w:vAlign w:val="center"/>
          </w:tcPr>
          <w:p w14:paraId="62766538" w14:textId="77777777" w:rsidR="00AB379C" w:rsidRPr="00D54752" w:rsidRDefault="00AB379C" w:rsidP="007055F6">
            <w:pPr>
              <w:jc w:val="center"/>
              <w:rPr>
                <w:rFonts w:eastAsia="Times New Roman" w:cstheme="minorHAnsi"/>
                <w:lang w:bidi="ar-SA"/>
              </w:rPr>
            </w:pPr>
            <w:r w:rsidRPr="00D54752">
              <w:rPr>
                <w:rFonts w:cstheme="minorHAnsi"/>
              </w:rPr>
              <w:t>33</w:t>
            </w:r>
          </w:p>
        </w:tc>
        <w:tc>
          <w:tcPr>
            <w:tcW w:w="312" w:type="pct"/>
            <w:shd w:val="clear" w:color="auto" w:fill="auto"/>
            <w:vAlign w:val="center"/>
          </w:tcPr>
          <w:p w14:paraId="7315F9BF" w14:textId="77777777" w:rsidR="00AB379C" w:rsidRPr="00D54752" w:rsidRDefault="00AB379C" w:rsidP="007055F6">
            <w:pPr>
              <w:jc w:val="center"/>
              <w:rPr>
                <w:rFonts w:eastAsia="Times New Roman" w:cstheme="minorHAnsi"/>
                <w:b/>
                <w:bCs/>
                <w:lang w:bidi="ar-SA"/>
              </w:rPr>
            </w:pPr>
            <w:r w:rsidRPr="00D54752">
              <w:rPr>
                <w:rFonts w:cstheme="minorHAnsi"/>
                <w:b/>
                <w:bCs/>
              </w:rPr>
              <w:t>68.8%</w:t>
            </w:r>
          </w:p>
        </w:tc>
        <w:tc>
          <w:tcPr>
            <w:tcW w:w="343" w:type="pct"/>
            <w:shd w:val="clear" w:color="auto" w:fill="auto"/>
            <w:vAlign w:val="center"/>
          </w:tcPr>
          <w:p w14:paraId="2D1AFD83" w14:textId="77777777" w:rsidR="00AB379C" w:rsidRPr="00D54752" w:rsidRDefault="00AB379C" w:rsidP="007055F6">
            <w:pPr>
              <w:jc w:val="center"/>
              <w:rPr>
                <w:rFonts w:eastAsia="Times New Roman" w:cstheme="minorHAnsi"/>
                <w:lang w:bidi="ar-SA"/>
              </w:rPr>
            </w:pPr>
            <w:r w:rsidRPr="00D54752">
              <w:rPr>
                <w:rFonts w:cstheme="minorHAnsi"/>
              </w:rPr>
              <w:t>54.6%</w:t>
            </w:r>
          </w:p>
        </w:tc>
        <w:tc>
          <w:tcPr>
            <w:tcW w:w="374" w:type="pct"/>
            <w:shd w:val="clear" w:color="auto" w:fill="auto"/>
            <w:vAlign w:val="center"/>
          </w:tcPr>
          <w:p w14:paraId="7F7C5E6E" w14:textId="77777777" w:rsidR="00AB379C" w:rsidRPr="00D54752" w:rsidRDefault="00AB379C" w:rsidP="007055F6">
            <w:pPr>
              <w:jc w:val="center"/>
              <w:rPr>
                <w:rFonts w:eastAsia="Times New Roman" w:cstheme="minorHAnsi"/>
                <w:lang w:bidi="ar-SA"/>
              </w:rPr>
            </w:pPr>
            <w:r w:rsidRPr="00D54752">
              <w:rPr>
                <w:rFonts w:cstheme="minorHAnsi"/>
              </w:rPr>
              <w:t>82.9%</w:t>
            </w:r>
          </w:p>
        </w:tc>
        <w:tc>
          <w:tcPr>
            <w:tcW w:w="405" w:type="pct"/>
            <w:shd w:val="clear" w:color="auto" w:fill="auto"/>
            <w:vAlign w:val="center"/>
          </w:tcPr>
          <w:p w14:paraId="613FABFA" w14:textId="77777777" w:rsidR="00AB379C" w:rsidRPr="00D54752" w:rsidRDefault="00AB379C" w:rsidP="007055F6">
            <w:pPr>
              <w:jc w:val="center"/>
              <w:rPr>
                <w:rFonts w:eastAsia="Times New Roman" w:cstheme="minorHAnsi"/>
                <w:lang w:bidi="ar-SA"/>
              </w:rPr>
            </w:pPr>
            <w:r w:rsidRPr="00D54752">
              <w:rPr>
                <w:rFonts w:cstheme="minorHAnsi"/>
              </w:rPr>
              <w:t>71.7%</w:t>
            </w:r>
          </w:p>
        </w:tc>
        <w:tc>
          <w:tcPr>
            <w:tcW w:w="406" w:type="pct"/>
            <w:shd w:val="clear" w:color="auto" w:fill="auto"/>
            <w:vAlign w:val="center"/>
          </w:tcPr>
          <w:p w14:paraId="62B58623"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68E7D144" w14:textId="77777777" w:rsidR="00AB379C" w:rsidRPr="00D54752" w:rsidRDefault="00AB379C" w:rsidP="007055F6">
            <w:pPr>
              <w:jc w:val="center"/>
              <w:rPr>
                <w:rFonts w:eastAsia="Times New Roman" w:cstheme="minorHAnsi"/>
                <w:lang w:bidi="ar-SA"/>
              </w:rPr>
            </w:pPr>
            <w:r w:rsidRPr="00D54752">
              <w:rPr>
                <w:rFonts w:cstheme="minorHAnsi"/>
              </w:rPr>
              <w:t>68.8%</w:t>
            </w:r>
          </w:p>
        </w:tc>
        <w:tc>
          <w:tcPr>
            <w:tcW w:w="343" w:type="pct"/>
            <w:shd w:val="clear" w:color="auto" w:fill="auto"/>
            <w:vAlign w:val="center"/>
          </w:tcPr>
          <w:p w14:paraId="205414C4"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54AD6EBB" w14:textId="25935B0F"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r w:rsidR="00AB379C" w:rsidRPr="00D54752" w14:paraId="2853CB92" w14:textId="77777777" w:rsidTr="00375A13">
        <w:trPr>
          <w:cantSplit/>
          <w:trHeight w:val="144"/>
        </w:trPr>
        <w:tc>
          <w:tcPr>
            <w:tcW w:w="297" w:type="pct"/>
            <w:shd w:val="clear" w:color="auto" w:fill="FFFFFF" w:themeFill="background1"/>
            <w:vAlign w:val="center"/>
            <w:hideMark/>
          </w:tcPr>
          <w:p w14:paraId="2308D865" w14:textId="77777777" w:rsidR="00AB379C" w:rsidRPr="00D54752" w:rsidRDefault="00AB379C" w:rsidP="007055F6">
            <w:pPr>
              <w:jc w:val="center"/>
              <w:rPr>
                <w:rFonts w:eastAsia="Times New Roman" w:cstheme="minorHAnsi"/>
                <w:lang w:bidi="ar-SA"/>
              </w:rPr>
            </w:pPr>
            <w:r w:rsidRPr="00D54752">
              <w:rPr>
                <w:rFonts w:eastAsia="Times New Roman" w:cstheme="minorHAnsi"/>
                <w:lang w:bidi="ar-SA"/>
              </w:rPr>
              <w:lastRenderedPageBreak/>
              <w:t>HEDIS</w:t>
            </w:r>
          </w:p>
        </w:tc>
        <w:tc>
          <w:tcPr>
            <w:tcW w:w="1049" w:type="pct"/>
            <w:shd w:val="clear" w:color="auto" w:fill="FFFFFF" w:themeFill="background1"/>
            <w:vAlign w:val="center"/>
            <w:hideMark/>
          </w:tcPr>
          <w:p w14:paraId="25626E17" w14:textId="77777777" w:rsidR="00AB379C" w:rsidRPr="00D54752" w:rsidRDefault="00AB379C" w:rsidP="007055F6">
            <w:pPr>
              <w:ind w:left="44"/>
              <w:jc w:val="left"/>
              <w:rPr>
                <w:rFonts w:eastAsia="Times New Roman" w:cstheme="minorHAnsi"/>
                <w:lang w:bidi="ar-SA"/>
              </w:rPr>
            </w:pPr>
            <w:r w:rsidRPr="00D54752">
              <w:rPr>
                <w:rFonts w:eastAsia="Times New Roman" w:cstheme="minorHAnsi"/>
                <w:lang w:bidi="ar-SA"/>
              </w:rPr>
              <w:t>Use of First-Line Psychosocial Care for Children and Adolescents on Antipsychotics (Total)</w:t>
            </w:r>
          </w:p>
        </w:tc>
        <w:tc>
          <w:tcPr>
            <w:tcW w:w="312" w:type="pct"/>
            <w:shd w:val="clear" w:color="auto" w:fill="auto"/>
            <w:vAlign w:val="center"/>
          </w:tcPr>
          <w:p w14:paraId="4C262233" w14:textId="77777777" w:rsidR="00AB379C" w:rsidRPr="00D54752" w:rsidRDefault="00AB379C" w:rsidP="007055F6">
            <w:pPr>
              <w:jc w:val="center"/>
              <w:rPr>
                <w:rFonts w:eastAsia="Times New Roman" w:cstheme="minorHAnsi"/>
                <w:lang w:bidi="ar-SA"/>
              </w:rPr>
            </w:pPr>
            <w:r w:rsidRPr="00D54752">
              <w:rPr>
                <w:rFonts w:cstheme="minorHAnsi"/>
              </w:rPr>
              <w:t>53</w:t>
            </w:r>
          </w:p>
        </w:tc>
        <w:tc>
          <w:tcPr>
            <w:tcW w:w="281" w:type="pct"/>
            <w:shd w:val="clear" w:color="auto" w:fill="auto"/>
            <w:vAlign w:val="center"/>
          </w:tcPr>
          <w:p w14:paraId="6DFAE10E" w14:textId="77777777" w:rsidR="00AB379C" w:rsidRPr="00D54752" w:rsidRDefault="00AB379C" w:rsidP="007055F6">
            <w:pPr>
              <w:jc w:val="center"/>
              <w:rPr>
                <w:rFonts w:eastAsia="Times New Roman" w:cstheme="minorHAnsi"/>
                <w:lang w:bidi="ar-SA"/>
              </w:rPr>
            </w:pPr>
            <w:r w:rsidRPr="00D54752">
              <w:rPr>
                <w:rFonts w:cstheme="minorHAnsi"/>
              </w:rPr>
              <w:t>35</w:t>
            </w:r>
          </w:p>
        </w:tc>
        <w:tc>
          <w:tcPr>
            <w:tcW w:w="312" w:type="pct"/>
            <w:shd w:val="clear" w:color="auto" w:fill="auto"/>
            <w:vAlign w:val="center"/>
          </w:tcPr>
          <w:p w14:paraId="4C98D0D1" w14:textId="77777777" w:rsidR="00AB379C" w:rsidRPr="00D54752" w:rsidRDefault="00AB379C" w:rsidP="007055F6">
            <w:pPr>
              <w:jc w:val="center"/>
              <w:rPr>
                <w:rFonts w:eastAsia="Times New Roman" w:cstheme="minorHAnsi"/>
                <w:b/>
                <w:bCs/>
                <w:lang w:bidi="ar-SA"/>
              </w:rPr>
            </w:pPr>
            <w:r w:rsidRPr="00D54752">
              <w:rPr>
                <w:rFonts w:cstheme="minorHAnsi"/>
                <w:b/>
                <w:bCs/>
              </w:rPr>
              <w:t>66.0%</w:t>
            </w:r>
          </w:p>
        </w:tc>
        <w:tc>
          <w:tcPr>
            <w:tcW w:w="343" w:type="pct"/>
            <w:shd w:val="clear" w:color="auto" w:fill="auto"/>
            <w:vAlign w:val="center"/>
          </w:tcPr>
          <w:p w14:paraId="1D8FD026" w14:textId="77777777" w:rsidR="00AB379C" w:rsidRPr="00D54752" w:rsidRDefault="00AB379C" w:rsidP="007055F6">
            <w:pPr>
              <w:jc w:val="center"/>
              <w:rPr>
                <w:rFonts w:eastAsia="Times New Roman" w:cstheme="minorHAnsi"/>
                <w:lang w:bidi="ar-SA"/>
              </w:rPr>
            </w:pPr>
            <w:r w:rsidRPr="00D54752">
              <w:rPr>
                <w:rFonts w:cstheme="minorHAnsi"/>
              </w:rPr>
              <w:t>52.3%</w:t>
            </w:r>
          </w:p>
        </w:tc>
        <w:tc>
          <w:tcPr>
            <w:tcW w:w="374" w:type="pct"/>
            <w:shd w:val="clear" w:color="auto" w:fill="auto"/>
            <w:vAlign w:val="center"/>
          </w:tcPr>
          <w:p w14:paraId="3130FCB3" w14:textId="77777777" w:rsidR="00AB379C" w:rsidRPr="00D54752" w:rsidRDefault="00AB379C" w:rsidP="007055F6">
            <w:pPr>
              <w:jc w:val="center"/>
              <w:rPr>
                <w:rFonts w:eastAsia="Times New Roman" w:cstheme="minorHAnsi"/>
                <w:lang w:bidi="ar-SA"/>
              </w:rPr>
            </w:pPr>
            <w:r w:rsidRPr="00D54752">
              <w:rPr>
                <w:rFonts w:cstheme="minorHAnsi"/>
              </w:rPr>
              <w:t>79.7%</w:t>
            </w:r>
          </w:p>
        </w:tc>
        <w:tc>
          <w:tcPr>
            <w:tcW w:w="405" w:type="pct"/>
            <w:shd w:val="clear" w:color="auto" w:fill="auto"/>
            <w:vAlign w:val="center"/>
          </w:tcPr>
          <w:p w14:paraId="3F5B3006" w14:textId="77777777" w:rsidR="00AB379C" w:rsidRPr="00D54752" w:rsidRDefault="00AB379C" w:rsidP="007055F6">
            <w:pPr>
              <w:jc w:val="center"/>
              <w:rPr>
                <w:rFonts w:eastAsia="Times New Roman" w:cstheme="minorHAnsi"/>
                <w:lang w:bidi="ar-SA"/>
              </w:rPr>
            </w:pPr>
            <w:r w:rsidRPr="00D54752">
              <w:rPr>
                <w:rFonts w:cstheme="minorHAnsi"/>
              </w:rPr>
              <w:t>67.3%</w:t>
            </w:r>
          </w:p>
        </w:tc>
        <w:tc>
          <w:tcPr>
            <w:tcW w:w="406" w:type="pct"/>
            <w:shd w:val="clear" w:color="auto" w:fill="auto"/>
            <w:vAlign w:val="center"/>
          </w:tcPr>
          <w:p w14:paraId="284E3D95"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343" w:type="pct"/>
            <w:shd w:val="clear" w:color="auto" w:fill="auto"/>
            <w:vAlign w:val="center"/>
          </w:tcPr>
          <w:p w14:paraId="5C9D4A14" w14:textId="77777777" w:rsidR="00AB379C" w:rsidRPr="00D54752" w:rsidRDefault="00AB379C" w:rsidP="007055F6">
            <w:pPr>
              <w:jc w:val="center"/>
              <w:rPr>
                <w:rFonts w:eastAsia="Times New Roman" w:cstheme="minorHAnsi"/>
                <w:lang w:bidi="ar-SA"/>
              </w:rPr>
            </w:pPr>
            <w:r w:rsidRPr="00D54752">
              <w:rPr>
                <w:rFonts w:cstheme="minorHAnsi"/>
              </w:rPr>
              <w:t>66.0%</w:t>
            </w:r>
          </w:p>
        </w:tc>
        <w:tc>
          <w:tcPr>
            <w:tcW w:w="343" w:type="pct"/>
            <w:shd w:val="clear" w:color="auto" w:fill="auto"/>
            <w:vAlign w:val="center"/>
          </w:tcPr>
          <w:p w14:paraId="192FD003" w14:textId="77777777" w:rsidR="00AB379C" w:rsidRPr="00D54752" w:rsidRDefault="00AB379C" w:rsidP="007055F6">
            <w:pPr>
              <w:jc w:val="center"/>
              <w:rPr>
                <w:rFonts w:eastAsia="Times New Roman" w:cstheme="minorHAnsi"/>
                <w:lang w:bidi="ar-SA"/>
              </w:rPr>
            </w:pPr>
            <w:proofErr w:type="spellStart"/>
            <w:r w:rsidRPr="00D54752">
              <w:rPr>
                <w:rFonts w:cstheme="minorHAnsi"/>
              </w:rPr>
              <w:t>n.s</w:t>
            </w:r>
            <w:proofErr w:type="spellEnd"/>
            <w:r w:rsidRPr="00D54752">
              <w:rPr>
                <w:rFonts w:cstheme="minorHAnsi"/>
              </w:rPr>
              <w:t>.</w:t>
            </w:r>
          </w:p>
        </w:tc>
        <w:tc>
          <w:tcPr>
            <w:tcW w:w="535" w:type="pct"/>
            <w:shd w:val="clear" w:color="auto" w:fill="auto"/>
            <w:vAlign w:val="center"/>
          </w:tcPr>
          <w:p w14:paraId="5A4BC866" w14:textId="599959AE" w:rsidR="00AB379C" w:rsidRPr="00D54752" w:rsidRDefault="00D54752" w:rsidP="007055F6">
            <w:pPr>
              <w:jc w:val="center"/>
              <w:rPr>
                <w:rFonts w:eastAsia="Times New Roman" w:cstheme="minorHAnsi"/>
                <w:lang w:bidi="ar-SA"/>
              </w:rPr>
            </w:pPr>
            <w:r w:rsidRPr="00D54752">
              <w:rPr>
                <w:rFonts w:cstheme="minorHAnsi"/>
              </w:rPr>
              <w:t>≥</w:t>
            </w:r>
            <w:r w:rsidR="00AB379C" w:rsidRPr="00D54752">
              <w:rPr>
                <w:rFonts w:cstheme="minorHAnsi"/>
              </w:rPr>
              <w:t xml:space="preserve"> 50th and &lt; 75th percentile </w:t>
            </w:r>
          </w:p>
        </w:tc>
      </w:tr>
    </w:tbl>
    <w:p w14:paraId="31B563B3" w14:textId="77777777" w:rsidR="00AB379C" w:rsidRDefault="00AB379C" w:rsidP="008632D7">
      <w:pPr>
        <w:rPr>
          <w:sz w:val="20"/>
          <w:szCs w:val="20"/>
        </w:rPr>
      </w:pPr>
      <w:bookmarkStart w:id="136" w:name="_Hlk130470610"/>
      <w:bookmarkStart w:id="137" w:name="_Toc98922470"/>
      <w:r w:rsidRPr="00F7033D">
        <w:rPr>
          <w:sz w:val="20"/>
          <w:szCs w:val="20"/>
          <w:vertAlign w:val="superscript"/>
        </w:rPr>
        <w:t>1</w:t>
      </w:r>
      <w:r w:rsidRPr="00F7033D">
        <w:rPr>
          <w:sz w:val="20"/>
          <w:szCs w:val="20"/>
        </w:rPr>
        <w:t xml:space="preserve"> For comparison of MY 202</w:t>
      </w:r>
      <w:r>
        <w:rPr>
          <w:sz w:val="20"/>
          <w:szCs w:val="20"/>
        </w:rPr>
        <w:t>1</w:t>
      </w:r>
      <w:r w:rsidRPr="00F7033D">
        <w:rPr>
          <w:sz w:val="20"/>
          <w:szCs w:val="20"/>
        </w:rPr>
        <w:t xml:space="preserve"> rates to MY 20</w:t>
      </w:r>
      <w:r>
        <w:rPr>
          <w:sz w:val="20"/>
          <w:szCs w:val="20"/>
        </w:rPr>
        <w:t>20</w:t>
      </w:r>
      <w:r w:rsidRPr="00F7033D">
        <w:rPr>
          <w:sz w:val="20"/>
          <w:szCs w:val="20"/>
        </w:rPr>
        <w:t xml:space="preserve"> rates, statistically significant increases are indicated by “+,” statistically significant decreases by “</w:t>
      </w:r>
      <w:r w:rsidRPr="00F7033D">
        <w:rPr>
          <w:rFonts w:cstheme="minorHAnsi"/>
          <w:sz w:val="20"/>
          <w:szCs w:val="20"/>
        </w:rPr>
        <w:t>−</w:t>
      </w:r>
      <w:r w:rsidRPr="00F7033D">
        <w:rPr>
          <w:sz w:val="20"/>
          <w:szCs w:val="20"/>
        </w:rPr>
        <w:t>,” and no statistically significant change by “</w:t>
      </w:r>
      <w:proofErr w:type="spellStart"/>
      <w:r w:rsidRPr="00F7033D">
        <w:rPr>
          <w:sz w:val="20"/>
          <w:szCs w:val="20"/>
        </w:rPr>
        <w:t>n.s</w:t>
      </w:r>
      <w:proofErr w:type="spellEnd"/>
      <w:r w:rsidRPr="00F7033D">
        <w:rPr>
          <w:sz w:val="20"/>
          <w:szCs w:val="20"/>
        </w:rPr>
        <w:t xml:space="preserve">.” </w:t>
      </w:r>
      <w:r w:rsidRPr="00F7033D">
        <w:rPr>
          <w:bCs/>
          <w:sz w:val="20"/>
          <w:szCs w:val="20"/>
        </w:rPr>
        <w:t>For comparison of MY 202</w:t>
      </w:r>
      <w:r>
        <w:rPr>
          <w:bCs/>
          <w:sz w:val="20"/>
          <w:szCs w:val="20"/>
        </w:rPr>
        <w:t>1</w:t>
      </w:r>
      <w:r w:rsidRPr="00F7033D">
        <w:rPr>
          <w:bCs/>
          <w:sz w:val="20"/>
          <w:szCs w:val="20"/>
        </w:rPr>
        <w:t xml:space="preserve"> rates to CHIP MMC rates, the “+” denotes that the plan rate exceeds the CHIP MMC rate, the “</w:t>
      </w:r>
      <w:r w:rsidRPr="00F7033D">
        <w:rPr>
          <w:rFonts w:cstheme="minorHAnsi"/>
          <w:sz w:val="20"/>
          <w:szCs w:val="20"/>
        </w:rPr>
        <w:t>−</w:t>
      </w:r>
      <w:r w:rsidRPr="00F7033D">
        <w:rPr>
          <w:bCs/>
          <w:sz w:val="20"/>
          <w:szCs w:val="20"/>
        </w:rPr>
        <w:t>” denotes that the MMC rate exceeds the plan rate, and “</w:t>
      </w:r>
      <w:proofErr w:type="spellStart"/>
      <w:r w:rsidRPr="00F7033D">
        <w:rPr>
          <w:bCs/>
          <w:sz w:val="20"/>
          <w:szCs w:val="20"/>
        </w:rPr>
        <w:t>n.s</w:t>
      </w:r>
      <w:proofErr w:type="spellEnd"/>
      <w:r w:rsidRPr="00F7033D">
        <w:rPr>
          <w:bCs/>
          <w:sz w:val="20"/>
          <w:szCs w:val="20"/>
        </w:rPr>
        <w:t>.” denotes no statistically significant difference between the two rates. Gray shading indicates IPRO does</w:t>
      </w:r>
      <w:r>
        <w:rPr>
          <w:bCs/>
          <w:sz w:val="20"/>
          <w:szCs w:val="20"/>
        </w:rPr>
        <w:t xml:space="preserve"> </w:t>
      </w:r>
      <w:r w:rsidRPr="00F7033D">
        <w:rPr>
          <w:bCs/>
          <w:sz w:val="20"/>
          <w:szCs w:val="20"/>
        </w:rPr>
        <w:t>n</w:t>
      </w:r>
      <w:r>
        <w:rPr>
          <w:bCs/>
          <w:sz w:val="20"/>
          <w:szCs w:val="20"/>
        </w:rPr>
        <w:t>o</w:t>
      </w:r>
      <w:r w:rsidRPr="00F7033D">
        <w:rPr>
          <w:bCs/>
          <w:sz w:val="20"/>
          <w:szCs w:val="20"/>
        </w:rPr>
        <w:t>t provide or calculate these rates.</w:t>
      </w:r>
    </w:p>
    <w:p w14:paraId="16BEA4B2" w14:textId="7A8D7B87" w:rsidR="00AB379C" w:rsidRDefault="00AB379C" w:rsidP="008632D7">
      <w:pPr>
        <w:rPr>
          <w:sz w:val="20"/>
          <w:szCs w:val="20"/>
        </w:rPr>
      </w:pPr>
      <w:proofErr w:type="spellStart"/>
      <w:r w:rsidRPr="00F7033D">
        <w:rPr>
          <w:sz w:val="20"/>
          <w:szCs w:val="20"/>
        </w:rPr>
        <w:t>Denom</w:t>
      </w:r>
      <w:proofErr w:type="spellEnd"/>
      <w:r w:rsidRPr="00F7033D">
        <w:rPr>
          <w:sz w:val="20"/>
          <w:szCs w:val="20"/>
        </w:rPr>
        <w:t xml:space="preserve">: denominator; Num: numerator; MY: measurement year; MMC: Medicaid Managed Care; HEDIS: Healthcare Effectiveness Data and Information Set; </w:t>
      </w:r>
      <w:r w:rsidRPr="002F6375">
        <w:rPr>
          <w:sz w:val="20"/>
          <w:szCs w:val="20"/>
        </w:rPr>
        <w:t>N/A</w:t>
      </w:r>
      <w:r>
        <w:rPr>
          <w:sz w:val="20"/>
          <w:szCs w:val="20"/>
        </w:rPr>
        <w:t>:</w:t>
      </w:r>
      <w:r w:rsidRPr="002F6375">
        <w:rPr>
          <w:sz w:val="20"/>
          <w:szCs w:val="20"/>
        </w:rPr>
        <w:t xml:space="preserve"> not applicable,</w:t>
      </w:r>
      <w:r>
        <w:rPr>
          <w:sz w:val="20"/>
          <w:szCs w:val="20"/>
        </w:rPr>
        <w:t xml:space="preserve"> as denominator is less than 30.</w:t>
      </w:r>
    </w:p>
    <w:p w14:paraId="20C8F1F7" w14:textId="77777777" w:rsidR="008632D7" w:rsidRPr="00F7033D" w:rsidRDefault="008632D7" w:rsidP="008632D7">
      <w:pPr>
        <w:rPr>
          <w:sz w:val="20"/>
          <w:szCs w:val="20"/>
        </w:rPr>
      </w:pPr>
    </w:p>
    <w:p w14:paraId="2AC0EBE6" w14:textId="77777777" w:rsidR="00AB379C" w:rsidRPr="00F7033D" w:rsidRDefault="00AB379C" w:rsidP="00AB379C">
      <w:pPr>
        <w:pStyle w:val="Heading3"/>
      </w:pPr>
      <w:bookmarkStart w:id="138" w:name="_Toc132641627"/>
      <w:bookmarkEnd w:id="136"/>
      <w:r w:rsidRPr="00F7033D">
        <w:t>Utilization</w:t>
      </w:r>
      <w:bookmarkEnd w:id="137"/>
      <w:bookmarkEnd w:id="138"/>
    </w:p>
    <w:p w14:paraId="4626A8FA" w14:textId="77777777" w:rsidR="00AB379C" w:rsidRDefault="00AB379C" w:rsidP="00AB379C">
      <w:bookmarkStart w:id="139" w:name="_Toc478563561"/>
      <w:bookmarkStart w:id="140" w:name="_Toc512521060"/>
      <w:r>
        <w:t>No s</w:t>
      </w:r>
      <w:r w:rsidRPr="00F7033D">
        <w:t>trengths are identified for the</w:t>
      </w:r>
      <w:r>
        <w:t xml:space="preserve"> </w:t>
      </w:r>
      <w:r w:rsidRPr="00F7033D">
        <w:t>202</w:t>
      </w:r>
      <w:r>
        <w:t>2</w:t>
      </w:r>
      <w:r w:rsidRPr="00F7033D">
        <w:t xml:space="preserve"> (MY 202</w:t>
      </w:r>
      <w:r>
        <w:t>1</w:t>
      </w:r>
      <w:r w:rsidRPr="00F7033D">
        <w:t>) Utilization performance measures</w:t>
      </w:r>
      <w:r>
        <w:t>.</w:t>
      </w:r>
    </w:p>
    <w:p w14:paraId="542D512A" w14:textId="77777777" w:rsidR="00AB379C" w:rsidRPr="00F7033D" w:rsidRDefault="00AB379C" w:rsidP="00AB379C"/>
    <w:p w14:paraId="698FA9FF" w14:textId="77777777" w:rsidR="00AB379C" w:rsidRDefault="00AB379C" w:rsidP="00AB379C">
      <w:r>
        <w:t>No o</w:t>
      </w:r>
      <w:r w:rsidRPr="00F7033D">
        <w:t>pportunities for improvement are identified for the 202</w:t>
      </w:r>
      <w:r>
        <w:t>2</w:t>
      </w:r>
      <w:r w:rsidRPr="00F7033D">
        <w:t xml:space="preserve"> (MY 202</w:t>
      </w:r>
      <w:r>
        <w:t>1</w:t>
      </w:r>
      <w:r w:rsidRPr="00F7033D">
        <w:t>) Utilization measures</w:t>
      </w:r>
      <w:r>
        <w:t>.</w:t>
      </w:r>
    </w:p>
    <w:p w14:paraId="47799180" w14:textId="77777777" w:rsidR="00AB379C" w:rsidRPr="00F7033D" w:rsidRDefault="00AB379C" w:rsidP="00AB379C">
      <w:pPr>
        <w:pStyle w:val="tableheading"/>
        <w:keepNext w:val="0"/>
        <w:keepLines w:val="0"/>
        <w:widowControl w:val="0"/>
      </w:pPr>
      <w:bookmarkStart w:id="141" w:name="_Toc98922506"/>
      <w:bookmarkStart w:id="142" w:name="_Toc132641668"/>
      <w:r w:rsidRPr="00F7033D">
        <w:t>Table 2.8: Utilization</w:t>
      </w:r>
      <w:bookmarkEnd w:id="139"/>
      <w:bookmarkEnd w:id="140"/>
      <w:bookmarkEnd w:id="141"/>
      <w:bookmarkEnd w:id="14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816"/>
        <w:gridCol w:w="3044"/>
        <w:gridCol w:w="892"/>
        <w:gridCol w:w="803"/>
        <w:gridCol w:w="889"/>
        <w:gridCol w:w="1055"/>
        <w:gridCol w:w="1073"/>
        <w:gridCol w:w="1160"/>
        <w:gridCol w:w="1162"/>
        <w:gridCol w:w="981"/>
        <w:gridCol w:w="981"/>
        <w:gridCol w:w="1534"/>
      </w:tblGrid>
      <w:tr w:rsidR="00AB379C" w:rsidRPr="002D6581" w14:paraId="63FBF14D" w14:textId="77777777" w:rsidTr="002D6581">
        <w:trPr>
          <w:cantSplit/>
          <w:trHeight w:val="60"/>
          <w:tblHeader/>
        </w:trPr>
        <w:tc>
          <w:tcPr>
            <w:tcW w:w="1346" w:type="pct"/>
            <w:gridSpan w:val="2"/>
            <w:shd w:val="clear" w:color="000000" w:fill="5F497A"/>
            <w:vAlign w:val="bottom"/>
            <w:hideMark/>
          </w:tcPr>
          <w:p w14:paraId="1DCFAAA0"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bCs/>
                <w:color w:val="FFFFFF"/>
                <w:lang w:bidi="ar-SA"/>
              </w:rPr>
              <w:t>Indicator</w:t>
            </w:r>
          </w:p>
        </w:tc>
        <w:tc>
          <w:tcPr>
            <w:tcW w:w="1622" w:type="pct"/>
            <w:gridSpan w:val="5"/>
            <w:shd w:val="clear" w:color="000000" w:fill="5F497A"/>
            <w:vAlign w:val="bottom"/>
            <w:hideMark/>
          </w:tcPr>
          <w:p w14:paraId="42D18EC5"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color w:val="FFFFFF"/>
                <w:lang w:bidi="ar-SA"/>
              </w:rPr>
              <w:t>2022 (MY 2021)</w:t>
            </w:r>
          </w:p>
        </w:tc>
        <w:tc>
          <w:tcPr>
            <w:tcW w:w="2032" w:type="pct"/>
            <w:gridSpan w:val="5"/>
            <w:shd w:val="clear" w:color="000000" w:fill="5F497A"/>
            <w:vAlign w:val="bottom"/>
            <w:hideMark/>
          </w:tcPr>
          <w:p w14:paraId="7C5F02D0" w14:textId="77777777" w:rsidR="00AB379C" w:rsidRPr="002D6581" w:rsidRDefault="00AB379C" w:rsidP="007055F6">
            <w:pPr>
              <w:jc w:val="center"/>
              <w:rPr>
                <w:rFonts w:eastAsia="Times New Roman" w:cstheme="minorHAnsi"/>
                <w:b/>
                <w:bCs/>
                <w:color w:val="FFFFFF"/>
                <w:vertAlign w:val="superscript"/>
                <w:lang w:bidi="ar-SA"/>
              </w:rPr>
            </w:pPr>
            <w:r w:rsidRPr="002D6581">
              <w:rPr>
                <w:rFonts w:eastAsia="Times New Roman" w:cstheme="minorHAnsi"/>
                <w:b/>
                <w:color w:val="FFFFFF"/>
                <w:lang w:bidi="ar-SA"/>
              </w:rPr>
              <w:t>Rate Comparison</w:t>
            </w:r>
            <w:r w:rsidRPr="002D6581">
              <w:rPr>
                <w:rFonts w:eastAsia="Times New Roman" w:cstheme="minorHAnsi"/>
                <w:b/>
                <w:color w:val="FFFFFF"/>
                <w:vertAlign w:val="superscript"/>
                <w:lang w:bidi="ar-SA"/>
              </w:rPr>
              <w:t>1</w:t>
            </w:r>
          </w:p>
        </w:tc>
      </w:tr>
      <w:tr w:rsidR="00AB379C" w:rsidRPr="002D6581" w14:paraId="62278FB4" w14:textId="77777777" w:rsidTr="002D6581">
        <w:trPr>
          <w:cantSplit/>
          <w:trHeight w:val="144"/>
          <w:tblHeader/>
        </w:trPr>
        <w:tc>
          <w:tcPr>
            <w:tcW w:w="286" w:type="pct"/>
            <w:shd w:val="clear" w:color="000000" w:fill="5F497A"/>
            <w:vAlign w:val="bottom"/>
            <w:hideMark/>
          </w:tcPr>
          <w:p w14:paraId="53650E08"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bCs/>
                <w:color w:val="FFFFFF"/>
                <w:lang w:bidi="ar-SA"/>
              </w:rPr>
              <w:t>Source</w:t>
            </w:r>
          </w:p>
        </w:tc>
        <w:tc>
          <w:tcPr>
            <w:tcW w:w="1060" w:type="pct"/>
            <w:shd w:val="clear" w:color="000000" w:fill="5F497A"/>
            <w:vAlign w:val="bottom"/>
            <w:hideMark/>
          </w:tcPr>
          <w:p w14:paraId="66D83ACC"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bCs/>
                <w:color w:val="FFFFFF"/>
                <w:lang w:bidi="ar-SA"/>
              </w:rPr>
              <w:t>Name</w:t>
            </w:r>
          </w:p>
        </w:tc>
        <w:tc>
          <w:tcPr>
            <w:tcW w:w="312" w:type="pct"/>
            <w:shd w:val="clear" w:color="000000" w:fill="5F497A"/>
            <w:vAlign w:val="bottom"/>
            <w:hideMark/>
          </w:tcPr>
          <w:p w14:paraId="1054818C" w14:textId="77777777" w:rsidR="00AB379C" w:rsidRPr="002D6581" w:rsidRDefault="00AB379C" w:rsidP="007055F6">
            <w:pPr>
              <w:jc w:val="center"/>
              <w:rPr>
                <w:rFonts w:eastAsia="Times New Roman" w:cstheme="minorHAnsi"/>
                <w:b/>
                <w:bCs/>
                <w:color w:val="FFFFFF"/>
                <w:lang w:bidi="ar-SA"/>
              </w:rPr>
            </w:pPr>
            <w:proofErr w:type="spellStart"/>
            <w:r w:rsidRPr="002D6581">
              <w:rPr>
                <w:rFonts w:eastAsia="Times New Roman" w:cstheme="minorHAnsi"/>
                <w:b/>
                <w:bCs/>
                <w:color w:val="FFFFFF"/>
                <w:lang w:bidi="ar-SA"/>
              </w:rPr>
              <w:t>Denom</w:t>
            </w:r>
            <w:proofErr w:type="spellEnd"/>
          </w:p>
        </w:tc>
        <w:tc>
          <w:tcPr>
            <w:tcW w:w="281" w:type="pct"/>
            <w:shd w:val="clear" w:color="000000" w:fill="5F497A"/>
            <w:vAlign w:val="bottom"/>
            <w:hideMark/>
          </w:tcPr>
          <w:p w14:paraId="14FA9EBF"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bCs/>
                <w:color w:val="FFFFFF"/>
                <w:lang w:bidi="ar-SA"/>
              </w:rPr>
              <w:t>Num</w:t>
            </w:r>
          </w:p>
        </w:tc>
        <w:tc>
          <w:tcPr>
            <w:tcW w:w="311" w:type="pct"/>
            <w:shd w:val="clear" w:color="000000" w:fill="5F497A"/>
            <w:vAlign w:val="bottom"/>
            <w:hideMark/>
          </w:tcPr>
          <w:p w14:paraId="6DA8B26B"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bCs/>
                <w:color w:val="FFFFFF"/>
                <w:lang w:bidi="ar-SA"/>
              </w:rPr>
              <w:t>Rate</w:t>
            </w:r>
          </w:p>
        </w:tc>
        <w:tc>
          <w:tcPr>
            <w:tcW w:w="343" w:type="pct"/>
            <w:shd w:val="clear" w:color="000000" w:fill="5F497A"/>
            <w:vAlign w:val="bottom"/>
            <w:hideMark/>
          </w:tcPr>
          <w:p w14:paraId="7BD19313"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bCs/>
                <w:color w:val="FFFFFF"/>
                <w:lang w:bidi="ar-SA"/>
              </w:rPr>
              <w:t>Lower 95% Confidence Limit</w:t>
            </w:r>
          </w:p>
        </w:tc>
        <w:tc>
          <w:tcPr>
            <w:tcW w:w="375" w:type="pct"/>
            <w:shd w:val="clear" w:color="000000" w:fill="5F497A"/>
            <w:vAlign w:val="bottom"/>
            <w:hideMark/>
          </w:tcPr>
          <w:p w14:paraId="320448CC"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bCs/>
                <w:color w:val="FFFFFF"/>
                <w:lang w:bidi="ar-SA"/>
              </w:rPr>
              <w:t>Upper 95% Confidence Limit</w:t>
            </w:r>
          </w:p>
        </w:tc>
        <w:tc>
          <w:tcPr>
            <w:tcW w:w="405" w:type="pct"/>
            <w:shd w:val="clear" w:color="000000" w:fill="5F497A"/>
            <w:vAlign w:val="bottom"/>
            <w:hideMark/>
          </w:tcPr>
          <w:p w14:paraId="69698E8D"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color w:val="FFFFFF"/>
                <w:lang w:bidi="ar-SA"/>
              </w:rPr>
              <w:t>2021 (MY 2020) Rate</w:t>
            </w:r>
          </w:p>
        </w:tc>
        <w:tc>
          <w:tcPr>
            <w:tcW w:w="406" w:type="pct"/>
            <w:shd w:val="clear" w:color="000000" w:fill="5F497A"/>
            <w:vAlign w:val="bottom"/>
            <w:hideMark/>
          </w:tcPr>
          <w:p w14:paraId="118EAC44"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color w:val="FFFFFF"/>
                <w:lang w:bidi="ar-SA"/>
              </w:rPr>
              <w:t>2022 Rate</w:t>
            </w:r>
            <w:r w:rsidRPr="002D6581">
              <w:rPr>
                <w:rFonts w:eastAsia="Times New Roman" w:cstheme="minorHAnsi"/>
                <w:b/>
                <w:color w:val="FFFFFF"/>
                <w:lang w:bidi="ar-SA"/>
              </w:rPr>
              <w:br/>
              <w:t>Compared to 2021</w:t>
            </w:r>
          </w:p>
        </w:tc>
        <w:tc>
          <w:tcPr>
            <w:tcW w:w="343" w:type="pct"/>
            <w:shd w:val="clear" w:color="000000" w:fill="5F497A"/>
            <w:vAlign w:val="bottom"/>
            <w:hideMark/>
          </w:tcPr>
          <w:p w14:paraId="2973558A"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color w:val="FFFFFF"/>
                <w:lang w:bidi="ar-SA"/>
              </w:rPr>
              <w:t>MMC</w:t>
            </w:r>
          </w:p>
        </w:tc>
        <w:tc>
          <w:tcPr>
            <w:tcW w:w="343" w:type="pct"/>
            <w:shd w:val="clear" w:color="000000" w:fill="5F497A"/>
            <w:vAlign w:val="bottom"/>
            <w:hideMark/>
          </w:tcPr>
          <w:p w14:paraId="48A568BF"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color w:val="FFFFFF"/>
                <w:lang w:bidi="ar-SA"/>
              </w:rPr>
              <w:t>2022 Rate</w:t>
            </w:r>
            <w:r w:rsidRPr="002D6581">
              <w:rPr>
                <w:rFonts w:eastAsia="Times New Roman" w:cstheme="minorHAnsi"/>
                <w:b/>
                <w:color w:val="FFFFFF"/>
                <w:lang w:bidi="ar-SA"/>
              </w:rPr>
              <w:br/>
              <w:t>Compared to MMC</w:t>
            </w:r>
          </w:p>
        </w:tc>
        <w:tc>
          <w:tcPr>
            <w:tcW w:w="535" w:type="pct"/>
            <w:shd w:val="clear" w:color="000000" w:fill="5F497A"/>
            <w:vAlign w:val="bottom"/>
            <w:hideMark/>
          </w:tcPr>
          <w:p w14:paraId="0CB04A85" w14:textId="77777777" w:rsidR="00AB379C" w:rsidRPr="002D6581" w:rsidRDefault="00AB379C" w:rsidP="007055F6">
            <w:pPr>
              <w:jc w:val="center"/>
              <w:rPr>
                <w:rFonts w:eastAsia="Times New Roman" w:cstheme="minorHAnsi"/>
                <w:b/>
                <w:bCs/>
                <w:color w:val="FFFFFF"/>
                <w:lang w:bidi="ar-SA"/>
              </w:rPr>
            </w:pPr>
            <w:r w:rsidRPr="002D6581">
              <w:rPr>
                <w:rFonts w:eastAsia="Times New Roman" w:cstheme="minorHAnsi"/>
                <w:b/>
                <w:color w:val="FFFFFF"/>
                <w:lang w:bidi="ar-SA"/>
              </w:rPr>
              <w:t>HEDIS 2022 Percentile</w:t>
            </w:r>
          </w:p>
        </w:tc>
      </w:tr>
      <w:tr w:rsidR="00AB379C" w:rsidRPr="002D6581" w14:paraId="3C958C2F" w14:textId="77777777" w:rsidTr="002D6581">
        <w:trPr>
          <w:cantSplit/>
          <w:trHeight w:val="144"/>
        </w:trPr>
        <w:tc>
          <w:tcPr>
            <w:tcW w:w="286" w:type="pct"/>
            <w:shd w:val="clear" w:color="auto" w:fill="FFFFFF" w:themeFill="background1"/>
            <w:vAlign w:val="center"/>
          </w:tcPr>
          <w:p w14:paraId="22C0DFDB"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C58AAE0" w14:textId="3A8477D9"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AMBA: Outpatient Visits/1</w:t>
            </w:r>
            <w:r w:rsidR="00674C05">
              <w:rPr>
                <w:rFonts w:eastAsia="Times New Roman" w:cstheme="minorHAnsi"/>
                <w:lang w:bidi="ar-SA"/>
              </w:rPr>
              <w:t>,</w:t>
            </w:r>
            <w:r w:rsidRPr="002D6581">
              <w:rPr>
                <w:rFonts w:eastAsia="Times New Roman" w:cstheme="minorHAnsi"/>
                <w:lang w:bidi="ar-SA"/>
              </w:rPr>
              <w:t>000 MM Ages &lt;</w:t>
            </w:r>
            <w:r w:rsidR="00674C05">
              <w:rPr>
                <w:rFonts w:eastAsia="Times New Roman" w:cstheme="minorHAnsi"/>
                <w:lang w:bidi="ar-SA"/>
              </w:rPr>
              <w:t xml:space="preserve"> </w:t>
            </w:r>
            <w:r w:rsidRPr="002D6581">
              <w:rPr>
                <w:rFonts w:eastAsia="Times New Roman" w:cstheme="minorHAnsi"/>
                <w:lang w:bidi="ar-SA"/>
              </w:rPr>
              <w:t>1 year</w:t>
            </w:r>
          </w:p>
        </w:tc>
        <w:tc>
          <w:tcPr>
            <w:tcW w:w="312" w:type="pct"/>
            <w:shd w:val="clear" w:color="auto" w:fill="auto"/>
            <w:vAlign w:val="center"/>
          </w:tcPr>
          <w:p w14:paraId="50A036CE" w14:textId="77777777" w:rsidR="00AB379C" w:rsidRPr="002D6581" w:rsidRDefault="00AB379C" w:rsidP="007055F6">
            <w:pPr>
              <w:jc w:val="center"/>
              <w:rPr>
                <w:rFonts w:eastAsia="Times New Roman" w:cstheme="minorHAnsi"/>
                <w:lang w:bidi="ar-SA"/>
              </w:rPr>
            </w:pPr>
            <w:r w:rsidRPr="002D6581">
              <w:rPr>
                <w:rFonts w:cstheme="minorHAnsi"/>
              </w:rPr>
              <w:t>5,066</w:t>
            </w:r>
          </w:p>
        </w:tc>
        <w:tc>
          <w:tcPr>
            <w:tcW w:w="281" w:type="pct"/>
            <w:shd w:val="clear" w:color="000000" w:fill="FFFFFF"/>
            <w:vAlign w:val="center"/>
          </w:tcPr>
          <w:p w14:paraId="2D63581A" w14:textId="77777777" w:rsidR="00AB379C" w:rsidRPr="002D6581" w:rsidRDefault="00AB379C" w:rsidP="007055F6">
            <w:pPr>
              <w:jc w:val="center"/>
              <w:rPr>
                <w:rFonts w:eastAsia="Times New Roman" w:cstheme="minorHAnsi"/>
                <w:lang w:bidi="ar-SA"/>
              </w:rPr>
            </w:pPr>
            <w:r w:rsidRPr="002D6581">
              <w:rPr>
                <w:rFonts w:cstheme="minorHAnsi"/>
              </w:rPr>
              <w:t>4,004</w:t>
            </w:r>
          </w:p>
        </w:tc>
        <w:tc>
          <w:tcPr>
            <w:tcW w:w="311" w:type="pct"/>
            <w:shd w:val="clear" w:color="000000" w:fill="FFFFFF"/>
            <w:vAlign w:val="center"/>
          </w:tcPr>
          <w:p w14:paraId="57379A10" w14:textId="77777777" w:rsidR="00AB379C" w:rsidRPr="002D6581" w:rsidRDefault="00AB379C" w:rsidP="007055F6">
            <w:pPr>
              <w:jc w:val="center"/>
              <w:rPr>
                <w:rFonts w:eastAsia="Times New Roman" w:cstheme="minorHAnsi"/>
                <w:b/>
                <w:bCs/>
                <w:lang w:bidi="ar-SA"/>
              </w:rPr>
            </w:pPr>
            <w:r w:rsidRPr="002D6581">
              <w:rPr>
                <w:rFonts w:cstheme="minorHAnsi"/>
                <w:b/>
                <w:bCs/>
              </w:rPr>
              <w:t>790.37</w:t>
            </w:r>
          </w:p>
        </w:tc>
        <w:tc>
          <w:tcPr>
            <w:tcW w:w="343" w:type="pct"/>
            <w:shd w:val="clear" w:color="000000" w:fill="FFFFFF"/>
            <w:vAlign w:val="center"/>
          </w:tcPr>
          <w:p w14:paraId="0B1E2FA2"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201608D5"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085DA8F3" w14:textId="77777777" w:rsidR="00AB379C" w:rsidRPr="002D6581" w:rsidRDefault="00AB379C" w:rsidP="007055F6">
            <w:pPr>
              <w:jc w:val="center"/>
              <w:rPr>
                <w:rFonts w:eastAsia="Times New Roman" w:cstheme="minorHAnsi"/>
                <w:lang w:bidi="ar-SA"/>
              </w:rPr>
            </w:pPr>
            <w:r w:rsidRPr="002D6581">
              <w:rPr>
                <w:rFonts w:cstheme="minorHAnsi"/>
              </w:rPr>
              <w:t>773.57</w:t>
            </w:r>
          </w:p>
        </w:tc>
        <w:tc>
          <w:tcPr>
            <w:tcW w:w="406" w:type="pct"/>
            <w:shd w:val="clear" w:color="000000" w:fill="FFFFFF"/>
            <w:vAlign w:val="center"/>
          </w:tcPr>
          <w:p w14:paraId="0C273664"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000000" w:fill="FFFFFF"/>
            <w:vAlign w:val="center"/>
          </w:tcPr>
          <w:p w14:paraId="575E5213" w14:textId="77777777" w:rsidR="00AB379C" w:rsidRPr="002D6581" w:rsidRDefault="00AB379C" w:rsidP="007055F6">
            <w:pPr>
              <w:jc w:val="center"/>
              <w:rPr>
                <w:rFonts w:eastAsia="Times New Roman" w:cstheme="minorHAnsi"/>
                <w:lang w:bidi="ar-SA"/>
              </w:rPr>
            </w:pPr>
            <w:r w:rsidRPr="002D6581">
              <w:rPr>
                <w:rFonts w:cstheme="minorHAnsi"/>
              </w:rPr>
              <w:t>652.55</w:t>
            </w:r>
          </w:p>
        </w:tc>
        <w:tc>
          <w:tcPr>
            <w:tcW w:w="343" w:type="pct"/>
            <w:shd w:val="clear" w:color="000000" w:fill="FFFFFF"/>
            <w:vAlign w:val="center"/>
          </w:tcPr>
          <w:p w14:paraId="587F8223"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535" w:type="pct"/>
            <w:shd w:val="clear" w:color="000000" w:fill="FFFFFF"/>
            <w:vAlign w:val="center"/>
          </w:tcPr>
          <w:p w14:paraId="2EB04D63"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5D461614" w14:textId="77777777" w:rsidTr="002D6581">
        <w:trPr>
          <w:cantSplit/>
          <w:trHeight w:val="144"/>
        </w:trPr>
        <w:tc>
          <w:tcPr>
            <w:tcW w:w="286" w:type="pct"/>
            <w:shd w:val="clear" w:color="auto" w:fill="FFFFFF" w:themeFill="background1"/>
            <w:vAlign w:val="center"/>
          </w:tcPr>
          <w:p w14:paraId="502FA9E9"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F962A62" w14:textId="06F6982D"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AMBA: Outpatient Visits/1</w:t>
            </w:r>
            <w:r w:rsidR="00674C05">
              <w:rPr>
                <w:rFonts w:eastAsia="Times New Roman" w:cstheme="minorHAnsi"/>
                <w:lang w:bidi="ar-SA"/>
              </w:rPr>
              <w:t>,</w:t>
            </w:r>
            <w:r w:rsidRPr="002D6581">
              <w:rPr>
                <w:rFonts w:eastAsia="Times New Roman" w:cstheme="minorHAnsi"/>
                <w:lang w:bidi="ar-SA"/>
              </w:rPr>
              <w:t>000 MM Ages 1— 9 years</w:t>
            </w:r>
          </w:p>
        </w:tc>
        <w:tc>
          <w:tcPr>
            <w:tcW w:w="312" w:type="pct"/>
            <w:shd w:val="clear" w:color="auto" w:fill="auto"/>
            <w:vAlign w:val="center"/>
          </w:tcPr>
          <w:p w14:paraId="4EE4CA2B" w14:textId="77777777" w:rsidR="00AB379C" w:rsidRPr="002D6581" w:rsidRDefault="00AB379C" w:rsidP="007055F6">
            <w:pPr>
              <w:jc w:val="center"/>
              <w:rPr>
                <w:rFonts w:eastAsia="Times New Roman" w:cstheme="minorHAnsi"/>
                <w:lang w:bidi="ar-SA"/>
              </w:rPr>
            </w:pPr>
            <w:r w:rsidRPr="002D6581">
              <w:rPr>
                <w:rFonts w:cstheme="minorHAnsi"/>
              </w:rPr>
              <w:t>165,314</w:t>
            </w:r>
          </w:p>
        </w:tc>
        <w:tc>
          <w:tcPr>
            <w:tcW w:w="281" w:type="pct"/>
            <w:shd w:val="clear" w:color="000000" w:fill="FFFFFF"/>
            <w:vAlign w:val="center"/>
          </w:tcPr>
          <w:p w14:paraId="3A2CA1EC" w14:textId="77777777" w:rsidR="00AB379C" w:rsidRPr="002D6581" w:rsidRDefault="00AB379C" w:rsidP="007055F6">
            <w:pPr>
              <w:jc w:val="center"/>
              <w:rPr>
                <w:rFonts w:eastAsia="Times New Roman" w:cstheme="minorHAnsi"/>
                <w:lang w:bidi="ar-SA"/>
              </w:rPr>
            </w:pPr>
            <w:r w:rsidRPr="002D6581">
              <w:rPr>
                <w:rFonts w:cstheme="minorHAnsi"/>
              </w:rPr>
              <w:t>46,099</w:t>
            </w:r>
          </w:p>
        </w:tc>
        <w:tc>
          <w:tcPr>
            <w:tcW w:w="311" w:type="pct"/>
            <w:shd w:val="clear" w:color="000000" w:fill="FFFFFF"/>
            <w:vAlign w:val="center"/>
          </w:tcPr>
          <w:p w14:paraId="5D4CAD74" w14:textId="77777777" w:rsidR="00AB379C" w:rsidRPr="002D6581" w:rsidRDefault="00AB379C" w:rsidP="007055F6">
            <w:pPr>
              <w:jc w:val="center"/>
              <w:rPr>
                <w:rFonts w:eastAsia="Times New Roman" w:cstheme="minorHAnsi"/>
                <w:b/>
                <w:bCs/>
                <w:lang w:bidi="ar-SA"/>
              </w:rPr>
            </w:pPr>
            <w:r w:rsidRPr="002D6581">
              <w:rPr>
                <w:rFonts w:cstheme="minorHAnsi"/>
                <w:b/>
                <w:bCs/>
              </w:rPr>
              <w:t>278.86</w:t>
            </w:r>
          </w:p>
        </w:tc>
        <w:tc>
          <w:tcPr>
            <w:tcW w:w="343" w:type="pct"/>
            <w:shd w:val="clear" w:color="000000" w:fill="FFFFFF"/>
            <w:vAlign w:val="center"/>
          </w:tcPr>
          <w:p w14:paraId="61A7295C"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64EA8FAD"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1596D736" w14:textId="77777777" w:rsidR="00AB379C" w:rsidRPr="002D6581" w:rsidRDefault="00AB379C" w:rsidP="007055F6">
            <w:pPr>
              <w:jc w:val="center"/>
              <w:rPr>
                <w:rFonts w:eastAsia="Times New Roman" w:cstheme="minorHAnsi"/>
                <w:lang w:bidi="ar-SA"/>
              </w:rPr>
            </w:pPr>
            <w:r w:rsidRPr="002D6581">
              <w:rPr>
                <w:rFonts w:cstheme="minorHAnsi"/>
              </w:rPr>
              <w:t>263.00</w:t>
            </w:r>
          </w:p>
        </w:tc>
        <w:tc>
          <w:tcPr>
            <w:tcW w:w="406" w:type="pct"/>
            <w:shd w:val="clear" w:color="000000" w:fill="FFFFFF"/>
            <w:vAlign w:val="center"/>
          </w:tcPr>
          <w:p w14:paraId="56CAF3A7"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000000" w:fill="FFFFFF"/>
            <w:vAlign w:val="center"/>
          </w:tcPr>
          <w:p w14:paraId="42F240FC" w14:textId="77777777" w:rsidR="00AB379C" w:rsidRPr="002D6581" w:rsidRDefault="00AB379C" w:rsidP="007055F6">
            <w:pPr>
              <w:jc w:val="center"/>
              <w:rPr>
                <w:rFonts w:eastAsia="Times New Roman" w:cstheme="minorHAnsi"/>
                <w:lang w:bidi="ar-SA"/>
              </w:rPr>
            </w:pPr>
            <w:r w:rsidRPr="002D6581">
              <w:rPr>
                <w:rFonts w:cstheme="minorHAnsi"/>
              </w:rPr>
              <w:t>218.78</w:t>
            </w:r>
          </w:p>
        </w:tc>
        <w:tc>
          <w:tcPr>
            <w:tcW w:w="343" w:type="pct"/>
            <w:shd w:val="clear" w:color="000000" w:fill="FFFFFF"/>
            <w:vAlign w:val="center"/>
          </w:tcPr>
          <w:p w14:paraId="62B3CBE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535" w:type="pct"/>
            <w:shd w:val="clear" w:color="000000" w:fill="FFFFFF"/>
            <w:vAlign w:val="center"/>
          </w:tcPr>
          <w:p w14:paraId="26A32EC5"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536FE94" w14:textId="77777777" w:rsidTr="002D6581">
        <w:trPr>
          <w:cantSplit/>
          <w:trHeight w:val="144"/>
        </w:trPr>
        <w:tc>
          <w:tcPr>
            <w:tcW w:w="286" w:type="pct"/>
            <w:shd w:val="clear" w:color="auto" w:fill="FFFFFF" w:themeFill="background1"/>
            <w:vAlign w:val="center"/>
          </w:tcPr>
          <w:p w14:paraId="64C9E74A"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0BADC8C" w14:textId="3D38AFBE"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AMBA: Outpatient Visits/1</w:t>
            </w:r>
            <w:r w:rsidR="00674C05">
              <w:rPr>
                <w:rFonts w:eastAsia="Times New Roman" w:cstheme="minorHAnsi"/>
                <w:lang w:bidi="ar-SA"/>
              </w:rPr>
              <w:t>,</w:t>
            </w:r>
            <w:r w:rsidRPr="002D6581">
              <w:rPr>
                <w:rFonts w:eastAsia="Times New Roman" w:cstheme="minorHAnsi"/>
                <w:lang w:bidi="ar-SA"/>
              </w:rPr>
              <w:t>000 MM Ages 10—19 years</w:t>
            </w:r>
          </w:p>
        </w:tc>
        <w:tc>
          <w:tcPr>
            <w:tcW w:w="312" w:type="pct"/>
            <w:shd w:val="clear" w:color="auto" w:fill="auto"/>
            <w:vAlign w:val="center"/>
          </w:tcPr>
          <w:p w14:paraId="0BABB876" w14:textId="77777777" w:rsidR="00AB379C" w:rsidRPr="002D6581" w:rsidRDefault="00AB379C" w:rsidP="007055F6">
            <w:pPr>
              <w:jc w:val="center"/>
              <w:rPr>
                <w:rFonts w:eastAsia="Times New Roman" w:cstheme="minorHAnsi"/>
                <w:lang w:bidi="ar-SA"/>
              </w:rPr>
            </w:pPr>
            <w:r w:rsidRPr="002D6581">
              <w:rPr>
                <w:rFonts w:cstheme="minorHAnsi"/>
              </w:rPr>
              <w:t>227,826</w:t>
            </w:r>
          </w:p>
        </w:tc>
        <w:tc>
          <w:tcPr>
            <w:tcW w:w="281" w:type="pct"/>
            <w:shd w:val="clear" w:color="000000" w:fill="FFFFFF"/>
            <w:vAlign w:val="center"/>
          </w:tcPr>
          <w:p w14:paraId="55D032ED" w14:textId="77777777" w:rsidR="00AB379C" w:rsidRPr="002D6581" w:rsidRDefault="00AB379C" w:rsidP="007055F6">
            <w:pPr>
              <w:jc w:val="center"/>
              <w:rPr>
                <w:rFonts w:eastAsia="Times New Roman" w:cstheme="minorHAnsi"/>
                <w:lang w:bidi="ar-SA"/>
              </w:rPr>
            </w:pPr>
            <w:r w:rsidRPr="002D6581">
              <w:rPr>
                <w:rFonts w:cstheme="minorHAnsi"/>
              </w:rPr>
              <w:t>61,382</w:t>
            </w:r>
          </w:p>
        </w:tc>
        <w:tc>
          <w:tcPr>
            <w:tcW w:w="311" w:type="pct"/>
            <w:shd w:val="clear" w:color="000000" w:fill="FFFFFF"/>
            <w:vAlign w:val="center"/>
          </w:tcPr>
          <w:p w14:paraId="2F3E8072" w14:textId="77777777" w:rsidR="00AB379C" w:rsidRPr="002D6581" w:rsidRDefault="00AB379C" w:rsidP="007055F6">
            <w:pPr>
              <w:jc w:val="center"/>
              <w:rPr>
                <w:rFonts w:eastAsia="Times New Roman" w:cstheme="minorHAnsi"/>
                <w:b/>
                <w:bCs/>
                <w:lang w:bidi="ar-SA"/>
              </w:rPr>
            </w:pPr>
            <w:r w:rsidRPr="002D6581">
              <w:rPr>
                <w:rFonts w:cstheme="minorHAnsi"/>
                <w:b/>
                <w:bCs/>
              </w:rPr>
              <w:t>269.42</w:t>
            </w:r>
          </w:p>
        </w:tc>
        <w:tc>
          <w:tcPr>
            <w:tcW w:w="343" w:type="pct"/>
            <w:shd w:val="clear" w:color="000000" w:fill="FFFFFF"/>
            <w:vAlign w:val="center"/>
          </w:tcPr>
          <w:p w14:paraId="0BD260CC"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20D81B3F"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1D9A0F03" w14:textId="77777777" w:rsidR="00AB379C" w:rsidRPr="002D6581" w:rsidRDefault="00AB379C" w:rsidP="007055F6">
            <w:pPr>
              <w:jc w:val="center"/>
              <w:rPr>
                <w:rFonts w:eastAsia="Times New Roman" w:cstheme="minorHAnsi"/>
                <w:lang w:bidi="ar-SA"/>
              </w:rPr>
            </w:pPr>
            <w:r w:rsidRPr="002D6581">
              <w:rPr>
                <w:rFonts w:cstheme="minorHAnsi"/>
              </w:rPr>
              <w:t>239.31</w:t>
            </w:r>
          </w:p>
        </w:tc>
        <w:tc>
          <w:tcPr>
            <w:tcW w:w="406" w:type="pct"/>
            <w:shd w:val="clear" w:color="000000" w:fill="FFFFFF"/>
            <w:vAlign w:val="center"/>
          </w:tcPr>
          <w:p w14:paraId="3A3EB8B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000000" w:fill="FFFFFF"/>
            <w:vAlign w:val="center"/>
          </w:tcPr>
          <w:p w14:paraId="1341EB8D" w14:textId="77777777" w:rsidR="00AB379C" w:rsidRPr="002D6581" w:rsidRDefault="00AB379C" w:rsidP="007055F6">
            <w:pPr>
              <w:jc w:val="center"/>
              <w:rPr>
                <w:rFonts w:eastAsia="Times New Roman" w:cstheme="minorHAnsi"/>
                <w:lang w:bidi="ar-SA"/>
              </w:rPr>
            </w:pPr>
            <w:r w:rsidRPr="002D6581">
              <w:rPr>
                <w:rFonts w:cstheme="minorHAnsi"/>
              </w:rPr>
              <w:t>215.21</w:t>
            </w:r>
          </w:p>
        </w:tc>
        <w:tc>
          <w:tcPr>
            <w:tcW w:w="343" w:type="pct"/>
            <w:shd w:val="clear" w:color="000000" w:fill="FFFFFF"/>
            <w:vAlign w:val="center"/>
          </w:tcPr>
          <w:p w14:paraId="62F63F3C"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535" w:type="pct"/>
            <w:shd w:val="clear" w:color="000000" w:fill="FFFFFF"/>
            <w:vAlign w:val="center"/>
          </w:tcPr>
          <w:p w14:paraId="1BE4D7C9"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04DD7602" w14:textId="77777777" w:rsidTr="002D6581">
        <w:trPr>
          <w:cantSplit/>
          <w:trHeight w:val="144"/>
        </w:trPr>
        <w:tc>
          <w:tcPr>
            <w:tcW w:w="286" w:type="pct"/>
            <w:shd w:val="clear" w:color="auto" w:fill="FFFFFF" w:themeFill="background1"/>
            <w:vAlign w:val="center"/>
          </w:tcPr>
          <w:p w14:paraId="19D15553"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EC317AA" w14:textId="17DA57E8"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AMBA: Outpatient Visits/1</w:t>
            </w:r>
            <w:r w:rsidR="00674C05">
              <w:rPr>
                <w:rFonts w:eastAsia="Times New Roman" w:cstheme="minorHAnsi"/>
                <w:lang w:bidi="ar-SA"/>
              </w:rPr>
              <w:t>,</w:t>
            </w:r>
            <w:r w:rsidRPr="002D6581">
              <w:rPr>
                <w:rFonts w:eastAsia="Times New Roman" w:cstheme="minorHAnsi"/>
                <w:lang w:bidi="ar-SA"/>
              </w:rPr>
              <w:t>000 MM Ages &lt;</w:t>
            </w:r>
            <w:r w:rsidR="00674C05">
              <w:rPr>
                <w:rFonts w:eastAsia="Times New Roman" w:cstheme="minorHAnsi"/>
                <w:lang w:bidi="ar-SA"/>
              </w:rPr>
              <w:t xml:space="preserve"> </w:t>
            </w:r>
            <w:r w:rsidRPr="002D6581">
              <w:rPr>
                <w:rFonts w:eastAsia="Times New Roman" w:cstheme="minorHAnsi"/>
                <w:lang w:bidi="ar-SA"/>
              </w:rPr>
              <w:t>1—19 years Total Rate</w:t>
            </w:r>
          </w:p>
        </w:tc>
        <w:tc>
          <w:tcPr>
            <w:tcW w:w="312" w:type="pct"/>
            <w:shd w:val="clear" w:color="auto" w:fill="auto"/>
            <w:vAlign w:val="center"/>
          </w:tcPr>
          <w:p w14:paraId="6D6F854F" w14:textId="77777777" w:rsidR="00AB379C" w:rsidRPr="002D6581" w:rsidRDefault="00AB379C" w:rsidP="007055F6">
            <w:pPr>
              <w:jc w:val="center"/>
              <w:rPr>
                <w:rFonts w:eastAsia="Times New Roman" w:cstheme="minorHAnsi"/>
                <w:lang w:bidi="ar-SA"/>
              </w:rPr>
            </w:pPr>
            <w:r w:rsidRPr="002D6581">
              <w:rPr>
                <w:rFonts w:cstheme="minorHAnsi"/>
              </w:rPr>
              <w:t>398,214</w:t>
            </w:r>
          </w:p>
        </w:tc>
        <w:tc>
          <w:tcPr>
            <w:tcW w:w="281" w:type="pct"/>
            <w:shd w:val="clear" w:color="000000" w:fill="FFFFFF"/>
            <w:vAlign w:val="center"/>
          </w:tcPr>
          <w:p w14:paraId="6A5A1C83" w14:textId="77777777" w:rsidR="00AB379C" w:rsidRPr="002D6581" w:rsidRDefault="00AB379C" w:rsidP="007055F6">
            <w:pPr>
              <w:jc w:val="center"/>
              <w:rPr>
                <w:rFonts w:eastAsia="Times New Roman" w:cstheme="minorHAnsi"/>
                <w:lang w:bidi="ar-SA"/>
              </w:rPr>
            </w:pPr>
            <w:r w:rsidRPr="002D6581">
              <w:rPr>
                <w:rFonts w:cstheme="minorHAnsi"/>
              </w:rPr>
              <w:t>111,485</w:t>
            </w:r>
          </w:p>
        </w:tc>
        <w:tc>
          <w:tcPr>
            <w:tcW w:w="311" w:type="pct"/>
            <w:shd w:val="clear" w:color="000000" w:fill="FFFFFF"/>
            <w:vAlign w:val="center"/>
          </w:tcPr>
          <w:p w14:paraId="1E04AE53" w14:textId="77777777" w:rsidR="00AB379C" w:rsidRPr="002D6581" w:rsidRDefault="00AB379C" w:rsidP="007055F6">
            <w:pPr>
              <w:jc w:val="center"/>
              <w:rPr>
                <w:rFonts w:eastAsia="Times New Roman" w:cstheme="minorHAnsi"/>
                <w:b/>
                <w:bCs/>
                <w:lang w:bidi="ar-SA"/>
              </w:rPr>
            </w:pPr>
            <w:r w:rsidRPr="002D6581">
              <w:rPr>
                <w:rFonts w:cstheme="minorHAnsi"/>
                <w:b/>
                <w:bCs/>
              </w:rPr>
              <w:t>279.96</w:t>
            </w:r>
          </w:p>
        </w:tc>
        <w:tc>
          <w:tcPr>
            <w:tcW w:w="343" w:type="pct"/>
            <w:shd w:val="clear" w:color="000000" w:fill="FFFFFF"/>
            <w:vAlign w:val="center"/>
          </w:tcPr>
          <w:p w14:paraId="34A06CBC"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09784630"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66294367" w14:textId="77777777" w:rsidR="00AB379C" w:rsidRPr="002D6581" w:rsidRDefault="00AB379C" w:rsidP="007055F6">
            <w:pPr>
              <w:jc w:val="center"/>
              <w:rPr>
                <w:rFonts w:eastAsia="Times New Roman" w:cstheme="minorHAnsi"/>
                <w:lang w:bidi="ar-SA"/>
              </w:rPr>
            </w:pPr>
            <w:r w:rsidRPr="002D6581">
              <w:rPr>
                <w:rFonts w:cstheme="minorHAnsi"/>
              </w:rPr>
              <w:t>255.94</w:t>
            </w:r>
          </w:p>
        </w:tc>
        <w:tc>
          <w:tcPr>
            <w:tcW w:w="406" w:type="pct"/>
            <w:shd w:val="clear" w:color="000000" w:fill="FFFFFF"/>
            <w:vAlign w:val="center"/>
          </w:tcPr>
          <w:p w14:paraId="580BA773"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000000" w:fill="FFFFFF"/>
            <w:vAlign w:val="center"/>
          </w:tcPr>
          <w:p w14:paraId="5223C93B" w14:textId="77777777" w:rsidR="00AB379C" w:rsidRPr="002D6581" w:rsidRDefault="00AB379C" w:rsidP="007055F6">
            <w:pPr>
              <w:jc w:val="center"/>
              <w:rPr>
                <w:rFonts w:eastAsia="Times New Roman" w:cstheme="minorHAnsi"/>
                <w:lang w:bidi="ar-SA"/>
              </w:rPr>
            </w:pPr>
            <w:r w:rsidRPr="002D6581">
              <w:rPr>
                <w:rFonts w:cstheme="minorHAnsi"/>
              </w:rPr>
              <w:t>221.18</w:t>
            </w:r>
          </w:p>
        </w:tc>
        <w:tc>
          <w:tcPr>
            <w:tcW w:w="343" w:type="pct"/>
            <w:shd w:val="clear" w:color="000000" w:fill="FFFFFF"/>
            <w:vAlign w:val="center"/>
          </w:tcPr>
          <w:p w14:paraId="41EBD033"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535" w:type="pct"/>
            <w:shd w:val="clear" w:color="000000" w:fill="FFFFFF"/>
            <w:vAlign w:val="center"/>
          </w:tcPr>
          <w:p w14:paraId="0E9F005C"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29CE04C" w14:textId="77777777" w:rsidTr="002D6581">
        <w:trPr>
          <w:cantSplit/>
          <w:trHeight w:val="144"/>
        </w:trPr>
        <w:tc>
          <w:tcPr>
            <w:tcW w:w="286" w:type="pct"/>
            <w:shd w:val="clear" w:color="auto" w:fill="FFFFFF" w:themeFill="background1"/>
            <w:vAlign w:val="center"/>
          </w:tcPr>
          <w:p w14:paraId="3F04E120"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93D5D85" w14:textId="5F6D4F1C"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AMBA: Emergency Department Visits/1</w:t>
            </w:r>
            <w:r w:rsidR="00674C05">
              <w:rPr>
                <w:rFonts w:eastAsia="Times New Roman" w:cstheme="minorHAnsi"/>
                <w:lang w:bidi="ar-SA"/>
              </w:rPr>
              <w:t>,</w:t>
            </w:r>
            <w:r w:rsidRPr="002D6581">
              <w:rPr>
                <w:rFonts w:eastAsia="Times New Roman" w:cstheme="minorHAnsi"/>
                <w:lang w:bidi="ar-SA"/>
              </w:rPr>
              <w:t>000 MM Ages &lt;</w:t>
            </w:r>
            <w:r w:rsidR="00674C05">
              <w:rPr>
                <w:rFonts w:eastAsia="Times New Roman" w:cstheme="minorHAnsi"/>
                <w:lang w:bidi="ar-SA"/>
              </w:rPr>
              <w:t xml:space="preserve"> </w:t>
            </w:r>
            <w:r w:rsidRPr="002D6581">
              <w:rPr>
                <w:rFonts w:eastAsia="Times New Roman" w:cstheme="minorHAnsi"/>
                <w:lang w:bidi="ar-SA"/>
              </w:rPr>
              <w:t>1 year</w:t>
            </w:r>
          </w:p>
        </w:tc>
        <w:tc>
          <w:tcPr>
            <w:tcW w:w="312" w:type="pct"/>
            <w:shd w:val="clear" w:color="auto" w:fill="auto"/>
            <w:vAlign w:val="center"/>
          </w:tcPr>
          <w:p w14:paraId="02398971" w14:textId="77777777" w:rsidR="00AB379C" w:rsidRPr="002D6581" w:rsidRDefault="00AB379C" w:rsidP="007055F6">
            <w:pPr>
              <w:jc w:val="center"/>
              <w:rPr>
                <w:rFonts w:eastAsia="Times New Roman" w:cstheme="minorHAnsi"/>
                <w:lang w:bidi="ar-SA"/>
              </w:rPr>
            </w:pPr>
            <w:r w:rsidRPr="002D6581">
              <w:rPr>
                <w:rFonts w:cstheme="minorHAnsi"/>
              </w:rPr>
              <w:t>5,066</w:t>
            </w:r>
          </w:p>
        </w:tc>
        <w:tc>
          <w:tcPr>
            <w:tcW w:w="281" w:type="pct"/>
            <w:shd w:val="clear" w:color="000000" w:fill="FFFFFF"/>
            <w:vAlign w:val="center"/>
          </w:tcPr>
          <w:p w14:paraId="745A6A85" w14:textId="77777777" w:rsidR="00AB379C" w:rsidRPr="002D6581" w:rsidRDefault="00AB379C" w:rsidP="007055F6">
            <w:pPr>
              <w:jc w:val="center"/>
              <w:rPr>
                <w:rFonts w:eastAsia="Times New Roman" w:cstheme="minorHAnsi"/>
                <w:lang w:bidi="ar-SA"/>
              </w:rPr>
            </w:pPr>
            <w:r w:rsidRPr="002D6581">
              <w:rPr>
                <w:rFonts w:cstheme="minorHAnsi"/>
              </w:rPr>
              <w:t>166</w:t>
            </w:r>
          </w:p>
        </w:tc>
        <w:tc>
          <w:tcPr>
            <w:tcW w:w="311" w:type="pct"/>
            <w:shd w:val="clear" w:color="000000" w:fill="FFFFFF"/>
            <w:vAlign w:val="center"/>
          </w:tcPr>
          <w:p w14:paraId="4BB5728B" w14:textId="77777777" w:rsidR="00AB379C" w:rsidRPr="002D6581" w:rsidRDefault="00AB379C" w:rsidP="007055F6">
            <w:pPr>
              <w:jc w:val="center"/>
              <w:rPr>
                <w:rFonts w:eastAsia="Times New Roman" w:cstheme="minorHAnsi"/>
                <w:b/>
                <w:bCs/>
                <w:lang w:bidi="ar-SA"/>
              </w:rPr>
            </w:pPr>
            <w:r w:rsidRPr="002D6581">
              <w:rPr>
                <w:rFonts w:cstheme="minorHAnsi"/>
                <w:b/>
                <w:bCs/>
              </w:rPr>
              <w:t>32.77</w:t>
            </w:r>
          </w:p>
        </w:tc>
        <w:tc>
          <w:tcPr>
            <w:tcW w:w="343" w:type="pct"/>
            <w:shd w:val="clear" w:color="000000" w:fill="FFFFFF"/>
            <w:vAlign w:val="center"/>
          </w:tcPr>
          <w:p w14:paraId="0AF82394"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6C799983"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10033200" w14:textId="77777777" w:rsidR="00AB379C" w:rsidRPr="002D6581" w:rsidRDefault="00AB379C" w:rsidP="007055F6">
            <w:pPr>
              <w:jc w:val="center"/>
              <w:rPr>
                <w:rFonts w:eastAsia="Times New Roman" w:cstheme="minorHAnsi"/>
                <w:lang w:bidi="ar-SA"/>
              </w:rPr>
            </w:pPr>
            <w:r w:rsidRPr="002D6581">
              <w:rPr>
                <w:rFonts w:cstheme="minorHAnsi"/>
              </w:rPr>
              <w:t>23.76</w:t>
            </w:r>
          </w:p>
        </w:tc>
        <w:tc>
          <w:tcPr>
            <w:tcW w:w="406" w:type="pct"/>
            <w:shd w:val="clear" w:color="000000" w:fill="FFFFFF"/>
            <w:vAlign w:val="center"/>
          </w:tcPr>
          <w:p w14:paraId="65A1E3C5"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000000" w:fill="FFFFFF"/>
            <w:vAlign w:val="center"/>
          </w:tcPr>
          <w:p w14:paraId="0EABD822" w14:textId="77777777" w:rsidR="00AB379C" w:rsidRPr="002D6581" w:rsidRDefault="00AB379C" w:rsidP="007055F6">
            <w:pPr>
              <w:jc w:val="center"/>
              <w:rPr>
                <w:rFonts w:eastAsia="Times New Roman" w:cstheme="minorHAnsi"/>
                <w:lang w:bidi="ar-SA"/>
              </w:rPr>
            </w:pPr>
            <w:r w:rsidRPr="002D6581">
              <w:rPr>
                <w:rFonts w:cstheme="minorHAnsi"/>
              </w:rPr>
              <w:t>31.92</w:t>
            </w:r>
          </w:p>
        </w:tc>
        <w:tc>
          <w:tcPr>
            <w:tcW w:w="343" w:type="pct"/>
            <w:shd w:val="clear" w:color="000000" w:fill="FFFFFF"/>
            <w:vAlign w:val="center"/>
          </w:tcPr>
          <w:p w14:paraId="718F427A"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535" w:type="pct"/>
            <w:shd w:val="clear" w:color="000000" w:fill="FFFFFF"/>
            <w:vAlign w:val="center"/>
          </w:tcPr>
          <w:p w14:paraId="1FF63005"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59F4B841" w14:textId="77777777" w:rsidTr="002D6581">
        <w:trPr>
          <w:cantSplit/>
          <w:trHeight w:val="144"/>
        </w:trPr>
        <w:tc>
          <w:tcPr>
            <w:tcW w:w="286" w:type="pct"/>
            <w:shd w:val="clear" w:color="auto" w:fill="FFFFFF" w:themeFill="background1"/>
            <w:vAlign w:val="center"/>
          </w:tcPr>
          <w:p w14:paraId="17558B18"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7C5D622" w14:textId="7F80C6F3"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AMBA: Emergency Department Visits/1</w:t>
            </w:r>
            <w:r w:rsidR="00674C05">
              <w:rPr>
                <w:rFonts w:eastAsia="Times New Roman" w:cstheme="minorHAnsi"/>
                <w:lang w:bidi="ar-SA"/>
              </w:rPr>
              <w:t>,</w:t>
            </w:r>
            <w:r w:rsidRPr="002D6581">
              <w:rPr>
                <w:rFonts w:eastAsia="Times New Roman" w:cstheme="minorHAnsi"/>
                <w:lang w:bidi="ar-SA"/>
              </w:rPr>
              <w:t>000 MM Ages 1—9 years</w:t>
            </w:r>
          </w:p>
        </w:tc>
        <w:tc>
          <w:tcPr>
            <w:tcW w:w="312" w:type="pct"/>
            <w:shd w:val="clear" w:color="auto" w:fill="auto"/>
            <w:vAlign w:val="center"/>
          </w:tcPr>
          <w:p w14:paraId="0BB4BBF5" w14:textId="77777777" w:rsidR="00AB379C" w:rsidRPr="002D6581" w:rsidRDefault="00AB379C" w:rsidP="007055F6">
            <w:pPr>
              <w:jc w:val="center"/>
              <w:rPr>
                <w:rFonts w:eastAsia="Times New Roman" w:cstheme="minorHAnsi"/>
                <w:lang w:bidi="ar-SA"/>
              </w:rPr>
            </w:pPr>
            <w:r w:rsidRPr="002D6581">
              <w:rPr>
                <w:rFonts w:cstheme="minorHAnsi"/>
              </w:rPr>
              <w:t>165,314</w:t>
            </w:r>
          </w:p>
        </w:tc>
        <w:tc>
          <w:tcPr>
            <w:tcW w:w="281" w:type="pct"/>
            <w:shd w:val="clear" w:color="000000" w:fill="FFFFFF"/>
            <w:vAlign w:val="center"/>
          </w:tcPr>
          <w:p w14:paraId="2F9B652B" w14:textId="77777777" w:rsidR="00AB379C" w:rsidRPr="002D6581" w:rsidRDefault="00AB379C" w:rsidP="007055F6">
            <w:pPr>
              <w:jc w:val="center"/>
              <w:rPr>
                <w:rFonts w:eastAsia="Times New Roman" w:cstheme="minorHAnsi"/>
                <w:lang w:bidi="ar-SA"/>
              </w:rPr>
            </w:pPr>
            <w:r w:rsidRPr="002D6581">
              <w:rPr>
                <w:rFonts w:cstheme="minorHAnsi"/>
              </w:rPr>
              <w:t>3,023</w:t>
            </w:r>
          </w:p>
        </w:tc>
        <w:tc>
          <w:tcPr>
            <w:tcW w:w="311" w:type="pct"/>
            <w:shd w:val="clear" w:color="000000" w:fill="FFFFFF"/>
            <w:vAlign w:val="center"/>
          </w:tcPr>
          <w:p w14:paraId="7785012D" w14:textId="77777777" w:rsidR="00AB379C" w:rsidRPr="002D6581" w:rsidRDefault="00AB379C" w:rsidP="007055F6">
            <w:pPr>
              <w:jc w:val="center"/>
              <w:rPr>
                <w:rFonts w:eastAsia="Times New Roman" w:cstheme="minorHAnsi"/>
                <w:b/>
                <w:bCs/>
                <w:lang w:bidi="ar-SA"/>
              </w:rPr>
            </w:pPr>
            <w:r w:rsidRPr="002D6581">
              <w:rPr>
                <w:rFonts w:cstheme="minorHAnsi"/>
                <w:b/>
                <w:bCs/>
              </w:rPr>
              <w:t>18.29</w:t>
            </w:r>
          </w:p>
        </w:tc>
        <w:tc>
          <w:tcPr>
            <w:tcW w:w="343" w:type="pct"/>
            <w:shd w:val="clear" w:color="000000" w:fill="FFFFFF"/>
            <w:vAlign w:val="center"/>
          </w:tcPr>
          <w:p w14:paraId="448B2464"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28FFF2B6"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7E0EF68C" w14:textId="77777777" w:rsidR="00AB379C" w:rsidRPr="002D6581" w:rsidRDefault="00AB379C" w:rsidP="007055F6">
            <w:pPr>
              <w:jc w:val="center"/>
              <w:rPr>
                <w:rFonts w:eastAsia="Times New Roman" w:cstheme="minorHAnsi"/>
                <w:lang w:bidi="ar-SA"/>
              </w:rPr>
            </w:pPr>
            <w:r w:rsidRPr="002D6581">
              <w:rPr>
                <w:rFonts w:cstheme="minorHAnsi"/>
              </w:rPr>
              <w:t>17.69</w:t>
            </w:r>
          </w:p>
        </w:tc>
        <w:tc>
          <w:tcPr>
            <w:tcW w:w="406" w:type="pct"/>
            <w:shd w:val="clear" w:color="000000" w:fill="FFFFFF"/>
            <w:vAlign w:val="center"/>
          </w:tcPr>
          <w:p w14:paraId="1F154F2C"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000000" w:fill="FFFFFF"/>
            <w:vAlign w:val="center"/>
          </w:tcPr>
          <w:p w14:paraId="0F8B1DA2" w14:textId="77777777" w:rsidR="00AB379C" w:rsidRPr="002D6581" w:rsidRDefault="00AB379C" w:rsidP="007055F6">
            <w:pPr>
              <w:jc w:val="center"/>
              <w:rPr>
                <w:rFonts w:eastAsia="Times New Roman" w:cstheme="minorHAnsi"/>
                <w:lang w:bidi="ar-SA"/>
              </w:rPr>
            </w:pPr>
            <w:r w:rsidRPr="002D6581">
              <w:rPr>
                <w:rFonts w:cstheme="minorHAnsi"/>
              </w:rPr>
              <w:t>16.58</w:t>
            </w:r>
          </w:p>
        </w:tc>
        <w:tc>
          <w:tcPr>
            <w:tcW w:w="343" w:type="pct"/>
            <w:shd w:val="clear" w:color="000000" w:fill="FFFFFF"/>
            <w:vAlign w:val="center"/>
          </w:tcPr>
          <w:p w14:paraId="66FC90B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535" w:type="pct"/>
            <w:shd w:val="clear" w:color="000000" w:fill="FFFFFF"/>
            <w:vAlign w:val="center"/>
          </w:tcPr>
          <w:p w14:paraId="0249880B"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9FAFF0E" w14:textId="77777777" w:rsidTr="002D6581">
        <w:trPr>
          <w:cantSplit/>
          <w:trHeight w:val="144"/>
        </w:trPr>
        <w:tc>
          <w:tcPr>
            <w:tcW w:w="286" w:type="pct"/>
            <w:shd w:val="clear" w:color="auto" w:fill="FFFFFF" w:themeFill="background1"/>
            <w:vAlign w:val="center"/>
          </w:tcPr>
          <w:p w14:paraId="1C4D808A"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lastRenderedPageBreak/>
              <w:t>HEDIS</w:t>
            </w:r>
          </w:p>
        </w:tc>
        <w:tc>
          <w:tcPr>
            <w:tcW w:w="1060" w:type="pct"/>
            <w:shd w:val="clear" w:color="auto" w:fill="FFFFFF" w:themeFill="background1"/>
            <w:vAlign w:val="center"/>
          </w:tcPr>
          <w:p w14:paraId="64490054" w14:textId="0A5D5A0F"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AMBA: Emergency Department Visits/1</w:t>
            </w:r>
            <w:r w:rsidR="00674C05">
              <w:rPr>
                <w:rFonts w:eastAsia="Times New Roman" w:cstheme="minorHAnsi"/>
                <w:lang w:bidi="ar-SA"/>
              </w:rPr>
              <w:t>,</w:t>
            </w:r>
            <w:r w:rsidRPr="002D6581">
              <w:rPr>
                <w:rFonts w:eastAsia="Times New Roman" w:cstheme="minorHAnsi"/>
                <w:lang w:bidi="ar-SA"/>
              </w:rPr>
              <w:t>000 MM Ages 10—19 years</w:t>
            </w:r>
          </w:p>
        </w:tc>
        <w:tc>
          <w:tcPr>
            <w:tcW w:w="312" w:type="pct"/>
            <w:shd w:val="clear" w:color="auto" w:fill="auto"/>
            <w:vAlign w:val="center"/>
          </w:tcPr>
          <w:p w14:paraId="5F9E7A52" w14:textId="77777777" w:rsidR="00AB379C" w:rsidRPr="002D6581" w:rsidRDefault="00AB379C" w:rsidP="007055F6">
            <w:pPr>
              <w:jc w:val="center"/>
              <w:rPr>
                <w:rFonts w:eastAsia="Times New Roman" w:cstheme="minorHAnsi"/>
                <w:lang w:bidi="ar-SA"/>
              </w:rPr>
            </w:pPr>
            <w:r w:rsidRPr="002D6581">
              <w:rPr>
                <w:rFonts w:cstheme="minorHAnsi"/>
              </w:rPr>
              <w:t>227,826</w:t>
            </w:r>
          </w:p>
        </w:tc>
        <w:tc>
          <w:tcPr>
            <w:tcW w:w="281" w:type="pct"/>
            <w:shd w:val="clear" w:color="000000" w:fill="FFFFFF"/>
            <w:vAlign w:val="center"/>
          </w:tcPr>
          <w:p w14:paraId="5DC77387" w14:textId="77777777" w:rsidR="00AB379C" w:rsidRPr="002D6581" w:rsidRDefault="00AB379C" w:rsidP="007055F6">
            <w:pPr>
              <w:jc w:val="center"/>
              <w:rPr>
                <w:rFonts w:eastAsia="Times New Roman" w:cstheme="minorHAnsi"/>
                <w:lang w:bidi="ar-SA"/>
              </w:rPr>
            </w:pPr>
            <w:r w:rsidRPr="002D6581">
              <w:rPr>
                <w:rFonts w:cstheme="minorHAnsi"/>
              </w:rPr>
              <w:t>4,615</w:t>
            </w:r>
          </w:p>
        </w:tc>
        <w:tc>
          <w:tcPr>
            <w:tcW w:w="311" w:type="pct"/>
            <w:shd w:val="clear" w:color="000000" w:fill="FFFFFF"/>
            <w:vAlign w:val="center"/>
          </w:tcPr>
          <w:p w14:paraId="47A7F6C8" w14:textId="77777777" w:rsidR="00AB379C" w:rsidRPr="002D6581" w:rsidRDefault="00AB379C" w:rsidP="007055F6">
            <w:pPr>
              <w:jc w:val="center"/>
              <w:rPr>
                <w:rFonts w:eastAsia="Times New Roman" w:cstheme="minorHAnsi"/>
                <w:b/>
                <w:bCs/>
                <w:lang w:bidi="ar-SA"/>
              </w:rPr>
            </w:pPr>
            <w:r w:rsidRPr="002D6581">
              <w:rPr>
                <w:rFonts w:cstheme="minorHAnsi"/>
                <w:b/>
                <w:bCs/>
              </w:rPr>
              <w:t>20.26</w:t>
            </w:r>
          </w:p>
        </w:tc>
        <w:tc>
          <w:tcPr>
            <w:tcW w:w="343" w:type="pct"/>
            <w:shd w:val="clear" w:color="000000" w:fill="FFFFFF"/>
            <w:vAlign w:val="center"/>
          </w:tcPr>
          <w:p w14:paraId="11B33059"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22528A12"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53878FCE" w14:textId="77777777" w:rsidR="00AB379C" w:rsidRPr="002D6581" w:rsidRDefault="00AB379C" w:rsidP="007055F6">
            <w:pPr>
              <w:jc w:val="center"/>
              <w:rPr>
                <w:rFonts w:eastAsia="Times New Roman" w:cstheme="minorHAnsi"/>
                <w:lang w:bidi="ar-SA"/>
              </w:rPr>
            </w:pPr>
            <w:r w:rsidRPr="002D6581">
              <w:rPr>
                <w:rFonts w:cstheme="minorHAnsi"/>
              </w:rPr>
              <w:t>18.13</w:t>
            </w:r>
          </w:p>
        </w:tc>
        <w:tc>
          <w:tcPr>
            <w:tcW w:w="406" w:type="pct"/>
            <w:shd w:val="clear" w:color="000000" w:fill="FFFFFF"/>
            <w:vAlign w:val="center"/>
          </w:tcPr>
          <w:p w14:paraId="12A4C5AE"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000000" w:fill="FFFFFF"/>
            <w:vAlign w:val="center"/>
          </w:tcPr>
          <w:p w14:paraId="564050A4" w14:textId="77777777" w:rsidR="00AB379C" w:rsidRPr="002D6581" w:rsidRDefault="00AB379C" w:rsidP="007055F6">
            <w:pPr>
              <w:jc w:val="center"/>
              <w:rPr>
                <w:rFonts w:eastAsia="Times New Roman" w:cstheme="minorHAnsi"/>
                <w:lang w:bidi="ar-SA"/>
              </w:rPr>
            </w:pPr>
            <w:r w:rsidRPr="002D6581">
              <w:rPr>
                <w:rFonts w:cstheme="minorHAnsi"/>
              </w:rPr>
              <w:t>16.69</w:t>
            </w:r>
          </w:p>
        </w:tc>
        <w:tc>
          <w:tcPr>
            <w:tcW w:w="343" w:type="pct"/>
            <w:shd w:val="clear" w:color="000000" w:fill="FFFFFF"/>
            <w:vAlign w:val="center"/>
          </w:tcPr>
          <w:p w14:paraId="7C6298C3"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535" w:type="pct"/>
            <w:shd w:val="clear" w:color="000000" w:fill="FFFFFF"/>
            <w:vAlign w:val="center"/>
          </w:tcPr>
          <w:p w14:paraId="6D8B745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1397EF0" w14:textId="77777777" w:rsidTr="002D6581">
        <w:trPr>
          <w:cantSplit/>
          <w:trHeight w:val="144"/>
        </w:trPr>
        <w:tc>
          <w:tcPr>
            <w:tcW w:w="286" w:type="pct"/>
            <w:shd w:val="clear" w:color="auto" w:fill="FFFFFF" w:themeFill="background1"/>
            <w:vAlign w:val="center"/>
          </w:tcPr>
          <w:p w14:paraId="4D1780A5"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9AF1B80" w14:textId="3A5495A4"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AMBA: Emergency Department Visits/1</w:t>
            </w:r>
            <w:r w:rsidR="00674C05">
              <w:rPr>
                <w:rFonts w:eastAsia="Times New Roman" w:cstheme="minorHAnsi"/>
                <w:lang w:bidi="ar-SA"/>
              </w:rPr>
              <w:t>,</w:t>
            </w:r>
            <w:r w:rsidRPr="002D6581">
              <w:rPr>
                <w:rFonts w:eastAsia="Times New Roman" w:cstheme="minorHAnsi"/>
                <w:lang w:bidi="ar-SA"/>
              </w:rPr>
              <w:t>000 MM Ages &lt;1—19 years Total Rate</w:t>
            </w:r>
          </w:p>
        </w:tc>
        <w:tc>
          <w:tcPr>
            <w:tcW w:w="312" w:type="pct"/>
            <w:shd w:val="clear" w:color="auto" w:fill="auto"/>
            <w:vAlign w:val="center"/>
          </w:tcPr>
          <w:p w14:paraId="6DBEC401" w14:textId="77777777" w:rsidR="00AB379C" w:rsidRPr="002D6581" w:rsidRDefault="00AB379C" w:rsidP="007055F6">
            <w:pPr>
              <w:jc w:val="center"/>
              <w:rPr>
                <w:rFonts w:eastAsia="Times New Roman" w:cstheme="minorHAnsi"/>
                <w:lang w:bidi="ar-SA"/>
              </w:rPr>
            </w:pPr>
            <w:r w:rsidRPr="002D6581">
              <w:rPr>
                <w:rFonts w:cstheme="minorHAnsi"/>
              </w:rPr>
              <w:t>398,214</w:t>
            </w:r>
          </w:p>
        </w:tc>
        <w:tc>
          <w:tcPr>
            <w:tcW w:w="281" w:type="pct"/>
            <w:shd w:val="clear" w:color="000000" w:fill="FFFFFF"/>
            <w:vAlign w:val="center"/>
          </w:tcPr>
          <w:p w14:paraId="4A7257A5" w14:textId="77777777" w:rsidR="00AB379C" w:rsidRPr="002D6581" w:rsidRDefault="00AB379C" w:rsidP="007055F6">
            <w:pPr>
              <w:jc w:val="center"/>
              <w:rPr>
                <w:rFonts w:eastAsia="Times New Roman" w:cstheme="minorHAnsi"/>
                <w:lang w:bidi="ar-SA"/>
              </w:rPr>
            </w:pPr>
            <w:r w:rsidRPr="002D6581">
              <w:rPr>
                <w:rFonts w:cstheme="minorHAnsi"/>
              </w:rPr>
              <w:t>7,804</w:t>
            </w:r>
          </w:p>
        </w:tc>
        <w:tc>
          <w:tcPr>
            <w:tcW w:w="311" w:type="pct"/>
            <w:shd w:val="clear" w:color="000000" w:fill="FFFFFF"/>
            <w:vAlign w:val="center"/>
          </w:tcPr>
          <w:p w14:paraId="1F992365" w14:textId="77777777" w:rsidR="00AB379C" w:rsidRPr="002D6581" w:rsidRDefault="00AB379C" w:rsidP="007055F6">
            <w:pPr>
              <w:jc w:val="center"/>
              <w:rPr>
                <w:rFonts w:eastAsia="Times New Roman" w:cstheme="minorHAnsi"/>
                <w:b/>
                <w:bCs/>
                <w:lang w:bidi="ar-SA"/>
              </w:rPr>
            </w:pPr>
            <w:r w:rsidRPr="002D6581">
              <w:rPr>
                <w:rFonts w:cstheme="minorHAnsi"/>
                <w:b/>
                <w:bCs/>
              </w:rPr>
              <w:t>19.60</w:t>
            </w:r>
          </w:p>
        </w:tc>
        <w:tc>
          <w:tcPr>
            <w:tcW w:w="343" w:type="pct"/>
            <w:shd w:val="clear" w:color="000000" w:fill="FFFFFF"/>
            <w:vAlign w:val="center"/>
          </w:tcPr>
          <w:p w14:paraId="50EF93FC"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120D1087"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1A3FC6B0" w14:textId="77777777" w:rsidR="00AB379C" w:rsidRPr="002D6581" w:rsidRDefault="00AB379C" w:rsidP="007055F6">
            <w:pPr>
              <w:jc w:val="center"/>
              <w:rPr>
                <w:rFonts w:eastAsia="Times New Roman" w:cstheme="minorHAnsi"/>
                <w:lang w:bidi="ar-SA"/>
              </w:rPr>
            </w:pPr>
            <w:r w:rsidRPr="002D6581">
              <w:rPr>
                <w:rFonts w:cstheme="minorHAnsi"/>
              </w:rPr>
              <w:t>18.00</w:t>
            </w:r>
          </w:p>
        </w:tc>
        <w:tc>
          <w:tcPr>
            <w:tcW w:w="406" w:type="pct"/>
            <w:shd w:val="clear" w:color="000000" w:fill="FFFFFF"/>
            <w:vAlign w:val="center"/>
          </w:tcPr>
          <w:p w14:paraId="1BB617E5"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000000" w:fill="FFFFFF"/>
            <w:vAlign w:val="center"/>
          </w:tcPr>
          <w:p w14:paraId="33BF6A62" w14:textId="77777777" w:rsidR="00AB379C" w:rsidRPr="002D6581" w:rsidRDefault="00AB379C" w:rsidP="007055F6">
            <w:pPr>
              <w:jc w:val="center"/>
              <w:rPr>
                <w:rFonts w:eastAsia="Times New Roman" w:cstheme="minorHAnsi"/>
                <w:lang w:bidi="ar-SA"/>
              </w:rPr>
            </w:pPr>
            <w:r w:rsidRPr="002D6581">
              <w:rPr>
                <w:rFonts w:cstheme="minorHAnsi"/>
              </w:rPr>
              <w:t>16.80</w:t>
            </w:r>
          </w:p>
        </w:tc>
        <w:tc>
          <w:tcPr>
            <w:tcW w:w="343" w:type="pct"/>
            <w:shd w:val="clear" w:color="000000" w:fill="FFFFFF"/>
            <w:vAlign w:val="center"/>
          </w:tcPr>
          <w:p w14:paraId="5161024C"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535" w:type="pct"/>
            <w:shd w:val="clear" w:color="000000" w:fill="FFFFFF"/>
            <w:vAlign w:val="center"/>
          </w:tcPr>
          <w:p w14:paraId="11A20F81"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55898E1" w14:textId="77777777" w:rsidTr="002D6581">
        <w:trPr>
          <w:cantSplit/>
          <w:trHeight w:val="144"/>
        </w:trPr>
        <w:tc>
          <w:tcPr>
            <w:tcW w:w="286" w:type="pct"/>
            <w:shd w:val="clear" w:color="auto" w:fill="FFFFFF" w:themeFill="background1"/>
            <w:vAlign w:val="center"/>
          </w:tcPr>
          <w:p w14:paraId="65C78411"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22279EF" w14:textId="59FD842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Total Discharges/1</w:t>
            </w:r>
            <w:r w:rsidR="00674C05">
              <w:rPr>
                <w:rFonts w:eastAsia="Times New Roman" w:cstheme="minorHAnsi"/>
                <w:lang w:bidi="ar-SA"/>
              </w:rPr>
              <w:t>,</w:t>
            </w:r>
            <w:r w:rsidRPr="002D6581">
              <w:rPr>
                <w:rFonts w:eastAsia="Times New Roman" w:cstheme="minorHAnsi"/>
                <w:lang w:bidi="ar-SA"/>
              </w:rPr>
              <w:t>000 MM Ages &lt;1 year</w:t>
            </w:r>
          </w:p>
        </w:tc>
        <w:tc>
          <w:tcPr>
            <w:tcW w:w="312" w:type="pct"/>
            <w:shd w:val="clear" w:color="auto" w:fill="auto"/>
            <w:vAlign w:val="center"/>
          </w:tcPr>
          <w:p w14:paraId="6FACA608" w14:textId="77777777" w:rsidR="00AB379C" w:rsidRPr="002D6581" w:rsidRDefault="00AB379C" w:rsidP="007055F6">
            <w:pPr>
              <w:jc w:val="center"/>
              <w:rPr>
                <w:rFonts w:eastAsia="Times New Roman" w:cstheme="minorHAnsi"/>
                <w:lang w:bidi="ar-SA"/>
              </w:rPr>
            </w:pPr>
            <w:r w:rsidRPr="002D6581">
              <w:rPr>
                <w:rFonts w:cstheme="minorHAnsi"/>
              </w:rPr>
              <w:t>5,066</w:t>
            </w:r>
          </w:p>
        </w:tc>
        <w:tc>
          <w:tcPr>
            <w:tcW w:w="281" w:type="pct"/>
            <w:shd w:val="clear" w:color="000000" w:fill="FFFFFF"/>
            <w:vAlign w:val="center"/>
          </w:tcPr>
          <w:p w14:paraId="4D6A637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05759423" w14:textId="77777777" w:rsidR="00AB379C" w:rsidRPr="002D6581" w:rsidRDefault="00AB379C" w:rsidP="007055F6">
            <w:pPr>
              <w:jc w:val="center"/>
              <w:rPr>
                <w:rFonts w:eastAsia="Times New Roman" w:cstheme="minorHAnsi"/>
                <w:b/>
                <w:bCs/>
                <w:lang w:bidi="ar-SA"/>
              </w:rPr>
            </w:pPr>
            <w:r w:rsidRPr="002D6581">
              <w:rPr>
                <w:rFonts w:cstheme="minorHAnsi"/>
                <w:b/>
                <w:bCs/>
              </w:rPr>
              <w:t>1.38</w:t>
            </w:r>
          </w:p>
        </w:tc>
        <w:tc>
          <w:tcPr>
            <w:tcW w:w="343" w:type="pct"/>
            <w:shd w:val="clear" w:color="000000" w:fill="FFFFFF"/>
            <w:vAlign w:val="center"/>
          </w:tcPr>
          <w:p w14:paraId="0AC0AB08"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1C6DFABF"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423924A3" w14:textId="77777777" w:rsidR="00AB379C" w:rsidRPr="002D6581" w:rsidRDefault="00AB379C" w:rsidP="007055F6">
            <w:pPr>
              <w:jc w:val="center"/>
              <w:rPr>
                <w:rFonts w:eastAsia="Times New Roman" w:cstheme="minorHAnsi"/>
                <w:lang w:bidi="ar-SA"/>
              </w:rPr>
            </w:pPr>
            <w:r w:rsidRPr="002D6581">
              <w:rPr>
                <w:rFonts w:cstheme="minorHAnsi"/>
              </w:rPr>
              <w:t>3.96</w:t>
            </w:r>
          </w:p>
        </w:tc>
        <w:tc>
          <w:tcPr>
            <w:tcW w:w="406" w:type="pct"/>
            <w:shd w:val="clear" w:color="000000" w:fill="FFFFFF"/>
            <w:vAlign w:val="center"/>
          </w:tcPr>
          <w:p w14:paraId="253F6459"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BF969B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A59AB4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D0DCC04"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6D29BD1" w14:textId="77777777" w:rsidTr="002D6581">
        <w:trPr>
          <w:cantSplit/>
          <w:trHeight w:val="144"/>
        </w:trPr>
        <w:tc>
          <w:tcPr>
            <w:tcW w:w="286" w:type="pct"/>
            <w:shd w:val="clear" w:color="auto" w:fill="FFFFFF" w:themeFill="background1"/>
            <w:vAlign w:val="center"/>
          </w:tcPr>
          <w:p w14:paraId="62EDF15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D515FEA" w14:textId="6DC3A242"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Total Discharges/1</w:t>
            </w:r>
            <w:r w:rsidR="00674C05">
              <w:rPr>
                <w:rFonts w:eastAsia="Times New Roman" w:cstheme="minorHAnsi"/>
                <w:lang w:bidi="ar-SA"/>
              </w:rPr>
              <w:t>,</w:t>
            </w:r>
            <w:r w:rsidRPr="002D6581">
              <w:rPr>
                <w:rFonts w:eastAsia="Times New Roman" w:cstheme="minorHAnsi"/>
                <w:lang w:bidi="ar-SA"/>
              </w:rPr>
              <w:t>000 MM Ages 1—9 years</w:t>
            </w:r>
          </w:p>
        </w:tc>
        <w:tc>
          <w:tcPr>
            <w:tcW w:w="312" w:type="pct"/>
            <w:shd w:val="clear" w:color="auto" w:fill="auto"/>
            <w:vAlign w:val="center"/>
          </w:tcPr>
          <w:p w14:paraId="15D979C3" w14:textId="77777777" w:rsidR="00AB379C" w:rsidRPr="002D6581" w:rsidRDefault="00AB379C" w:rsidP="007055F6">
            <w:pPr>
              <w:jc w:val="center"/>
              <w:rPr>
                <w:rFonts w:eastAsia="Times New Roman" w:cstheme="minorHAnsi"/>
                <w:lang w:bidi="ar-SA"/>
              </w:rPr>
            </w:pPr>
            <w:r w:rsidRPr="002D6581">
              <w:rPr>
                <w:rFonts w:cstheme="minorHAnsi"/>
              </w:rPr>
              <w:t>165,314</w:t>
            </w:r>
          </w:p>
        </w:tc>
        <w:tc>
          <w:tcPr>
            <w:tcW w:w="281" w:type="pct"/>
            <w:shd w:val="clear" w:color="000000" w:fill="FFFFFF"/>
            <w:vAlign w:val="center"/>
          </w:tcPr>
          <w:p w14:paraId="5320FAF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3347C5DF" w14:textId="77777777" w:rsidR="00AB379C" w:rsidRPr="002D6581" w:rsidRDefault="00AB379C" w:rsidP="007055F6">
            <w:pPr>
              <w:jc w:val="center"/>
              <w:rPr>
                <w:rFonts w:eastAsia="Times New Roman" w:cstheme="minorHAnsi"/>
                <w:b/>
                <w:bCs/>
                <w:lang w:bidi="ar-SA"/>
              </w:rPr>
            </w:pPr>
            <w:r w:rsidRPr="002D6581">
              <w:rPr>
                <w:rFonts w:cstheme="minorHAnsi"/>
                <w:b/>
                <w:bCs/>
              </w:rPr>
              <w:t>0.45</w:t>
            </w:r>
          </w:p>
        </w:tc>
        <w:tc>
          <w:tcPr>
            <w:tcW w:w="343" w:type="pct"/>
            <w:shd w:val="clear" w:color="000000" w:fill="FFFFFF"/>
            <w:vAlign w:val="center"/>
          </w:tcPr>
          <w:p w14:paraId="637EB914" w14:textId="77777777" w:rsidR="00AB379C" w:rsidRPr="002D6581" w:rsidRDefault="00AB379C" w:rsidP="007055F6">
            <w:pPr>
              <w:jc w:val="center"/>
              <w:rPr>
                <w:rFonts w:eastAsia="Times New Roman" w:cstheme="minorHAnsi"/>
                <w:lang w:bidi="ar-SA"/>
              </w:rPr>
            </w:pPr>
            <w:r w:rsidRPr="002D6581">
              <w:rPr>
                <w:rFonts w:cstheme="minorHAnsi"/>
              </w:rPr>
              <w:t>44.8%</w:t>
            </w:r>
          </w:p>
        </w:tc>
        <w:tc>
          <w:tcPr>
            <w:tcW w:w="375" w:type="pct"/>
            <w:shd w:val="clear" w:color="000000" w:fill="FFFFFF"/>
            <w:vAlign w:val="center"/>
          </w:tcPr>
          <w:p w14:paraId="0F8F0F88" w14:textId="77777777" w:rsidR="00AB379C" w:rsidRPr="002D6581" w:rsidRDefault="00AB379C" w:rsidP="007055F6">
            <w:pPr>
              <w:jc w:val="center"/>
              <w:rPr>
                <w:rFonts w:eastAsia="Times New Roman" w:cstheme="minorHAnsi"/>
                <w:lang w:bidi="ar-SA"/>
              </w:rPr>
            </w:pPr>
            <w:r w:rsidRPr="002D6581">
              <w:rPr>
                <w:rFonts w:cstheme="minorHAnsi"/>
              </w:rPr>
              <w:t>45.2%</w:t>
            </w:r>
          </w:p>
        </w:tc>
        <w:tc>
          <w:tcPr>
            <w:tcW w:w="405" w:type="pct"/>
            <w:shd w:val="clear" w:color="000000" w:fill="FFFFFF"/>
            <w:vAlign w:val="center"/>
          </w:tcPr>
          <w:p w14:paraId="7E539105" w14:textId="77777777" w:rsidR="00AB379C" w:rsidRPr="002D6581" w:rsidRDefault="00AB379C" w:rsidP="007055F6">
            <w:pPr>
              <w:jc w:val="center"/>
              <w:rPr>
                <w:rFonts w:eastAsia="Times New Roman" w:cstheme="minorHAnsi"/>
                <w:lang w:bidi="ar-SA"/>
              </w:rPr>
            </w:pPr>
            <w:r w:rsidRPr="002D6581">
              <w:rPr>
                <w:rFonts w:cstheme="minorHAnsi"/>
              </w:rPr>
              <w:t>0.61</w:t>
            </w:r>
          </w:p>
        </w:tc>
        <w:tc>
          <w:tcPr>
            <w:tcW w:w="406" w:type="pct"/>
            <w:shd w:val="clear" w:color="000000" w:fill="FFFFFF"/>
            <w:vAlign w:val="center"/>
          </w:tcPr>
          <w:p w14:paraId="66EF6AFE"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9E88DF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99BABC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418CF3A"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581E2DA1" w14:textId="77777777" w:rsidTr="002D6581">
        <w:trPr>
          <w:cantSplit/>
          <w:trHeight w:val="144"/>
        </w:trPr>
        <w:tc>
          <w:tcPr>
            <w:tcW w:w="286" w:type="pct"/>
            <w:shd w:val="clear" w:color="auto" w:fill="FFFFFF" w:themeFill="background1"/>
            <w:vAlign w:val="center"/>
          </w:tcPr>
          <w:p w14:paraId="38B08029"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6317990" w14:textId="0534B2DE"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Total Discharges/1</w:t>
            </w:r>
            <w:r w:rsidR="00674C05">
              <w:rPr>
                <w:rFonts w:eastAsia="Times New Roman" w:cstheme="minorHAnsi"/>
                <w:lang w:bidi="ar-SA"/>
              </w:rPr>
              <w:t>,</w:t>
            </w:r>
            <w:r w:rsidRPr="002D6581">
              <w:rPr>
                <w:rFonts w:eastAsia="Times New Roman" w:cstheme="minorHAnsi"/>
                <w:lang w:bidi="ar-SA"/>
              </w:rPr>
              <w:t>000 MM Ages 10—19 years</w:t>
            </w:r>
          </w:p>
        </w:tc>
        <w:tc>
          <w:tcPr>
            <w:tcW w:w="312" w:type="pct"/>
            <w:shd w:val="clear" w:color="auto" w:fill="auto"/>
            <w:vAlign w:val="center"/>
          </w:tcPr>
          <w:p w14:paraId="13116CE5" w14:textId="77777777" w:rsidR="00AB379C" w:rsidRPr="002D6581" w:rsidRDefault="00AB379C" w:rsidP="007055F6">
            <w:pPr>
              <w:jc w:val="center"/>
              <w:rPr>
                <w:rFonts w:eastAsia="Times New Roman" w:cstheme="minorHAnsi"/>
                <w:lang w:bidi="ar-SA"/>
              </w:rPr>
            </w:pPr>
            <w:r w:rsidRPr="002D6581">
              <w:rPr>
                <w:rFonts w:cstheme="minorHAnsi"/>
              </w:rPr>
              <w:t>227,826</w:t>
            </w:r>
          </w:p>
        </w:tc>
        <w:tc>
          <w:tcPr>
            <w:tcW w:w="281" w:type="pct"/>
            <w:shd w:val="clear" w:color="000000" w:fill="FFFFFF"/>
            <w:vAlign w:val="center"/>
          </w:tcPr>
          <w:p w14:paraId="1E8B500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6189F748" w14:textId="77777777" w:rsidR="00AB379C" w:rsidRPr="002D6581" w:rsidRDefault="00AB379C" w:rsidP="007055F6">
            <w:pPr>
              <w:jc w:val="center"/>
              <w:rPr>
                <w:rFonts w:eastAsia="Times New Roman" w:cstheme="minorHAnsi"/>
                <w:b/>
                <w:bCs/>
                <w:lang w:bidi="ar-SA"/>
              </w:rPr>
            </w:pPr>
            <w:r w:rsidRPr="002D6581">
              <w:rPr>
                <w:rFonts w:cstheme="minorHAnsi"/>
                <w:b/>
                <w:bCs/>
              </w:rPr>
              <w:t>0.77</w:t>
            </w:r>
          </w:p>
        </w:tc>
        <w:tc>
          <w:tcPr>
            <w:tcW w:w="343" w:type="pct"/>
            <w:shd w:val="clear" w:color="000000" w:fill="FFFFFF"/>
            <w:vAlign w:val="center"/>
          </w:tcPr>
          <w:p w14:paraId="04E05DBA" w14:textId="77777777" w:rsidR="00AB379C" w:rsidRPr="002D6581" w:rsidRDefault="00AB379C" w:rsidP="007055F6">
            <w:pPr>
              <w:jc w:val="center"/>
              <w:rPr>
                <w:rFonts w:eastAsia="Times New Roman" w:cstheme="minorHAnsi"/>
                <w:lang w:bidi="ar-SA"/>
              </w:rPr>
            </w:pPr>
            <w:r w:rsidRPr="002D6581">
              <w:rPr>
                <w:rFonts w:cstheme="minorHAnsi"/>
              </w:rPr>
              <w:t>76.8%</w:t>
            </w:r>
          </w:p>
        </w:tc>
        <w:tc>
          <w:tcPr>
            <w:tcW w:w="375" w:type="pct"/>
            <w:shd w:val="clear" w:color="000000" w:fill="FFFFFF"/>
            <w:vAlign w:val="center"/>
          </w:tcPr>
          <w:p w14:paraId="2E785082" w14:textId="77777777" w:rsidR="00AB379C" w:rsidRPr="002D6581" w:rsidRDefault="00AB379C" w:rsidP="007055F6">
            <w:pPr>
              <w:jc w:val="center"/>
              <w:rPr>
                <w:rFonts w:eastAsia="Times New Roman" w:cstheme="minorHAnsi"/>
                <w:lang w:bidi="ar-SA"/>
              </w:rPr>
            </w:pPr>
            <w:r w:rsidRPr="002D6581">
              <w:rPr>
                <w:rFonts w:cstheme="minorHAnsi"/>
              </w:rPr>
              <w:t>77.2%</w:t>
            </w:r>
          </w:p>
        </w:tc>
        <w:tc>
          <w:tcPr>
            <w:tcW w:w="405" w:type="pct"/>
            <w:shd w:val="clear" w:color="000000" w:fill="FFFFFF"/>
            <w:vAlign w:val="center"/>
          </w:tcPr>
          <w:p w14:paraId="58B55DF2" w14:textId="77777777" w:rsidR="00AB379C" w:rsidRPr="002D6581" w:rsidRDefault="00AB379C" w:rsidP="007055F6">
            <w:pPr>
              <w:jc w:val="center"/>
              <w:rPr>
                <w:rFonts w:eastAsia="Times New Roman" w:cstheme="minorHAnsi"/>
                <w:lang w:bidi="ar-SA"/>
              </w:rPr>
            </w:pPr>
            <w:r w:rsidRPr="002D6581">
              <w:rPr>
                <w:rFonts w:cstheme="minorHAnsi"/>
              </w:rPr>
              <w:t>0.83</w:t>
            </w:r>
          </w:p>
        </w:tc>
        <w:tc>
          <w:tcPr>
            <w:tcW w:w="406" w:type="pct"/>
            <w:shd w:val="clear" w:color="000000" w:fill="FFFFFF"/>
            <w:vAlign w:val="center"/>
          </w:tcPr>
          <w:p w14:paraId="40E1FB22"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386C289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85EB9A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505BC85"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378E574" w14:textId="77777777" w:rsidTr="002D6581">
        <w:trPr>
          <w:cantSplit/>
          <w:trHeight w:val="144"/>
        </w:trPr>
        <w:tc>
          <w:tcPr>
            <w:tcW w:w="286" w:type="pct"/>
            <w:shd w:val="clear" w:color="auto" w:fill="FFFFFF" w:themeFill="background1"/>
            <w:vAlign w:val="center"/>
          </w:tcPr>
          <w:p w14:paraId="18C9683C"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1B08B1C" w14:textId="1B6F5F81"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Total Discharges/1</w:t>
            </w:r>
            <w:r w:rsidR="00674C05">
              <w:rPr>
                <w:rFonts w:eastAsia="Times New Roman" w:cstheme="minorHAnsi"/>
                <w:lang w:bidi="ar-SA"/>
              </w:rPr>
              <w:t>,</w:t>
            </w:r>
            <w:r w:rsidRPr="002D6581">
              <w:rPr>
                <w:rFonts w:eastAsia="Times New Roman" w:cstheme="minorHAnsi"/>
                <w:lang w:bidi="ar-SA"/>
              </w:rPr>
              <w:t>000 MM Ages &lt;</w:t>
            </w:r>
            <w:r w:rsidR="00674C05">
              <w:rPr>
                <w:rFonts w:eastAsia="Times New Roman" w:cstheme="minorHAnsi"/>
                <w:lang w:bidi="ar-SA"/>
              </w:rPr>
              <w:t xml:space="preserve"> </w:t>
            </w:r>
            <w:r w:rsidRPr="002D6581">
              <w:rPr>
                <w:rFonts w:eastAsia="Times New Roman" w:cstheme="minorHAnsi"/>
                <w:lang w:bidi="ar-SA"/>
              </w:rPr>
              <w:t>1—19 years Total Rate</w:t>
            </w:r>
          </w:p>
        </w:tc>
        <w:tc>
          <w:tcPr>
            <w:tcW w:w="312" w:type="pct"/>
            <w:shd w:val="clear" w:color="auto" w:fill="auto"/>
            <w:vAlign w:val="center"/>
          </w:tcPr>
          <w:p w14:paraId="6CD56552" w14:textId="77777777" w:rsidR="00AB379C" w:rsidRPr="002D6581" w:rsidRDefault="00AB379C" w:rsidP="007055F6">
            <w:pPr>
              <w:jc w:val="center"/>
              <w:rPr>
                <w:rFonts w:eastAsia="Times New Roman" w:cstheme="minorHAnsi"/>
                <w:lang w:bidi="ar-SA"/>
              </w:rPr>
            </w:pPr>
            <w:r w:rsidRPr="002D6581">
              <w:rPr>
                <w:rFonts w:cstheme="minorHAnsi"/>
              </w:rPr>
              <w:t>398,214</w:t>
            </w:r>
          </w:p>
        </w:tc>
        <w:tc>
          <w:tcPr>
            <w:tcW w:w="281" w:type="pct"/>
            <w:shd w:val="clear" w:color="000000" w:fill="FFFFFF"/>
            <w:vAlign w:val="center"/>
          </w:tcPr>
          <w:p w14:paraId="519CE4D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0B02F13B" w14:textId="77777777" w:rsidR="00AB379C" w:rsidRPr="002D6581" w:rsidRDefault="00AB379C" w:rsidP="007055F6">
            <w:pPr>
              <w:jc w:val="center"/>
              <w:rPr>
                <w:rFonts w:eastAsia="Times New Roman" w:cstheme="minorHAnsi"/>
                <w:b/>
                <w:bCs/>
                <w:lang w:bidi="ar-SA"/>
              </w:rPr>
            </w:pPr>
            <w:r w:rsidRPr="002D6581">
              <w:rPr>
                <w:rFonts w:cstheme="minorHAnsi"/>
                <w:b/>
                <w:bCs/>
              </w:rPr>
              <w:t>0.65</w:t>
            </w:r>
          </w:p>
        </w:tc>
        <w:tc>
          <w:tcPr>
            <w:tcW w:w="343" w:type="pct"/>
            <w:shd w:val="clear" w:color="000000" w:fill="FFFFFF"/>
            <w:vAlign w:val="center"/>
          </w:tcPr>
          <w:p w14:paraId="0AED2CF8" w14:textId="77777777" w:rsidR="00AB379C" w:rsidRPr="002D6581" w:rsidRDefault="00AB379C" w:rsidP="007055F6">
            <w:pPr>
              <w:jc w:val="center"/>
              <w:rPr>
                <w:rFonts w:eastAsia="Times New Roman" w:cstheme="minorHAnsi"/>
                <w:lang w:bidi="ar-SA"/>
              </w:rPr>
            </w:pPr>
            <w:r w:rsidRPr="002D6581">
              <w:rPr>
                <w:rFonts w:cstheme="minorHAnsi"/>
              </w:rPr>
              <w:t>64.9%</w:t>
            </w:r>
          </w:p>
        </w:tc>
        <w:tc>
          <w:tcPr>
            <w:tcW w:w="375" w:type="pct"/>
            <w:shd w:val="clear" w:color="000000" w:fill="FFFFFF"/>
            <w:vAlign w:val="center"/>
          </w:tcPr>
          <w:p w14:paraId="47E2D2FA" w14:textId="77777777" w:rsidR="00AB379C" w:rsidRPr="002D6581" w:rsidRDefault="00AB379C" w:rsidP="007055F6">
            <w:pPr>
              <w:jc w:val="center"/>
              <w:rPr>
                <w:rFonts w:eastAsia="Times New Roman" w:cstheme="minorHAnsi"/>
                <w:lang w:bidi="ar-SA"/>
              </w:rPr>
            </w:pPr>
            <w:r w:rsidRPr="002D6581">
              <w:rPr>
                <w:rFonts w:cstheme="minorHAnsi"/>
              </w:rPr>
              <w:t>65.1%</w:t>
            </w:r>
          </w:p>
        </w:tc>
        <w:tc>
          <w:tcPr>
            <w:tcW w:w="405" w:type="pct"/>
            <w:shd w:val="clear" w:color="000000" w:fill="FFFFFF"/>
            <w:vAlign w:val="center"/>
          </w:tcPr>
          <w:p w14:paraId="63C49317" w14:textId="77777777" w:rsidR="00AB379C" w:rsidRPr="002D6581" w:rsidRDefault="00AB379C" w:rsidP="007055F6">
            <w:pPr>
              <w:jc w:val="center"/>
              <w:rPr>
                <w:rFonts w:eastAsia="Times New Roman" w:cstheme="minorHAnsi"/>
                <w:lang w:bidi="ar-SA"/>
              </w:rPr>
            </w:pPr>
            <w:r w:rsidRPr="002D6581">
              <w:rPr>
                <w:rFonts w:cstheme="minorHAnsi"/>
              </w:rPr>
              <w:t>0.77</w:t>
            </w:r>
          </w:p>
        </w:tc>
        <w:tc>
          <w:tcPr>
            <w:tcW w:w="406" w:type="pct"/>
            <w:shd w:val="clear" w:color="000000" w:fill="FFFFFF"/>
            <w:vAlign w:val="center"/>
          </w:tcPr>
          <w:p w14:paraId="074BC422"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0AFF99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A07A46B"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23B996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60B8B3F" w14:textId="77777777" w:rsidTr="002D6581">
        <w:trPr>
          <w:cantSplit/>
          <w:trHeight w:val="144"/>
        </w:trPr>
        <w:tc>
          <w:tcPr>
            <w:tcW w:w="286" w:type="pct"/>
            <w:shd w:val="clear" w:color="auto" w:fill="FFFFFF" w:themeFill="background1"/>
            <w:vAlign w:val="center"/>
          </w:tcPr>
          <w:p w14:paraId="20074F3C"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3777E32" w14:textId="1AAF93E2"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Total Inpatient ALOS Ages &lt;</w:t>
            </w:r>
            <w:r w:rsidR="00674C05">
              <w:rPr>
                <w:rFonts w:eastAsia="Times New Roman" w:cstheme="minorHAnsi"/>
                <w:lang w:bidi="ar-SA"/>
              </w:rPr>
              <w:t xml:space="preserve"> </w:t>
            </w:r>
            <w:r w:rsidRPr="002D6581">
              <w:rPr>
                <w:rFonts w:eastAsia="Times New Roman" w:cstheme="minorHAnsi"/>
                <w:lang w:bidi="ar-SA"/>
              </w:rPr>
              <w:t>1 year</w:t>
            </w:r>
          </w:p>
        </w:tc>
        <w:tc>
          <w:tcPr>
            <w:tcW w:w="312" w:type="pct"/>
            <w:shd w:val="clear" w:color="auto" w:fill="auto"/>
            <w:vAlign w:val="center"/>
          </w:tcPr>
          <w:p w14:paraId="2A31365B"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3CFF140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20AF4720" w14:textId="77777777" w:rsidR="00AB379C" w:rsidRPr="002D6581" w:rsidRDefault="00AB379C" w:rsidP="007055F6">
            <w:pPr>
              <w:jc w:val="center"/>
              <w:rPr>
                <w:rFonts w:eastAsia="Times New Roman" w:cstheme="minorHAnsi"/>
                <w:b/>
                <w:bCs/>
                <w:lang w:bidi="ar-SA"/>
              </w:rPr>
            </w:pPr>
            <w:r w:rsidRPr="002D6581">
              <w:rPr>
                <w:rFonts w:cstheme="minorHAnsi"/>
                <w:b/>
                <w:bCs/>
              </w:rPr>
              <w:t>2.00</w:t>
            </w:r>
          </w:p>
        </w:tc>
        <w:tc>
          <w:tcPr>
            <w:tcW w:w="343" w:type="pct"/>
            <w:shd w:val="clear" w:color="000000" w:fill="FFFFFF"/>
            <w:vAlign w:val="center"/>
          </w:tcPr>
          <w:p w14:paraId="7F486B84"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18519F71"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0E5E6887" w14:textId="77777777" w:rsidR="00AB379C" w:rsidRPr="002D6581" w:rsidRDefault="00AB379C" w:rsidP="007055F6">
            <w:pPr>
              <w:jc w:val="center"/>
              <w:rPr>
                <w:rFonts w:eastAsia="Times New Roman" w:cstheme="minorHAnsi"/>
                <w:lang w:bidi="ar-SA"/>
              </w:rPr>
            </w:pPr>
            <w:r w:rsidRPr="002D6581">
              <w:rPr>
                <w:rFonts w:cstheme="minorHAnsi"/>
              </w:rPr>
              <w:t>2.29</w:t>
            </w:r>
          </w:p>
        </w:tc>
        <w:tc>
          <w:tcPr>
            <w:tcW w:w="406" w:type="pct"/>
            <w:shd w:val="clear" w:color="000000" w:fill="FFFFFF"/>
            <w:vAlign w:val="center"/>
          </w:tcPr>
          <w:p w14:paraId="56DCB88A"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6CA07A7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388375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BC029AB"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A6B9816" w14:textId="77777777" w:rsidTr="002D6581">
        <w:trPr>
          <w:cantSplit/>
          <w:trHeight w:val="144"/>
        </w:trPr>
        <w:tc>
          <w:tcPr>
            <w:tcW w:w="286" w:type="pct"/>
            <w:shd w:val="clear" w:color="auto" w:fill="FFFFFF" w:themeFill="background1"/>
            <w:vAlign w:val="center"/>
          </w:tcPr>
          <w:p w14:paraId="53E9A8C2"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5FBEF25"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Total Inpatient ALOS Ages 1—9 Years</w:t>
            </w:r>
          </w:p>
        </w:tc>
        <w:tc>
          <w:tcPr>
            <w:tcW w:w="312" w:type="pct"/>
            <w:shd w:val="clear" w:color="auto" w:fill="auto"/>
            <w:vAlign w:val="center"/>
          </w:tcPr>
          <w:p w14:paraId="6D12420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707BA30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5229AB31" w14:textId="77777777" w:rsidR="00AB379C" w:rsidRPr="002D6581" w:rsidRDefault="00AB379C" w:rsidP="007055F6">
            <w:pPr>
              <w:jc w:val="center"/>
              <w:rPr>
                <w:rFonts w:eastAsia="Times New Roman" w:cstheme="minorHAnsi"/>
                <w:b/>
                <w:bCs/>
                <w:lang w:bidi="ar-SA"/>
              </w:rPr>
            </w:pPr>
            <w:r w:rsidRPr="002D6581">
              <w:rPr>
                <w:rFonts w:cstheme="minorHAnsi"/>
                <w:b/>
                <w:bCs/>
              </w:rPr>
              <w:t>1.97</w:t>
            </w:r>
          </w:p>
        </w:tc>
        <w:tc>
          <w:tcPr>
            <w:tcW w:w="343" w:type="pct"/>
            <w:shd w:val="clear" w:color="000000" w:fill="FFFFFF"/>
            <w:vAlign w:val="center"/>
          </w:tcPr>
          <w:p w14:paraId="23994F71"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4B897752"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73B35363" w14:textId="77777777" w:rsidR="00AB379C" w:rsidRPr="002D6581" w:rsidRDefault="00AB379C" w:rsidP="007055F6">
            <w:pPr>
              <w:jc w:val="center"/>
              <w:rPr>
                <w:rFonts w:eastAsia="Times New Roman" w:cstheme="minorHAnsi"/>
                <w:lang w:bidi="ar-SA"/>
              </w:rPr>
            </w:pPr>
            <w:r w:rsidRPr="002D6581">
              <w:rPr>
                <w:rFonts w:cstheme="minorHAnsi"/>
              </w:rPr>
              <w:t>2.46</w:t>
            </w:r>
          </w:p>
        </w:tc>
        <w:tc>
          <w:tcPr>
            <w:tcW w:w="406" w:type="pct"/>
            <w:shd w:val="clear" w:color="000000" w:fill="FFFFFF"/>
            <w:vAlign w:val="center"/>
          </w:tcPr>
          <w:p w14:paraId="4192EB8F"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3C63AAA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697DE5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B3925CB"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F4F83F5" w14:textId="77777777" w:rsidTr="002D6581">
        <w:trPr>
          <w:cantSplit/>
          <w:trHeight w:val="144"/>
        </w:trPr>
        <w:tc>
          <w:tcPr>
            <w:tcW w:w="286" w:type="pct"/>
            <w:shd w:val="clear" w:color="auto" w:fill="FFFFFF" w:themeFill="background1"/>
            <w:vAlign w:val="center"/>
          </w:tcPr>
          <w:p w14:paraId="0CB67ECE"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02B4D39"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Total Inpatient ALOS Ages 10—19 years</w:t>
            </w:r>
          </w:p>
        </w:tc>
        <w:tc>
          <w:tcPr>
            <w:tcW w:w="312" w:type="pct"/>
            <w:shd w:val="clear" w:color="auto" w:fill="auto"/>
            <w:vAlign w:val="center"/>
          </w:tcPr>
          <w:p w14:paraId="283E59E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7B0ABBD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65D61727" w14:textId="77777777" w:rsidR="00AB379C" w:rsidRPr="002D6581" w:rsidRDefault="00AB379C" w:rsidP="007055F6">
            <w:pPr>
              <w:jc w:val="center"/>
              <w:rPr>
                <w:rFonts w:eastAsia="Times New Roman" w:cstheme="minorHAnsi"/>
                <w:b/>
                <w:bCs/>
                <w:lang w:bidi="ar-SA"/>
              </w:rPr>
            </w:pPr>
            <w:r w:rsidRPr="002D6581">
              <w:rPr>
                <w:rFonts w:cstheme="minorHAnsi"/>
                <w:b/>
                <w:bCs/>
              </w:rPr>
              <w:t>3.41</w:t>
            </w:r>
          </w:p>
        </w:tc>
        <w:tc>
          <w:tcPr>
            <w:tcW w:w="343" w:type="pct"/>
            <w:shd w:val="clear" w:color="000000" w:fill="FFFFFF"/>
            <w:vAlign w:val="center"/>
          </w:tcPr>
          <w:p w14:paraId="61431566"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6598C8E9"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31609133" w14:textId="77777777" w:rsidR="00AB379C" w:rsidRPr="002D6581" w:rsidRDefault="00AB379C" w:rsidP="007055F6">
            <w:pPr>
              <w:jc w:val="center"/>
              <w:rPr>
                <w:rFonts w:eastAsia="Times New Roman" w:cstheme="minorHAnsi"/>
                <w:lang w:bidi="ar-SA"/>
              </w:rPr>
            </w:pPr>
            <w:r w:rsidRPr="002D6581">
              <w:rPr>
                <w:rFonts w:cstheme="minorHAnsi"/>
              </w:rPr>
              <w:t>3.53</w:t>
            </w:r>
          </w:p>
        </w:tc>
        <w:tc>
          <w:tcPr>
            <w:tcW w:w="406" w:type="pct"/>
            <w:shd w:val="clear" w:color="000000" w:fill="FFFFFF"/>
            <w:vAlign w:val="center"/>
          </w:tcPr>
          <w:p w14:paraId="60AF2359"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39EBF4A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C15BD6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90EFEB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87C79A8" w14:textId="77777777" w:rsidTr="002D6581">
        <w:trPr>
          <w:cantSplit/>
          <w:trHeight w:val="144"/>
        </w:trPr>
        <w:tc>
          <w:tcPr>
            <w:tcW w:w="286" w:type="pct"/>
            <w:shd w:val="clear" w:color="auto" w:fill="FFFFFF" w:themeFill="background1"/>
            <w:vAlign w:val="center"/>
          </w:tcPr>
          <w:p w14:paraId="18862C0B"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E5453E5" w14:textId="5CC90B88"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Total Inpatient ALOS Ages &lt;</w:t>
            </w:r>
            <w:r w:rsidR="00674C05">
              <w:rPr>
                <w:rFonts w:eastAsia="Times New Roman" w:cstheme="minorHAnsi"/>
                <w:lang w:bidi="ar-SA"/>
              </w:rPr>
              <w:t xml:space="preserve"> </w:t>
            </w:r>
            <w:r w:rsidRPr="002D6581">
              <w:rPr>
                <w:rFonts w:eastAsia="Times New Roman" w:cstheme="minorHAnsi"/>
                <w:lang w:bidi="ar-SA"/>
              </w:rPr>
              <w:t>1—19 years Total Rate</w:t>
            </w:r>
          </w:p>
        </w:tc>
        <w:tc>
          <w:tcPr>
            <w:tcW w:w="312" w:type="pct"/>
            <w:shd w:val="clear" w:color="auto" w:fill="auto"/>
            <w:vAlign w:val="center"/>
          </w:tcPr>
          <w:p w14:paraId="3423775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4FA64E4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3A14BA94" w14:textId="77777777" w:rsidR="00AB379C" w:rsidRPr="002D6581" w:rsidRDefault="00AB379C" w:rsidP="007055F6">
            <w:pPr>
              <w:jc w:val="center"/>
              <w:rPr>
                <w:rFonts w:eastAsia="Times New Roman" w:cstheme="minorHAnsi"/>
                <w:b/>
                <w:bCs/>
                <w:lang w:bidi="ar-SA"/>
              </w:rPr>
            </w:pPr>
            <w:r w:rsidRPr="002D6581">
              <w:rPr>
                <w:rFonts w:cstheme="minorHAnsi"/>
                <w:b/>
                <w:bCs/>
              </w:rPr>
              <w:t>2.96</w:t>
            </w:r>
          </w:p>
        </w:tc>
        <w:tc>
          <w:tcPr>
            <w:tcW w:w="343" w:type="pct"/>
            <w:shd w:val="clear" w:color="000000" w:fill="FFFFFF"/>
            <w:vAlign w:val="center"/>
          </w:tcPr>
          <w:p w14:paraId="484684A0"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545AC531"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394BC530" w14:textId="77777777" w:rsidR="00AB379C" w:rsidRPr="002D6581" w:rsidRDefault="00AB379C" w:rsidP="007055F6">
            <w:pPr>
              <w:jc w:val="center"/>
              <w:rPr>
                <w:rFonts w:eastAsia="Times New Roman" w:cstheme="minorHAnsi"/>
                <w:lang w:bidi="ar-SA"/>
              </w:rPr>
            </w:pPr>
            <w:r w:rsidRPr="002D6581">
              <w:rPr>
                <w:rFonts w:cstheme="minorHAnsi"/>
              </w:rPr>
              <w:t>3.08</w:t>
            </w:r>
          </w:p>
        </w:tc>
        <w:tc>
          <w:tcPr>
            <w:tcW w:w="406" w:type="pct"/>
            <w:shd w:val="clear" w:color="000000" w:fill="FFFFFF"/>
            <w:vAlign w:val="center"/>
          </w:tcPr>
          <w:p w14:paraId="2AD89ADB"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52B983E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206CFB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A5ACD22"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753CEB4" w14:textId="77777777" w:rsidTr="002D6581">
        <w:trPr>
          <w:cantSplit/>
          <w:trHeight w:val="144"/>
        </w:trPr>
        <w:tc>
          <w:tcPr>
            <w:tcW w:w="286" w:type="pct"/>
            <w:shd w:val="clear" w:color="auto" w:fill="FFFFFF" w:themeFill="background1"/>
            <w:vAlign w:val="center"/>
          </w:tcPr>
          <w:p w14:paraId="7A53CF82"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7C4CB83E" w14:textId="53D8914E" w:rsidR="00AB379C" w:rsidRPr="002D6581" w:rsidRDefault="00AB379C" w:rsidP="000901C6">
            <w:pPr>
              <w:ind w:left="76"/>
              <w:jc w:val="left"/>
              <w:rPr>
                <w:rFonts w:eastAsia="Times New Roman" w:cstheme="minorHAnsi"/>
                <w:lang w:bidi="ar-SA"/>
              </w:rPr>
            </w:pPr>
            <w:r w:rsidRPr="002D6581">
              <w:rPr>
                <w:rFonts w:eastAsia="Times New Roman" w:cstheme="minorHAnsi"/>
                <w:lang w:bidi="ar-SA"/>
              </w:rPr>
              <w:t>IPUA: Surgery Discharges/1</w:t>
            </w:r>
            <w:r w:rsidR="00674C05">
              <w:rPr>
                <w:rFonts w:eastAsia="Times New Roman" w:cstheme="minorHAnsi"/>
                <w:lang w:bidi="ar-SA"/>
              </w:rPr>
              <w:t>,</w:t>
            </w:r>
            <w:r w:rsidRPr="002D6581">
              <w:rPr>
                <w:rFonts w:eastAsia="Times New Roman" w:cstheme="minorHAnsi"/>
                <w:lang w:bidi="ar-SA"/>
              </w:rPr>
              <w:t>000 MM Ages &lt;</w:t>
            </w:r>
            <w:r w:rsidR="00674C05">
              <w:rPr>
                <w:rFonts w:eastAsia="Times New Roman" w:cstheme="minorHAnsi"/>
                <w:lang w:bidi="ar-SA"/>
              </w:rPr>
              <w:t xml:space="preserve"> </w:t>
            </w:r>
            <w:r w:rsidRPr="002D6581">
              <w:rPr>
                <w:rFonts w:eastAsia="Times New Roman" w:cstheme="minorHAnsi"/>
                <w:lang w:bidi="ar-SA"/>
              </w:rPr>
              <w:t>1 year</w:t>
            </w:r>
          </w:p>
        </w:tc>
        <w:tc>
          <w:tcPr>
            <w:tcW w:w="312" w:type="pct"/>
            <w:shd w:val="clear" w:color="auto" w:fill="auto"/>
            <w:vAlign w:val="center"/>
          </w:tcPr>
          <w:p w14:paraId="264512D8" w14:textId="77777777" w:rsidR="00AB379C" w:rsidRPr="002D6581" w:rsidRDefault="00AB379C" w:rsidP="007055F6">
            <w:pPr>
              <w:jc w:val="center"/>
              <w:rPr>
                <w:rFonts w:eastAsia="Times New Roman" w:cstheme="minorHAnsi"/>
                <w:lang w:bidi="ar-SA"/>
              </w:rPr>
            </w:pPr>
            <w:r w:rsidRPr="002D6581">
              <w:rPr>
                <w:rFonts w:cstheme="minorHAnsi"/>
              </w:rPr>
              <w:t>5,066</w:t>
            </w:r>
          </w:p>
        </w:tc>
        <w:tc>
          <w:tcPr>
            <w:tcW w:w="281" w:type="pct"/>
            <w:shd w:val="clear" w:color="000000" w:fill="FFFFFF"/>
            <w:vAlign w:val="center"/>
          </w:tcPr>
          <w:p w14:paraId="42F0A6B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253951F7" w14:textId="77777777" w:rsidR="00AB379C" w:rsidRPr="002D6581" w:rsidRDefault="00AB379C" w:rsidP="007055F6">
            <w:pPr>
              <w:jc w:val="center"/>
              <w:rPr>
                <w:rFonts w:eastAsia="Times New Roman" w:cstheme="minorHAnsi"/>
                <w:b/>
                <w:bCs/>
                <w:lang w:bidi="ar-SA"/>
              </w:rPr>
            </w:pPr>
            <w:r w:rsidRPr="002D6581">
              <w:rPr>
                <w:rFonts w:cstheme="minorHAnsi"/>
                <w:b/>
                <w:bCs/>
              </w:rPr>
              <w:t>N/A</w:t>
            </w:r>
          </w:p>
        </w:tc>
        <w:tc>
          <w:tcPr>
            <w:tcW w:w="343" w:type="pct"/>
            <w:shd w:val="clear" w:color="000000" w:fill="FFFFFF"/>
            <w:vAlign w:val="center"/>
          </w:tcPr>
          <w:p w14:paraId="230A3824"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5A187486"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773B2267" w14:textId="77777777" w:rsidR="00AB379C" w:rsidRPr="002D6581" w:rsidRDefault="00AB379C" w:rsidP="007055F6">
            <w:pPr>
              <w:jc w:val="center"/>
              <w:rPr>
                <w:rFonts w:eastAsia="Times New Roman" w:cstheme="minorHAnsi"/>
                <w:lang w:bidi="ar-SA"/>
              </w:rPr>
            </w:pPr>
            <w:r w:rsidRPr="002D6581">
              <w:rPr>
                <w:rFonts w:cstheme="minorHAnsi"/>
              </w:rPr>
              <w:t>0.94</w:t>
            </w:r>
          </w:p>
        </w:tc>
        <w:tc>
          <w:tcPr>
            <w:tcW w:w="406" w:type="pct"/>
            <w:shd w:val="clear" w:color="000000" w:fill="FFFFFF"/>
            <w:vAlign w:val="center"/>
          </w:tcPr>
          <w:p w14:paraId="32A3AE93"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4C6CF94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0BA3AAE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0E11E4A"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957E535" w14:textId="77777777" w:rsidTr="002D6581">
        <w:trPr>
          <w:cantSplit/>
          <w:trHeight w:val="144"/>
        </w:trPr>
        <w:tc>
          <w:tcPr>
            <w:tcW w:w="286" w:type="pct"/>
            <w:shd w:val="clear" w:color="auto" w:fill="FFFFFF" w:themeFill="background1"/>
            <w:vAlign w:val="center"/>
          </w:tcPr>
          <w:p w14:paraId="652DB6B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25C776E7" w14:textId="6AABD138" w:rsidR="00AB379C" w:rsidRPr="002D6581" w:rsidRDefault="00AB379C" w:rsidP="000901C6">
            <w:pPr>
              <w:ind w:left="76"/>
              <w:jc w:val="left"/>
              <w:rPr>
                <w:rFonts w:eastAsia="Times New Roman" w:cstheme="minorHAnsi"/>
                <w:lang w:bidi="ar-SA"/>
              </w:rPr>
            </w:pPr>
            <w:r w:rsidRPr="002D6581">
              <w:rPr>
                <w:rFonts w:eastAsia="Times New Roman" w:cstheme="minorHAnsi"/>
                <w:lang w:bidi="ar-SA"/>
              </w:rPr>
              <w:t>IPUA: Surgery Discharges/1</w:t>
            </w:r>
            <w:r w:rsidR="00674C05">
              <w:rPr>
                <w:rFonts w:eastAsia="Times New Roman" w:cstheme="minorHAnsi"/>
                <w:lang w:bidi="ar-SA"/>
              </w:rPr>
              <w:t>,</w:t>
            </w:r>
            <w:r w:rsidRPr="002D6581">
              <w:rPr>
                <w:rFonts w:eastAsia="Times New Roman" w:cstheme="minorHAnsi"/>
                <w:lang w:bidi="ar-SA"/>
              </w:rPr>
              <w:t>000 MM Ages 1—9 years</w:t>
            </w:r>
          </w:p>
        </w:tc>
        <w:tc>
          <w:tcPr>
            <w:tcW w:w="312" w:type="pct"/>
            <w:shd w:val="clear" w:color="auto" w:fill="auto"/>
            <w:vAlign w:val="center"/>
          </w:tcPr>
          <w:p w14:paraId="70294F63" w14:textId="77777777" w:rsidR="00AB379C" w:rsidRPr="002D6581" w:rsidRDefault="00AB379C" w:rsidP="007055F6">
            <w:pPr>
              <w:jc w:val="center"/>
              <w:rPr>
                <w:rFonts w:eastAsia="Times New Roman" w:cstheme="minorHAnsi"/>
                <w:lang w:bidi="ar-SA"/>
              </w:rPr>
            </w:pPr>
            <w:r w:rsidRPr="002D6581">
              <w:rPr>
                <w:rFonts w:cstheme="minorHAnsi"/>
              </w:rPr>
              <w:t>165,314</w:t>
            </w:r>
          </w:p>
        </w:tc>
        <w:tc>
          <w:tcPr>
            <w:tcW w:w="281" w:type="pct"/>
            <w:shd w:val="clear" w:color="000000" w:fill="FFFFFF"/>
            <w:vAlign w:val="center"/>
          </w:tcPr>
          <w:p w14:paraId="7BD7702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12F5F391" w14:textId="77777777" w:rsidR="00AB379C" w:rsidRPr="002D6581" w:rsidRDefault="00AB379C" w:rsidP="007055F6">
            <w:pPr>
              <w:jc w:val="center"/>
              <w:rPr>
                <w:rFonts w:eastAsia="Times New Roman" w:cstheme="minorHAnsi"/>
                <w:b/>
                <w:bCs/>
                <w:lang w:bidi="ar-SA"/>
              </w:rPr>
            </w:pPr>
            <w:r w:rsidRPr="002D6581">
              <w:rPr>
                <w:rFonts w:cstheme="minorHAnsi"/>
                <w:b/>
                <w:bCs/>
              </w:rPr>
              <w:t>0.10</w:t>
            </w:r>
          </w:p>
        </w:tc>
        <w:tc>
          <w:tcPr>
            <w:tcW w:w="343" w:type="pct"/>
            <w:shd w:val="clear" w:color="000000" w:fill="FFFFFF"/>
            <w:vAlign w:val="center"/>
          </w:tcPr>
          <w:p w14:paraId="008DB71B" w14:textId="77777777" w:rsidR="00AB379C" w:rsidRPr="002D6581" w:rsidRDefault="00AB379C" w:rsidP="007055F6">
            <w:pPr>
              <w:jc w:val="center"/>
              <w:rPr>
                <w:rFonts w:eastAsia="Times New Roman" w:cstheme="minorHAnsi"/>
                <w:lang w:bidi="ar-SA"/>
              </w:rPr>
            </w:pPr>
            <w:r w:rsidRPr="002D6581">
              <w:rPr>
                <w:rFonts w:cstheme="minorHAnsi"/>
              </w:rPr>
              <w:t>9.9%</w:t>
            </w:r>
          </w:p>
        </w:tc>
        <w:tc>
          <w:tcPr>
            <w:tcW w:w="375" w:type="pct"/>
            <w:shd w:val="clear" w:color="000000" w:fill="FFFFFF"/>
            <w:vAlign w:val="center"/>
          </w:tcPr>
          <w:p w14:paraId="57B6277A" w14:textId="77777777" w:rsidR="00AB379C" w:rsidRPr="002D6581" w:rsidRDefault="00AB379C" w:rsidP="007055F6">
            <w:pPr>
              <w:jc w:val="center"/>
              <w:rPr>
                <w:rFonts w:eastAsia="Times New Roman" w:cstheme="minorHAnsi"/>
                <w:lang w:bidi="ar-SA"/>
              </w:rPr>
            </w:pPr>
            <w:r w:rsidRPr="002D6581">
              <w:rPr>
                <w:rFonts w:cstheme="minorHAnsi"/>
              </w:rPr>
              <w:t>10.1%</w:t>
            </w:r>
          </w:p>
        </w:tc>
        <w:tc>
          <w:tcPr>
            <w:tcW w:w="405" w:type="pct"/>
            <w:shd w:val="clear" w:color="000000" w:fill="FFFFFF"/>
            <w:vAlign w:val="center"/>
          </w:tcPr>
          <w:p w14:paraId="021554A8" w14:textId="77777777" w:rsidR="00AB379C" w:rsidRPr="002D6581" w:rsidRDefault="00AB379C" w:rsidP="007055F6">
            <w:pPr>
              <w:jc w:val="center"/>
              <w:rPr>
                <w:rFonts w:eastAsia="Times New Roman" w:cstheme="minorHAnsi"/>
                <w:lang w:bidi="ar-SA"/>
              </w:rPr>
            </w:pPr>
            <w:r w:rsidRPr="002D6581">
              <w:rPr>
                <w:rFonts w:cstheme="minorHAnsi"/>
              </w:rPr>
              <w:t>0.23</w:t>
            </w:r>
          </w:p>
        </w:tc>
        <w:tc>
          <w:tcPr>
            <w:tcW w:w="406" w:type="pct"/>
            <w:shd w:val="clear" w:color="000000" w:fill="FFFFFF"/>
            <w:vAlign w:val="center"/>
          </w:tcPr>
          <w:p w14:paraId="075D6E1A"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655905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B8F79F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A45F86B"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C2578A2" w14:textId="77777777" w:rsidTr="002D6581">
        <w:trPr>
          <w:cantSplit/>
          <w:trHeight w:val="144"/>
        </w:trPr>
        <w:tc>
          <w:tcPr>
            <w:tcW w:w="286" w:type="pct"/>
            <w:shd w:val="clear" w:color="auto" w:fill="FFFFFF" w:themeFill="background1"/>
            <w:vAlign w:val="center"/>
          </w:tcPr>
          <w:p w14:paraId="7C00EEE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ADA0D27" w14:textId="333E439B" w:rsidR="00AB379C" w:rsidRPr="002D6581" w:rsidRDefault="00AB379C" w:rsidP="000901C6">
            <w:pPr>
              <w:ind w:left="76"/>
              <w:jc w:val="left"/>
              <w:rPr>
                <w:rFonts w:eastAsia="Times New Roman" w:cstheme="minorHAnsi"/>
                <w:lang w:bidi="ar-SA"/>
              </w:rPr>
            </w:pPr>
            <w:r w:rsidRPr="002D6581">
              <w:rPr>
                <w:rFonts w:eastAsia="Times New Roman" w:cstheme="minorHAnsi"/>
                <w:lang w:bidi="ar-SA"/>
              </w:rPr>
              <w:t>IPUA: Surgery Discharges/1</w:t>
            </w:r>
            <w:r w:rsidR="00674C05">
              <w:rPr>
                <w:rFonts w:eastAsia="Times New Roman" w:cstheme="minorHAnsi"/>
                <w:lang w:bidi="ar-SA"/>
              </w:rPr>
              <w:t>,</w:t>
            </w:r>
            <w:r w:rsidRPr="002D6581">
              <w:rPr>
                <w:rFonts w:eastAsia="Times New Roman" w:cstheme="minorHAnsi"/>
                <w:lang w:bidi="ar-SA"/>
              </w:rPr>
              <w:t>000 MM Ages 10—19 years</w:t>
            </w:r>
          </w:p>
        </w:tc>
        <w:tc>
          <w:tcPr>
            <w:tcW w:w="312" w:type="pct"/>
            <w:shd w:val="clear" w:color="auto" w:fill="auto"/>
            <w:vAlign w:val="center"/>
          </w:tcPr>
          <w:p w14:paraId="2A37671D" w14:textId="77777777" w:rsidR="00AB379C" w:rsidRPr="002D6581" w:rsidRDefault="00AB379C" w:rsidP="007055F6">
            <w:pPr>
              <w:jc w:val="center"/>
              <w:rPr>
                <w:rFonts w:eastAsia="Times New Roman" w:cstheme="minorHAnsi"/>
                <w:lang w:bidi="ar-SA"/>
              </w:rPr>
            </w:pPr>
            <w:r w:rsidRPr="002D6581">
              <w:rPr>
                <w:rFonts w:cstheme="minorHAnsi"/>
              </w:rPr>
              <w:t>227,826</w:t>
            </w:r>
          </w:p>
        </w:tc>
        <w:tc>
          <w:tcPr>
            <w:tcW w:w="281" w:type="pct"/>
            <w:shd w:val="clear" w:color="000000" w:fill="FFFFFF"/>
            <w:vAlign w:val="center"/>
          </w:tcPr>
          <w:p w14:paraId="2A7B842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5F888921" w14:textId="77777777" w:rsidR="00AB379C" w:rsidRPr="002D6581" w:rsidRDefault="00AB379C" w:rsidP="007055F6">
            <w:pPr>
              <w:jc w:val="center"/>
              <w:rPr>
                <w:rFonts w:eastAsia="Times New Roman" w:cstheme="minorHAnsi"/>
                <w:b/>
                <w:bCs/>
                <w:lang w:bidi="ar-SA"/>
              </w:rPr>
            </w:pPr>
            <w:r w:rsidRPr="002D6581">
              <w:rPr>
                <w:rFonts w:cstheme="minorHAnsi"/>
                <w:b/>
                <w:bCs/>
              </w:rPr>
              <w:t>0.29</w:t>
            </w:r>
          </w:p>
        </w:tc>
        <w:tc>
          <w:tcPr>
            <w:tcW w:w="343" w:type="pct"/>
            <w:shd w:val="clear" w:color="000000" w:fill="FFFFFF"/>
            <w:vAlign w:val="center"/>
          </w:tcPr>
          <w:p w14:paraId="14019819" w14:textId="77777777" w:rsidR="00AB379C" w:rsidRPr="002D6581" w:rsidRDefault="00AB379C" w:rsidP="007055F6">
            <w:pPr>
              <w:jc w:val="center"/>
              <w:rPr>
                <w:rFonts w:eastAsia="Times New Roman" w:cstheme="minorHAnsi"/>
                <w:lang w:bidi="ar-SA"/>
              </w:rPr>
            </w:pPr>
            <w:r w:rsidRPr="002D6581">
              <w:rPr>
                <w:rFonts w:cstheme="minorHAnsi"/>
              </w:rPr>
              <w:t>28.8%</w:t>
            </w:r>
          </w:p>
        </w:tc>
        <w:tc>
          <w:tcPr>
            <w:tcW w:w="375" w:type="pct"/>
            <w:shd w:val="clear" w:color="000000" w:fill="FFFFFF"/>
            <w:vAlign w:val="center"/>
          </w:tcPr>
          <w:p w14:paraId="1C34BA25" w14:textId="77777777" w:rsidR="00AB379C" w:rsidRPr="002D6581" w:rsidRDefault="00AB379C" w:rsidP="007055F6">
            <w:pPr>
              <w:jc w:val="center"/>
              <w:rPr>
                <w:rFonts w:eastAsia="Times New Roman" w:cstheme="minorHAnsi"/>
                <w:lang w:bidi="ar-SA"/>
              </w:rPr>
            </w:pPr>
            <w:r w:rsidRPr="002D6581">
              <w:rPr>
                <w:rFonts w:cstheme="minorHAnsi"/>
              </w:rPr>
              <w:t>29.2%</w:t>
            </w:r>
          </w:p>
        </w:tc>
        <w:tc>
          <w:tcPr>
            <w:tcW w:w="405" w:type="pct"/>
            <w:shd w:val="clear" w:color="000000" w:fill="FFFFFF"/>
            <w:vAlign w:val="center"/>
          </w:tcPr>
          <w:p w14:paraId="2DD5E6B9" w14:textId="77777777" w:rsidR="00AB379C" w:rsidRPr="002D6581" w:rsidRDefault="00AB379C" w:rsidP="007055F6">
            <w:pPr>
              <w:jc w:val="center"/>
              <w:rPr>
                <w:rFonts w:eastAsia="Times New Roman" w:cstheme="minorHAnsi"/>
                <w:lang w:bidi="ar-SA"/>
              </w:rPr>
            </w:pPr>
            <w:r w:rsidRPr="002D6581">
              <w:rPr>
                <w:rFonts w:cstheme="minorHAnsi"/>
              </w:rPr>
              <w:t>0.35</w:t>
            </w:r>
          </w:p>
        </w:tc>
        <w:tc>
          <w:tcPr>
            <w:tcW w:w="406" w:type="pct"/>
            <w:shd w:val="clear" w:color="000000" w:fill="FFFFFF"/>
            <w:vAlign w:val="center"/>
          </w:tcPr>
          <w:p w14:paraId="0201136A"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7E52729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C02133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36A752EF"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4BAE6B2" w14:textId="77777777" w:rsidTr="002D6581">
        <w:trPr>
          <w:cantSplit/>
          <w:trHeight w:val="144"/>
        </w:trPr>
        <w:tc>
          <w:tcPr>
            <w:tcW w:w="286" w:type="pct"/>
            <w:shd w:val="clear" w:color="auto" w:fill="FFFFFF" w:themeFill="background1"/>
            <w:vAlign w:val="center"/>
          </w:tcPr>
          <w:p w14:paraId="5491C893"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77C8948D" w14:textId="179C09CC" w:rsidR="00AB379C" w:rsidRPr="002D6581" w:rsidRDefault="00AB379C" w:rsidP="000901C6">
            <w:pPr>
              <w:ind w:left="76"/>
              <w:jc w:val="left"/>
              <w:rPr>
                <w:rFonts w:eastAsia="Times New Roman" w:cstheme="minorHAnsi"/>
                <w:lang w:bidi="ar-SA"/>
              </w:rPr>
            </w:pPr>
            <w:r w:rsidRPr="002D6581">
              <w:rPr>
                <w:rFonts w:eastAsia="Times New Roman" w:cstheme="minorHAnsi"/>
                <w:lang w:bidi="ar-SA"/>
              </w:rPr>
              <w:t>IPUA: Surgery Discharges/1</w:t>
            </w:r>
            <w:r w:rsidR="00674C05">
              <w:rPr>
                <w:rFonts w:eastAsia="Times New Roman" w:cstheme="minorHAnsi"/>
                <w:lang w:bidi="ar-SA"/>
              </w:rPr>
              <w:t>,</w:t>
            </w:r>
            <w:r w:rsidRPr="002D6581">
              <w:rPr>
                <w:rFonts w:eastAsia="Times New Roman" w:cstheme="minorHAnsi"/>
                <w:lang w:bidi="ar-SA"/>
              </w:rPr>
              <w:t>000 MM Ages &lt;</w:t>
            </w:r>
            <w:r w:rsidR="00674C05">
              <w:rPr>
                <w:rFonts w:eastAsia="Times New Roman" w:cstheme="minorHAnsi"/>
                <w:lang w:bidi="ar-SA"/>
              </w:rPr>
              <w:t xml:space="preserve"> </w:t>
            </w:r>
            <w:r w:rsidRPr="002D6581">
              <w:rPr>
                <w:rFonts w:eastAsia="Times New Roman" w:cstheme="minorHAnsi"/>
                <w:lang w:bidi="ar-SA"/>
              </w:rPr>
              <w:t>1—19 years Total Rate</w:t>
            </w:r>
          </w:p>
        </w:tc>
        <w:tc>
          <w:tcPr>
            <w:tcW w:w="312" w:type="pct"/>
            <w:shd w:val="clear" w:color="auto" w:fill="auto"/>
            <w:vAlign w:val="center"/>
          </w:tcPr>
          <w:p w14:paraId="64F7EDAA" w14:textId="77777777" w:rsidR="00AB379C" w:rsidRPr="002D6581" w:rsidRDefault="00AB379C" w:rsidP="007055F6">
            <w:pPr>
              <w:jc w:val="center"/>
              <w:rPr>
                <w:rFonts w:eastAsia="Times New Roman" w:cstheme="minorHAnsi"/>
                <w:lang w:bidi="ar-SA"/>
              </w:rPr>
            </w:pPr>
            <w:r w:rsidRPr="002D6581">
              <w:rPr>
                <w:rFonts w:cstheme="minorHAnsi"/>
              </w:rPr>
              <w:t>398,214</w:t>
            </w:r>
          </w:p>
        </w:tc>
        <w:tc>
          <w:tcPr>
            <w:tcW w:w="281" w:type="pct"/>
            <w:shd w:val="clear" w:color="000000" w:fill="FFFFFF"/>
            <w:vAlign w:val="center"/>
          </w:tcPr>
          <w:p w14:paraId="16658A1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5070884C" w14:textId="77777777" w:rsidR="00AB379C" w:rsidRPr="002D6581" w:rsidRDefault="00AB379C" w:rsidP="007055F6">
            <w:pPr>
              <w:jc w:val="center"/>
              <w:rPr>
                <w:rFonts w:eastAsia="Times New Roman" w:cstheme="minorHAnsi"/>
                <w:b/>
                <w:bCs/>
                <w:lang w:bidi="ar-SA"/>
              </w:rPr>
            </w:pPr>
            <w:r w:rsidRPr="002D6581">
              <w:rPr>
                <w:rFonts w:cstheme="minorHAnsi"/>
                <w:b/>
                <w:bCs/>
              </w:rPr>
              <w:t>0.21</w:t>
            </w:r>
          </w:p>
        </w:tc>
        <w:tc>
          <w:tcPr>
            <w:tcW w:w="343" w:type="pct"/>
            <w:shd w:val="clear" w:color="000000" w:fill="FFFFFF"/>
            <w:vAlign w:val="center"/>
          </w:tcPr>
          <w:p w14:paraId="0829BEEE" w14:textId="77777777" w:rsidR="00AB379C" w:rsidRPr="002D6581" w:rsidRDefault="00AB379C" w:rsidP="007055F6">
            <w:pPr>
              <w:jc w:val="center"/>
              <w:rPr>
                <w:rFonts w:eastAsia="Times New Roman" w:cstheme="minorHAnsi"/>
                <w:lang w:bidi="ar-SA"/>
              </w:rPr>
            </w:pPr>
            <w:r w:rsidRPr="002D6581">
              <w:rPr>
                <w:rFonts w:cstheme="minorHAnsi"/>
              </w:rPr>
              <w:t>20.9%</w:t>
            </w:r>
          </w:p>
        </w:tc>
        <w:tc>
          <w:tcPr>
            <w:tcW w:w="375" w:type="pct"/>
            <w:shd w:val="clear" w:color="000000" w:fill="FFFFFF"/>
            <w:vAlign w:val="center"/>
          </w:tcPr>
          <w:p w14:paraId="448E527A" w14:textId="77777777" w:rsidR="00AB379C" w:rsidRPr="002D6581" w:rsidRDefault="00AB379C" w:rsidP="007055F6">
            <w:pPr>
              <w:jc w:val="center"/>
              <w:rPr>
                <w:rFonts w:eastAsia="Times New Roman" w:cstheme="minorHAnsi"/>
                <w:lang w:bidi="ar-SA"/>
              </w:rPr>
            </w:pPr>
            <w:r w:rsidRPr="002D6581">
              <w:rPr>
                <w:rFonts w:cstheme="minorHAnsi"/>
              </w:rPr>
              <w:t>21.1%</w:t>
            </w:r>
          </w:p>
        </w:tc>
        <w:tc>
          <w:tcPr>
            <w:tcW w:w="405" w:type="pct"/>
            <w:shd w:val="clear" w:color="000000" w:fill="FFFFFF"/>
            <w:vAlign w:val="center"/>
          </w:tcPr>
          <w:p w14:paraId="22FEFDFF" w14:textId="77777777" w:rsidR="00AB379C" w:rsidRPr="002D6581" w:rsidRDefault="00AB379C" w:rsidP="007055F6">
            <w:pPr>
              <w:jc w:val="center"/>
              <w:rPr>
                <w:rFonts w:eastAsia="Times New Roman" w:cstheme="minorHAnsi"/>
                <w:lang w:bidi="ar-SA"/>
              </w:rPr>
            </w:pPr>
            <w:r w:rsidRPr="002D6581">
              <w:rPr>
                <w:rFonts w:cstheme="minorHAnsi"/>
              </w:rPr>
              <w:t>0.30</w:t>
            </w:r>
          </w:p>
        </w:tc>
        <w:tc>
          <w:tcPr>
            <w:tcW w:w="406" w:type="pct"/>
            <w:shd w:val="clear" w:color="000000" w:fill="FFFFFF"/>
            <w:vAlign w:val="center"/>
          </w:tcPr>
          <w:p w14:paraId="2B62D3CA"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963B00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06570A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E9FD4F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0C842D61" w14:textId="77777777" w:rsidTr="002D6581">
        <w:trPr>
          <w:cantSplit/>
          <w:trHeight w:val="144"/>
        </w:trPr>
        <w:tc>
          <w:tcPr>
            <w:tcW w:w="286" w:type="pct"/>
            <w:shd w:val="clear" w:color="auto" w:fill="FFFFFF" w:themeFill="background1"/>
            <w:vAlign w:val="center"/>
          </w:tcPr>
          <w:p w14:paraId="01310D04"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1CCF778" w14:textId="00C11F8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Surgery ALOS Ages &lt;</w:t>
            </w:r>
            <w:r w:rsidR="00674C05">
              <w:rPr>
                <w:rFonts w:eastAsia="Times New Roman" w:cstheme="minorHAnsi"/>
                <w:lang w:bidi="ar-SA"/>
              </w:rPr>
              <w:t xml:space="preserve"> </w:t>
            </w:r>
            <w:r w:rsidRPr="002D6581">
              <w:rPr>
                <w:rFonts w:eastAsia="Times New Roman" w:cstheme="minorHAnsi"/>
                <w:lang w:bidi="ar-SA"/>
              </w:rPr>
              <w:t xml:space="preserve">1 year </w:t>
            </w:r>
          </w:p>
        </w:tc>
        <w:tc>
          <w:tcPr>
            <w:tcW w:w="312" w:type="pct"/>
            <w:shd w:val="clear" w:color="auto" w:fill="auto"/>
            <w:vAlign w:val="center"/>
          </w:tcPr>
          <w:p w14:paraId="3F3E861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5CAB214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2C299E54" w14:textId="77777777" w:rsidR="00AB379C" w:rsidRPr="002D6581" w:rsidRDefault="00AB379C" w:rsidP="007055F6">
            <w:pPr>
              <w:jc w:val="center"/>
              <w:rPr>
                <w:rFonts w:eastAsia="Times New Roman" w:cstheme="minorHAnsi"/>
                <w:b/>
                <w:bCs/>
                <w:lang w:bidi="ar-SA"/>
              </w:rPr>
            </w:pPr>
            <w:r w:rsidRPr="002D6581">
              <w:rPr>
                <w:rFonts w:cstheme="minorHAnsi"/>
                <w:b/>
                <w:bCs/>
              </w:rPr>
              <w:t>0.00</w:t>
            </w:r>
          </w:p>
        </w:tc>
        <w:tc>
          <w:tcPr>
            <w:tcW w:w="343" w:type="pct"/>
            <w:shd w:val="clear" w:color="000000" w:fill="FFFFFF"/>
            <w:vAlign w:val="center"/>
          </w:tcPr>
          <w:p w14:paraId="53ABD30F"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01CCB86D"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25CBD623" w14:textId="77777777" w:rsidR="00AB379C" w:rsidRPr="002D6581" w:rsidRDefault="00AB379C" w:rsidP="007055F6">
            <w:pPr>
              <w:jc w:val="center"/>
              <w:rPr>
                <w:rFonts w:eastAsia="Times New Roman" w:cstheme="minorHAnsi"/>
                <w:lang w:bidi="ar-SA"/>
              </w:rPr>
            </w:pPr>
            <w:r w:rsidRPr="002D6581">
              <w:rPr>
                <w:rFonts w:cstheme="minorHAnsi"/>
              </w:rPr>
              <w:t>3.00</w:t>
            </w:r>
          </w:p>
        </w:tc>
        <w:tc>
          <w:tcPr>
            <w:tcW w:w="406" w:type="pct"/>
            <w:shd w:val="clear" w:color="000000" w:fill="FFFFFF"/>
            <w:vAlign w:val="center"/>
          </w:tcPr>
          <w:p w14:paraId="17E2BA76"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7017FEC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39533A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DEBDCD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73611E5" w14:textId="77777777" w:rsidTr="002D6581">
        <w:trPr>
          <w:cantSplit/>
          <w:trHeight w:val="144"/>
        </w:trPr>
        <w:tc>
          <w:tcPr>
            <w:tcW w:w="286" w:type="pct"/>
            <w:shd w:val="clear" w:color="auto" w:fill="FFFFFF" w:themeFill="background1"/>
            <w:vAlign w:val="center"/>
          </w:tcPr>
          <w:p w14:paraId="45CD8CB9"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lastRenderedPageBreak/>
              <w:t>HEDIS</w:t>
            </w:r>
          </w:p>
        </w:tc>
        <w:tc>
          <w:tcPr>
            <w:tcW w:w="1060" w:type="pct"/>
            <w:shd w:val="clear" w:color="auto" w:fill="FFFFFF" w:themeFill="background1"/>
            <w:vAlign w:val="center"/>
          </w:tcPr>
          <w:p w14:paraId="799C6EAB"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Surgery ALOS Ages 1—9 years</w:t>
            </w:r>
          </w:p>
        </w:tc>
        <w:tc>
          <w:tcPr>
            <w:tcW w:w="312" w:type="pct"/>
            <w:shd w:val="clear" w:color="auto" w:fill="auto"/>
            <w:vAlign w:val="center"/>
          </w:tcPr>
          <w:p w14:paraId="014E91A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3E3787EB"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736615B1" w14:textId="77777777" w:rsidR="00AB379C" w:rsidRPr="002D6581" w:rsidRDefault="00AB379C" w:rsidP="007055F6">
            <w:pPr>
              <w:jc w:val="center"/>
              <w:rPr>
                <w:rFonts w:eastAsia="Times New Roman" w:cstheme="minorHAnsi"/>
                <w:b/>
                <w:bCs/>
                <w:lang w:bidi="ar-SA"/>
              </w:rPr>
            </w:pPr>
            <w:r w:rsidRPr="002D6581">
              <w:rPr>
                <w:rFonts w:cstheme="minorHAnsi"/>
                <w:b/>
                <w:bCs/>
              </w:rPr>
              <w:t>2.06</w:t>
            </w:r>
          </w:p>
        </w:tc>
        <w:tc>
          <w:tcPr>
            <w:tcW w:w="343" w:type="pct"/>
            <w:shd w:val="clear" w:color="000000" w:fill="FFFFFF"/>
            <w:vAlign w:val="center"/>
          </w:tcPr>
          <w:p w14:paraId="2E5B0C01"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75E860FF"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6EDE0048" w14:textId="77777777" w:rsidR="00AB379C" w:rsidRPr="002D6581" w:rsidRDefault="00AB379C" w:rsidP="007055F6">
            <w:pPr>
              <w:jc w:val="center"/>
              <w:rPr>
                <w:rFonts w:eastAsia="Times New Roman" w:cstheme="minorHAnsi"/>
                <w:lang w:bidi="ar-SA"/>
              </w:rPr>
            </w:pPr>
            <w:r w:rsidRPr="002D6581">
              <w:rPr>
                <w:rFonts w:cstheme="minorHAnsi"/>
              </w:rPr>
              <w:t>3.44</w:t>
            </w:r>
          </w:p>
        </w:tc>
        <w:tc>
          <w:tcPr>
            <w:tcW w:w="406" w:type="pct"/>
            <w:shd w:val="clear" w:color="000000" w:fill="FFFFFF"/>
            <w:vAlign w:val="center"/>
          </w:tcPr>
          <w:p w14:paraId="55BDCEDA"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6DB5756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5660C6B"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6F7459B"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AAF948E" w14:textId="77777777" w:rsidTr="002D6581">
        <w:trPr>
          <w:cantSplit/>
          <w:trHeight w:val="144"/>
        </w:trPr>
        <w:tc>
          <w:tcPr>
            <w:tcW w:w="286" w:type="pct"/>
            <w:shd w:val="clear" w:color="auto" w:fill="FFFFFF" w:themeFill="background1"/>
            <w:vAlign w:val="center"/>
          </w:tcPr>
          <w:p w14:paraId="605935B6"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96E77CF"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Surgery ALOS Ages 10—19 years</w:t>
            </w:r>
          </w:p>
        </w:tc>
        <w:tc>
          <w:tcPr>
            <w:tcW w:w="312" w:type="pct"/>
            <w:shd w:val="clear" w:color="auto" w:fill="auto"/>
            <w:vAlign w:val="center"/>
          </w:tcPr>
          <w:p w14:paraId="7DF7213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0CC2B6E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24EF1662" w14:textId="77777777" w:rsidR="00AB379C" w:rsidRPr="002D6581" w:rsidRDefault="00AB379C" w:rsidP="007055F6">
            <w:pPr>
              <w:jc w:val="center"/>
              <w:rPr>
                <w:rFonts w:eastAsia="Times New Roman" w:cstheme="minorHAnsi"/>
                <w:b/>
                <w:bCs/>
                <w:lang w:bidi="ar-SA"/>
              </w:rPr>
            </w:pPr>
            <w:r w:rsidRPr="002D6581">
              <w:rPr>
                <w:rFonts w:cstheme="minorHAnsi"/>
                <w:b/>
                <w:bCs/>
              </w:rPr>
              <w:t>4.31</w:t>
            </w:r>
          </w:p>
        </w:tc>
        <w:tc>
          <w:tcPr>
            <w:tcW w:w="343" w:type="pct"/>
            <w:shd w:val="clear" w:color="000000" w:fill="FFFFFF"/>
            <w:vAlign w:val="center"/>
          </w:tcPr>
          <w:p w14:paraId="033A6102"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71A82E10"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5BFC1FB0" w14:textId="77777777" w:rsidR="00AB379C" w:rsidRPr="002D6581" w:rsidRDefault="00AB379C" w:rsidP="007055F6">
            <w:pPr>
              <w:jc w:val="center"/>
              <w:rPr>
                <w:rFonts w:eastAsia="Times New Roman" w:cstheme="minorHAnsi"/>
                <w:lang w:bidi="ar-SA"/>
              </w:rPr>
            </w:pPr>
            <w:r w:rsidRPr="002D6581">
              <w:rPr>
                <w:rFonts w:cstheme="minorHAnsi"/>
              </w:rPr>
              <w:t>4.48</w:t>
            </w:r>
          </w:p>
        </w:tc>
        <w:tc>
          <w:tcPr>
            <w:tcW w:w="406" w:type="pct"/>
            <w:shd w:val="clear" w:color="000000" w:fill="FFFFFF"/>
            <w:vAlign w:val="center"/>
          </w:tcPr>
          <w:p w14:paraId="725887DD"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49611CD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D9BA81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78C413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7B7D3BE" w14:textId="77777777" w:rsidTr="002D6581">
        <w:trPr>
          <w:cantSplit/>
          <w:trHeight w:val="144"/>
        </w:trPr>
        <w:tc>
          <w:tcPr>
            <w:tcW w:w="286" w:type="pct"/>
            <w:shd w:val="clear" w:color="auto" w:fill="FFFFFF" w:themeFill="background1"/>
            <w:vAlign w:val="center"/>
          </w:tcPr>
          <w:p w14:paraId="6CE2EBCB"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87CAD47" w14:textId="0BE32EFA"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Surgery ALOS Ages &lt;</w:t>
            </w:r>
            <w:r w:rsidR="00674C05">
              <w:rPr>
                <w:rFonts w:eastAsia="Times New Roman" w:cstheme="minorHAnsi"/>
                <w:lang w:bidi="ar-SA"/>
              </w:rPr>
              <w:t xml:space="preserve"> </w:t>
            </w:r>
            <w:r w:rsidRPr="002D6581">
              <w:rPr>
                <w:rFonts w:eastAsia="Times New Roman" w:cstheme="minorHAnsi"/>
                <w:lang w:bidi="ar-SA"/>
              </w:rPr>
              <w:t xml:space="preserve">1—19 years Total Rate </w:t>
            </w:r>
          </w:p>
        </w:tc>
        <w:tc>
          <w:tcPr>
            <w:tcW w:w="312" w:type="pct"/>
            <w:shd w:val="clear" w:color="auto" w:fill="auto"/>
            <w:vAlign w:val="center"/>
          </w:tcPr>
          <w:p w14:paraId="4210513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07095FD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0DAE63F2" w14:textId="77777777" w:rsidR="00AB379C" w:rsidRPr="002D6581" w:rsidRDefault="00AB379C" w:rsidP="007055F6">
            <w:pPr>
              <w:jc w:val="center"/>
              <w:rPr>
                <w:rFonts w:eastAsia="Times New Roman" w:cstheme="minorHAnsi"/>
                <w:b/>
                <w:bCs/>
                <w:lang w:bidi="ar-SA"/>
              </w:rPr>
            </w:pPr>
            <w:r w:rsidRPr="002D6581">
              <w:rPr>
                <w:rFonts w:cstheme="minorHAnsi"/>
                <w:b/>
                <w:bCs/>
              </w:rPr>
              <w:t>3.86</w:t>
            </w:r>
          </w:p>
        </w:tc>
        <w:tc>
          <w:tcPr>
            <w:tcW w:w="343" w:type="pct"/>
            <w:shd w:val="clear" w:color="000000" w:fill="FFFFFF"/>
            <w:vAlign w:val="center"/>
          </w:tcPr>
          <w:p w14:paraId="763CEE29"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1A89A464"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2D744FCB" w14:textId="77777777" w:rsidR="00AB379C" w:rsidRPr="002D6581" w:rsidRDefault="00AB379C" w:rsidP="007055F6">
            <w:pPr>
              <w:jc w:val="center"/>
              <w:rPr>
                <w:rFonts w:eastAsia="Times New Roman" w:cstheme="minorHAnsi"/>
                <w:lang w:bidi="ar-SA"/>
              </w:rPr>
            </w:pPr>
            <w:r w:rsidRPr="002D6581">
              <w:rPr>
                <w:rFonts w:cstheme="minorHAnsi"/>
              </w:rPr>
              <w:t>4.07</w:t>
            </w:r>
          </w:p>
        </w:tc>
        <w:tc>
          <w:tcPr>
            <w:tcW w:w="406" w:type="pct"/>
            <w:shd w:val="clear" w:color="000000" w:fill="FFFFFF"/>
            <w:vAlign w:val="center"/>
          </w:tcPr>
          <w:p w14:paraId="6225F2D0"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64E10E1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8E79F1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8CE26EA"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91B6262" w14:textId="77777777" w:rsidTr="002D6581">
        <w:trPr>
          <w:cantSplit/>
          <w:trHeight w:val="144"/>
        </w:trPr>
        <w:tc>
          <w:tcPr>
            <w:tcW w:w="286" w:type="pct"/>
            <w:shd w:val="clear" w:color="auto" w:fill="FFFFFF" w:themeFill="background1"/>
            <w:vAlign w:val="center"/>
          </w:tcPr>
          <w:p w14:paraId="62432013"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9C89396" w14:textId="77777777" w:rsidR="000901C6" w:rsidRDefault="00AB379C" w:rsidP="007055F6">
            <w:pPr>
              <w:ind w:left="76"/>
              <w:jc w:val="left"/>
              <w:rPr>
                <w:rFonts w:eastAsia="Times New Roman" w:cstheme="minorHAnsi"/>
                <w:lang w:bidi="ar-SA"/>
              </w:rPr>
            </w:pPr>
            <w:r w:rsidRPr="002D6581">
              <w:rPr>
                <w:rFonts w:eastAsia="Times New Roman" w:cstheme="minorHAnsi"/>
                <w:lang w:bidi="ar-SA"/>
              </w:rPr>
              <w:t>IPUA: Medicine Discharges/</w:t>
            </w:r>
          </w:p>
          <w:p w14:paraId="44326313" w14:textId="7743C835"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1</w:t>
            </w:r>
            <w:r w:rsidR="000901C6">
              <w:rPr>
                <w:rFonts w:eastAsia="Times New Roman" w:cstheme="minorHAnsi"/>
                <w:lang w:bidi="ar-SA"/>
              </w:rPr>
              <w:t>,</w:t>
            </w:r>
            <w:r w:rsidRPr="002D6581">
              <w:rPr>
                <w:rFonts w:eastAsia="Times New Roman" w:cstheme="minorHAnsi"/>
                <w:lang w:bidi="ar-SA"/>
              </w:rPr>
              <w:t>000 MM Ages &lt;</w:t>
            </w:r>
            <w:r w:rsidR="000901C6">
              <w:rPr>
                <w:rFonts w:eastAsia="Times New Roman" w:cstheme="minorHAnsi"/>
                <w:lang w:bidi="ar-SA"/>
              </w:rPr>
              <w:t xml:space="preserve"> </w:t>
            </w:r>
            <w:r w:rsidRPr="002D6581">
              <w:rPr>
                <w:rFonts w:eastAsia="Times New Roman" w:cstheme="minorHAnsi"/>
                <w:lang w:bidi="ar-SA"/>
              </w:rPr>
              <w:t>1 year</w:t>
            </w:r>
          </w:p>
        </w:tc>
        <w:tc>
          <w:tcPr>
            <w:tcW w:w="312" w:type="pct"/>
            <w:shd w:val="clear" w:color="auto" w:fill="auto"/>
            <w:vAlign w:val="center"/>
          </w:tcPr>
          <w:p w14:paraId="5C0FB880" w14:textId="77777777" w:rsidR="00AB379C" w:rsidRPr="002D6581" w:rsidRDefault="00AB379C" w:rsidP="007055F6">
            <w:pPr>
              <w:jc w:val="center"/>
              <w:rPr>
                <w:rFonts w:eastAsia="Times New Roman" w:cstheme="minorHAnsi"/>
                <w:lang w:bidi="ar-SA"/>
              </w:rPr>
            </w:pPr>
            <w:r w:rsidRPr="002D6581">
              <w:rPr>
                <w:rFonts w:cstheme="minorHAnsi"/>
              </w:rPr>
              <w:t>5,066</w:t>
            </w:r>
          </w:p>
        </w:tc>
        <w:tc>
          <w:tcPr>
            <w:tcW w:w="281" w:type="pct"/>
            <w:shd w:val="clear" w:color="000000" w:fill="FFFFFF"/>
            <w:vAlign w:val="center"/>
          </w:tcPr>
          <w:p w14:paraId="6225F63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65639583" w14:textId="77777777" w:rsidR="00AB379C" w:rsidRPr="002D6581" w:rsidRDefault="00AB379C" w:rsidP="007055F6">
            <w:pPr>
              <w:jc w:val="center"/>
              <w:rPr>
                <w:rFonts w:eastAsia="Times New Roman" w:cstheme="minorHAnsi"/>
                <w:b/>
                <w:bCs/>
                <w:lang w:bidi="ar-SA"/>
              </w:rPr>
            </w:pPr>
            <w:r w:rsidRPr="002D6581">
              <w:rPr>
                <w:rFonts w:cstheme="minorHAnsi"/>
                <w:b/>
                <w:bCs/>
              </w:rPr>
              <w:t>1.38</w:t>
            </w:r>
          </w:p>
        </w:tc>
        <w:tc>
          <w:tcPr>
            <w:tcW w:w="343" w:type="pct"/>
            <w:shd w:val="clear" w:color="000000" w:fill="FFFFFF"/>
            <w:vAlign w:val="center"/>
          </w:tcPr>
          <w:p w14:paraId="386BB442"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16EF1083"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6C591E78" w14:textId="77777777" w:rsidR="00AB379C" w:rsidRPr="002D6581" w:rsidRDefault="00AB379C" w:rsidP="007055F6">
            <w:pPr>
              <w:jc w:val="center"/>
              <w:rPr>
                <w:rFonts w:eastAsia="Times New Roman" w:cstheme="minorHAnsi"/>
                <w:lang w:bidi="ar-SA"/>
              </w:rPr>
            </w:pPr>
            <w:r w:rsidRPr="002D6581">
              <w:rPr>
                <w:rFonts w:cstheme="minorHAnsi"/>
              </w:rPr>
              <w:t>3.02</w:t>
            </w:r>
          </w:p>
        </w:tc>
        <w:tc>
          <w:tcPr>
            <w:tcW w:w="406" w:type="pct"/>
            <w:shd w:val="clear" w:color="000000" w:fill="FFFFFF"/>
            <w:vAlign w:val="center"/>
          </w:tcPr>
          <w:p w14:paraId="31F2DA3B"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4CAACDF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4FAD6AD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AE833E3"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04AF2F36" w14:textId="77777777" w:rsidTr="002D6581">
        <w:trPr>
          <w:cantSplit/>
          <w:trHeight w:val="144"/>
        </w:trPr>
        <w:tc>
          <w:tcPr>
            <w:tcW w:w="286" w:type="pct"/>
            <w:shd w:val="clear" w:color="auto" w:fill="FFFFFF" w:themeFill="background1"/>
            <w:vAlign w:val="center"/>
          </w:tcPr>
          <w:p w14:paraId="3A9A180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75E6DDA9" w14:textId="77777777" w:rsidR="000901C6" w:rsidRDefault="00AB379C" w:rsidP="007055F6">
            <w:pPr>
              <w:ind w:left="76"/>
              <w:jc w:val="left"/>
              <w:rPr>
                <w:rFonts w:eastAsia="Times New Roman" w:cstheme="minorHAnsi"/>
                <w:lang w:bidi="ar-SA"/>
              </w:rPr>
            </w:pPr>
            <w:r w:rsidRPr="002D6581">
              <w:rPr>
                <w:rFonts w:eastAsia="Times New Roman" w:cstheme="minorHAnsi"/>
                <w:lang w:bidi="ar-SA"/>
              </w:rPr>
              <w:t>IPUA: Medicine Discharges/</w:t>
            </w:r>
          </w:p>
          <w:p w14:paraId="44998B61" w14:textId="34D28BD0"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1</w:t>
            </w:r>
            <w:r w:rsidR="000901C6">
              <w:rPr>
                <w:rFonts w:eastAsia="Times New Roman" w:cstheme="minorHAnsi"/>
                <w:lang w:bidi="ar-SA"/>
              </w:rPr>
              <w:t>,</w:t>
            </w:r>
            <w:r w:rsidRPr="002D6581">
              <w:rPr>
                <w:rFonts w:eastAsia="Times New Roman" w:cstheme="minorHAnsi"/>
                <w:lang w:bidi="ar-SA"/>
              </w:rPr>
              <w:t>000 MM Ages 1—9 years</w:t>
            </w:r>
          </w:p>
        </w:tc>
        <w:tc>
          <w:tcPr>
            <w:tcW w:w="312" w:type="pct"/>
            <w:shd w:val="clear" w:color="auto" w:fill="auto"/>
            <w:vAlign w:val="center"/>
          </w:tcPr>
          <w:p w14:paraId="5184EE37" w14:textId="77777777" w:rsidR="00AB379C" w:rsidRPr="002D6581" w:rsidRDefault="00AB379C" w:rsidP="007055F6">
            <w:pPr>
              <w:jc w:val="center"/>
              <w:rPr>
                <w:rFonts w:eastAsia="Times New Roman" w:cstheme="minorHAnsi"/>
                <w:lang w:bidi="ar-SA"/>
              </w:rPr>
            </w:pPr>
            <w:r w:rsidRPr="002D6581">
              <w:rPr>
                <w:rFonts w:cstheme="minorHAnsi"/>
              </w:rPr>
              <w:t>165,314</w:t>
            </w:r>
          </w:p>
        </w:tc>
        <w:tc>
          <w:tcPr>
            <w:tcW w:w="281" w:type="pct"/>
            <w:shd w:val="clear" w:color="000000" w:fill="FFFFFF"/>
            <w:vAlign w:val="center"/>
          </w:tcPr>
          <w:p w14:paraId="73B395F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4B8DD4DD" w14:textId="77777777" w:rsidR="00AB379C" w:rsidRPr="002D6581" w:rsidRDefault="00AB379C" w:rsidP="007055F6">
            <w:pPr>
              <w:jc w:val="center"/>
              <w:rPr>
                <w:rFonts w:eastAsia="Times New Roman" w:cstheme="minorHAnsi"/>
                <w:b/>
                <w:bCs/>
                <w:lang w:bidi="ar-SA"/>
              </w:rPr>
            </w:pPr>
            <w:r w:rsidRPr="002D6581">
              <w:rPr>
                <w:rFonts w:cstheme="minorHAnsi"/>
                <w:b/>
                <w:bCs/>
              </w:rPr>
              <w:t>0.35</w:t>
            </w:r>
          </w:p>
        </w:tc>
        <w:tc>
          <w:tcPr>
            <w:tcW w:w="343" w:type="pct"/>
            <w:shd w:val="clear" w:color="000000" w:fill="FFFFFF"/>
            <w:vAlign w:val="center"/>
          </w:tcPr>
          <w:p w14:paraId="1B2C06EB" w14:textId="77777777" w:rsidR="00AB379C" w:rsidRPr="002D6581" w:rsidRDefault="00AB379C" w:rsidP="007055F6">
            <w:pPr>
              <w:jc w:val="center"/>
              <w:rPr>
                <w:rFonts w:eastAsia="Times New Roman" w:cstheme="minorHAnsi"/>
                <w:lang w:bidi="ar-SA"/>
              </w:rPr>
            </w:pPr>
            <w:r w:rsidRPr="002D6581">
              <w:rPr>
                <w:rFonts w:cstheme="minorHAnsi"/>
              </w:rPr>
              <w:t>34.8%</w:t>
            </w:r>
          </w:p>
        </w:tc>
        <w:tc>
          <w:tcPr>
            <w:tcW w:w="375" w:type="pct"/>
            <w:shd w:val="clear" w:color="000000" w:fill="FFFFFF"/>
            <w:vAlign w:val="center"/>
          </w:tcPr>
          <w:p w14:paraId="031216AE" w14:textId="77777777" w:rsidR="00AB379C" w:rsidRPr="002D6581" w:rsidRDefault="00AB379C" w:rsidP="007055F6">
            <w:pPr>
              <w:jc w:val="center"/>
              <w:rPr>
                <w:rFonts w:eastAsia="Times New Roman" w:cstheme="minorHAnsi"/>
                <w:lang w:bidi="ar-SA"/>
              </w:rPr>
            </w:pPr>
            <w:r w:rsidRPr="002D6581">
              <w:rPr>
                <w:rFonts w:cstheme="minorHAnsi"/>
              </w:rPr>
              <w:t>35.2%</w:t>
            </w:r>
          </w:p>
        </w:tc>
        <w:tc>
          <w:tcPr>
            <w:tcW w:w="405" w:type="pct"/>
            <w:shd w:val="clear" w:color="000000" w:fill="FFFFFF"/>
            <w:vAlign w:val="center"/>
          </w:tcPr>
          <w:p w14:paraId="67FCB241" w14:textId="77777777" w:rsidR="00AB379C" w:rsidRPr="002D6581" w:rsidRDefault="00AB379C" w:rsidP="007055F6">
            <w:pPr>
              <w:jc w:val="center"/>
              <w:rPr>
                <w:rFonts w:eastAsia="Times New Roman" w:cstheme="minorHAnsi"/>
                <w:lang w:bidi="ar-SA"/>
              </w:rPr>
            </w:pPr>
            <w:r w:rsidRPr="002D6581">
              <w:rPr>
                <w:rFonts w:cstheme="minorHAnsi"/>
              </w:rPr>
              <w:t>0.38</w:t>
            </w:r>
          </w:p>
        </w:tc>
        <w:tc>
          <w:tcPr>
            <w:tcW w:w="406" w:type="pct"/>
            <w:shd w:val="clear" w:color="000000" w:fill="FFFFFF"/>
            <w:vAlign w:val="center"/>
          </w:tcPr>
          <w:p w14:paraId="644F456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502740F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0CF3F97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6B5BA0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03C7D6C6" w14:textId="77777777" w:rsidTr="002D6581">
        <w:trPr>
          <w:cantSplit/>
          <w:trHeight w:val="144"/>
        </w:trPr>
        <w:tc>
          <w:tcPr>
            <w:tcW w:w="286" w:type="pct"/>
            <w:shd w:val="clear" w:color="auto" w:fill="FFFFFF" w:themeFill="background1"/>
            <w:vAlign w:val="center"/>
          </w:tcPr>
          <w:p w14:paraId="4FB2DDB8"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225BAE5E" w14:textId="77777777" w:rsidR="000901C6" w:rsidRDefault="00AB379C" w:rsidP="007055F6">
            <w:pPr>
              <w:ind w:left="76"/>
              <w:jc w:val="left"/>
              <w:rPr>
                <w:rFonts w:eastAsia="Times New Roman" w:cstheme="minorHAnsi"/>
                <w:lang w:bidi="ar-SA"/>
              </w:rPr>
            </w:pPr>
            <w:r w:rsidRPr="002D6581">
              <w:rPr>
                <w:rFonts w:eastAsia="Times New Roman" w:cstheme="minorHAnsi"/>
                <w:lang w:bidi="ar-SA"/>
              </w:rPr>
              <w:t>IPUA: Medicine Discharges/</w:t>
            </w:r>
          </w:p>
          <w:p w14:paraId="1BF0B10A" w14:textId="323D0F10"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1</w:t>
            </w:r>
            <w:r w:rsidR="000901C6">
              <w:rPr>
                <w:rFonts w:eastAsia="Times New Roman" w:cstheme="minorHAnsi"/>
                <w:lang w:bidi="ar-SA"/>
              </w:rPr>
              <w:t>,</w:t>
            </w:r>
            <w:r w:rsidRPr="002D6581">
              <w:rPr>
                <w:rFonts w:eastAsia="Times New Roman" w:cstheme="minorHAnsi"/>
                <w:lang w:bidi="ar-SA"/>
              </w:rPr>
              <w:t>000 MM Ages 10—19 years</w:t>
            </w:r>
          </w:p>
        </w:tc>
        <w:tc>
          <w:tcPr>
            <w:tcW w:w="312" w:type="pct"/>
            <w:shd w:val="clear" w:color="auto" w:fill="auto"/>
            <w:vAlign w:val="center"/>
          </w:tcPr>
          <w:p w14:paraId="7BC49443" w14:textId="77777777" w:rsidR="00AB379C" w:rsidRPr="002D6581" w:rsidRDefault="00AB379C" w:rsidP="007055F6">
            <w:pPr>
              <w:jc w:val="center"/>
              <w:rPr>
                <w:rFonts w:eastAsia="Times New Roman" w:cstheme="minorHAnsi"/>
                <w:lang w:bidi="ar-SA"/>
              </w:rPr>
            </w:pPr>
            <w:r w:rsidRPr="002D6581">
              <w:rPr>
                <w:rFonts w:cstheme="minorHAnsi"/>
              </w:rPr>
              <w:t>227,826</w:t>
            </w:r>
          </w:p>
        </w:tc>
        <w:tc>
          <w:tcPr>
            <w:tcW w:w="281" w:type="pct"/>
            <w:shd w:val="clear" w:color="000000" w:fill="FFFFFF"/>
            <w:vAlign w:val="center"/>
          </w:tcPr>
          <w:p w14:paraId="3F78C10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16931386" w14:textId="77777777" w:rsidR="00AB379C" w:rsidRPr="002D6581" w:rsidRDefault="00AB379C" w:rsidP="007055F6">
            <w:pPr>
              <w:jc w:val="center"/>
              <w:rPr>
                <w:rFonts w:eastAsia="Times New Roman" w:cstheme="minorHAnsi"/>
                <w:b/>
                <w:bCs/>
                <w:lang w:bidi="ar-SA"/>
              </w:rPr>
            </w:pPr>
            <w:r w:rsidRPr="002D6581">
              <w:rPr>
                <w:rFonts w:cstheme="minorHAnsi"/>
                <w:b/>
                <w:bCs/>
              </w:rPr>
              <w:t>0.41</w:t>
            </w:r>
          </w:p>
        </w:tc>
        <w:tc>
          <w:tcPr>
            <w:tcW w:w="343" w:type="pct"/>
            <w:shd w:val="clear" w:color="000000" w:fill="FFFFFF"/>
            <w:vAlign w:val="center"/>
          </w:tcPr>
          <w:p w14:paraId="2360C290" w14:textId="77777777" w:rsidR="00AB379C" w:rsidRPr="002D6581" w:rsidRDefault="00AB379C" w:rsidP="007055F6">
            <w:pPr>
              <w:jc w:val="center"/>
              <w:rPr>
                <w:rFonts w:eastAsia="Times New Roman" w:cstheme="minorHAnsi"/>
                <w:lang w:bidi="ar-SA"/>
              </w:rPr>
            </w:pPr>
            <w:r w:rsidRPr="002D6581">
              <w:rPr>
                <w:rFonts w:cstheme="minorHAnsi"/>
              </w:rPr>
              <w:t>40.8%</w:t>
            </w:r>
          </w:p>
        </w:tc>
        <w:tc>
          <w:tcPr>
            <w:tcW w:w="375" w:type="pct"/>
            <w:shd w:val="clear" w:color="000000" w:fill="FFFFFF"/>
            <w:vAlign w:val="center"/>
          </w:tcPr>
          <w:p w14:paraId="5214E1B5" w14:textId="77777777" w:rsidR="00AB379C" w:rsidRPr="002D6581" w:rsidRDefault="00AB379C" w:rsidP="007055F6">
            <w:pPr>
              <w:jc w:val="center"/>
              <w:rPr>
                <w:rFonts w:eastAsia="Times New Roman" w:cstheme="minorHAnsi"/>
                <w:lang w:bidi="ar-SA"/>
              </w:rPr>
            </w:pPr>
            <w:r w:rsidRPr="002D6581">
              <w:rPr>
                <w:rFonts w:cstheme="minorHAnsi"/>
              </w:rPr>
              <w:t>41.2%</w:t>
            </w:r>
          </w:p>
        </w:tc>
        <w:tc>
          <w:tcPr>
            <w:tcW w:w="405" w:type="pct"/>
            <w:shd w:val="clear" w:color="000000" w:fill="FFFFFF"/>
            <w:vAlign w:val="center"/>
          </w:tcPr>
          <w:p w14:paraId="0623BCF7" w14:textId="77777777" w:rsidR="00AB379C" w:rsidRPr="002D6581" w:rsidRDefault="00AB379C" w:rsidP="007055F6">
            <w:pPr>
              <w:jc w:val="center"/>
              <w:rPr>
                <w:rFonts w:eastAsia="Times New Roman" w:cstheme="minorHAnsi"/>
                <w:lang w:bidi="ar-SA"/>
              </w:rPr>
            </w:pPr>
            <w:r w:rsidRPr="002D6581">
              <w:rPr>
                <w:rFonts w:cstheme="minorHAnsi"/>
              </w:rPr>
              <w:t>0.41</w:t>
            </w:r>
          </w:p>
        </w:tc>
        <w:tc>
          <w:tcPr>
            <w:tcW w:w="406" w:type="pct"/>
            <w:shd w:val="clear" w:color="000000" w:fill="FFFFFF"/>
            <w:vAlign w:val="center"/>
          </w:tcPr>
          <w:p w14:paraId="24150BE6"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56764AE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3252DC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45B0B29"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6CFFA3F" w14:textId="77777777" w:rsidTr="002D6581">
        <w:trPr>
          <w:cantSplit/>
          <w:trHeight w:val="144"/>
        </w:trPr>
        <w:tc>
          <w:tcPr>
            <w:tcW w:w="286" w:type="pct"/>
            <w:shd w:val="clear" w:color="auto" w:fill="FFFFFF" w:themeFill="background1"/>
            <w:vAlign w:val="center"/>
          </w:tcPr>
          <w:p w14:paraId="24872A38"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57B96F9" w14:textId="77777777" w:rsidR="000901C6" w:rsidRDefault="00AB379C" w:rsidP="007055F6">
            <w:pPr>
              <w:ind w:left="76"/>
              <w:jc w:val="left"/>
              <w:rPr>
                <w:rFonts w:eastAsia="Times New Roman" w:cstheme="minorHAnsi"/>
                <w:lang w:bidi="ar-SA"/>
              </w:rPr>
            </w:pPr>
            <w:r w:rsidRPr="002D6581">
              <w:rPr>
                <w:rFonts w:eastAsia="Times New Roman" w:cstheme="minorHAnsi"/>
                <w:lang w:bidi="ar-SA"/>
              </w:rPr>
              <w:t>IPUA: Medicine Discharges/</w:t>
            </w:r>
          </w:p>
          <w:p w14:paraId="706B7A56" w14:textId="486A8E35"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1</w:t>
            </w:r>
            <w:r w:rsidR="000901C6">
              <w:rPr>
                <w:rFonts w:eastAsia="Times New Roman" w:cstheme="minorHAnsi"/>
                <w:lang w:bidi="ar-SA"/>
              </w:rPr>
              <w:t>,</w:t>
            </w:r>
            <w:r w:rsidRPr="002D6581">
              <w:rPr>
                <w:rFonts w:eastAsia="Times New Roman" w:cstheme="minorHAnsi"/>
                <w:lang w:bidi="ar-SA"/>
              </w:rPr>
              <w:t>000 MM Ages &lt;</w:t>
            </w:r>
            <w:r w:rsidR="000901C6">
              <w:rPr>
                <w:rFonts w:eastAsia="Times New Roman" w:cstheme="minorHAnsi"/>
                <w:lang w:bidi="ar-SA"/>
              </w:rPr>
              <w:t xml:space="preserve"> </w:t>
            </w:r>
            <w:r w:rsidRPr="002D6581">
              <w:rPr>
                <w:rFonts w:eastAsia="Times New Roman" w:cstheme="minorHAnsi"/>
                <w:lang w:bidi="ar-SA"/>
              </w:rPr>
              <w:t>1—19 years Total Rate</w:t>
            </w:r>
          </w:p>
        </w:tc>
        <w:tc>
          <w:tcPr>
            <w:tcW w:w="312" w:type="pct"/>
            <w:shd w:val="clear" w:color="auto" w:fill="auto"/>
            <w:vAlign w:val="center"/>
          </w:tcPr>
          <w:p w14:paraId="664126D5" w14:textId="77777777" w:rsidR="00AB379C" w:rsidRPr="002D6581" w:rsidRDefault="00AB379C" w:rsidP="007055F6">
            <w:pPr>
              <w:jc w:val="center"/>
              <w:rPr>
                <w:rFonts w:eastAsia="Times New Roman" w:cstheme="minorHAnsi"/>
                <w:lang w:bidi="ar-SA"/>
              </w:rPr>
            </w:pPr>
            <w:r w:rsidRPr="002D6581">
              <w:rPr>
                <w:rFonts w:cstheme="minorHAnsi"/>
              </w:rPr>
              <w:t>398,214</w:t>
            </w:r>
          </w:p>
        </w:tc>
        <w:tc>
          <w:tcPr>
            <w:tcW w:w="281" w:type="pct"/>
            <w:shd w:val="clear" w:color="000000" w:fill="FFFFFF"/>
            <w:vAlign w:val="center"/>
          </w:tcPr>
          <w:p w14:paraId="6C7BA14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5DE804B3" w14:textId="77777777" w:rsidR="00AB379C" w:rsidRPr="002D6581" w:rsidRDefault="00AB379C" w:rsidP="007055F6">
            <w:pPr>
              <w:jc w:val="center"/>
              <w:rPr>
                <w:rFonts w:eastAsia="Times New Roman" w:cstheme="minorHAnsi"/>
                <w:b/>
                <w:bCs/>
                <w:lang w:bidi="ar-SA"/>
              </w:rPr>
            </w:pPr>
            <w:r w:rsidRPr="002D6581">
              <w:rPr>
                <w:rFonts w:cstheme="minorHAnsi"/>
                <w:b/>
                <w:bCs/>
              </w:rPr>
              <w:t>0.40</w:t>
            </w:r>
          </w:p>
        </w:tc>
        <w:tc>
          <w:tcPr>
            <w:tcW w:w="343" w:type="pct"/>
            <w:shd w:val="clear" w:color="000000" w:fill="FFFFFF"/>
            <w:vAlign w:val="center"/>
          </w:tcPr>
          <w:p w14:paraId="29093F70" w14:textId="77777777" w:rsidR="00AB379C" w:rsidRPr="002D6581" w:rsidRDefault="00AB379C" w:rsidP="007055F6">
            <w:pPr>
              <w:jc w:val="center"/>
              <w:rPr>
                <w:rFonts w:eastAsia="Times New Roman" w:cstheme="minorHAnsi"/>
                <w:lang w:bidi="ar-SA"/>
              </w:rPr>
            </w:pPr>
            <w:r w:rsidRPr="002D6581">
              <w:rPr>
                <w:rFonts w:cstheme="minorHAnsi"/>
              </w:rPr>
              <w:t>39.8%</w:t>
            </w:r>
          </w:p>
        </w:tc>
        <w:tc>
          <w:tcPr>
            <w:tcW w:w="375" w:type="pct"/>
            <w:shd w:val="clear" w:color="000000" w:fill="FFFFFF"/>
            <w:vAlign w:val="center"/>
          </w:tcPr>
          <w:p w14:paraId="62D3818E" w14:textId="77777777" w:rsidR="00AB379C" w:rsidRPr="002D6581" w:rsidRDefault="00AB379C" w:rsidP="007055F6">
            <w:pPr>
              <w:jc w:val="center"/>
              <w:rPr>
                <w:rFonts w:eastAsia="Times New Roman" w:cstheme="minorHAnsi"/>
                <w:lang w:bidi="ar-SA"/>
              </w:rPr>
            </w:pPr>
            <w:r w:rsidRPr="002D6581">
              <w:rPr>
                <w:rFonts w:cstheme="minorHAnsi"/>
              </w:rPr>
              <w:t>40.2%</w:t>
            </w:r>
          </w:p>
        </w:tc>
        <w:tc>
          <w:tcPr>
            <w:tcW w:w="405" w:type="pct"/>
            <w:shd w:val="clear" w:color="000000" w:fill="FFFFFF"/>
            <w:vAlign w:val="center"/>
          </w:tcPr>
          <w:p w14:paraId="671E0491" w14:textId="77777777" w:rsidR="00AB379C" w:rsidRPr="002D6581" w:rsidRDefault="00AB379C" w:rsidP="007055F6">
            <w:pPr>
              <w:jc w:val="center"/>
              <w:rPr>
                <w:rFonts w:eastAsia="Times New Roman" w:cstheme="minorHAnsi"/>
                <w:lang w:bidi="ar-SA"/>
              </w:rPr>
            </w:pPr>
            <w:r w:rsidRPr="002D6581">
              <w:rPr>
                <w:rFonts w:cstheme="minorHAnsi"/>
              </w:rPr>
              <w:t>0.43</w:t>
            </w:r>
          </w:p>
        </w:tc>
        <w:tc>
          <w:tcPr>
            <w:tcW w:w="406" w:type="pct"/>
            <w:shd w:val="clear" w:color="000000" w:fill="FFFFFF"/>
            <w:vAlign w:val="center"/>
          </w:tcPr>
          <w:p w14:paraId="05A222AB"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3818B47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6D10C5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3CD3DCF2"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084533CC" w14:textId="77777777" w:rsidTr="002D6581">
        <w:trPr>
          <w:cantSplit/>
          <w:trHeight w:val="144"/>
        </w:trPr>
        <w:tc>
          <w:tcPr>
            <w:tcW w:w="286" w:type="pct"/>
            <w:shd w:val="clear" w:color="auto" w:fill="FFFFFF" w:themeFill="background1"/>
            <w:vAlign w:val="center"/>
          </w:tcPr>
          <w:p w14:paraId="13BFFD8F"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76F130B" w14:textId="3ADE5CBF"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Medicine ALOS Ages &lt;</w:t>
            </w:r>
            <w:r w:rsidR="000901C6">
              <w:rPr>
                <w:rFonts w:eastAsia="Times New Roman" w:cstheme="minorHAnsi"/>
                <w:lang w:bidi="ar-SA"/>
              </w:rPr>
              <w:t xml:space="preserve"> </w:t>
            </w:r>
            <w:r w:rsidRPr="002D6581">
              <w:rPr>
                <w:rFonts w:eastAsia="Times New Roman" w:cstheme="minorHAnsi"/>
                <w:lang w:bidi="ar-SA"/>
              </w:rPr>
              <w:t>1 year</w:t>
            </w:r>
          </w:p>
        </w:tc>
        <w:tc>
          <w:tcPr>
            <w:tcW w:w="312" w:type="pct"/>
            <w:shd w:val="clear" w:color="auto" w:fill="auto"/>
            <w:vAlign w:val="center"/>
          </w:tcPr>
          <w:p w14:paraId="0B3A5A6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58AAC6E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2A9C9F0C" w14:textId="77777777" w:rsidR="00AB379C" w:rsidRPr="002D6581" w:rsidRDefault="00AB379C" w:rsidP="007055F6">
            <w:pPr>
              <w:jc w:val="center"/>
              <w:rPr>
                <w:rFonts w:eastAsia="Times New Roman" w:cstheme="minorHAnsi"/>
                <w:b/>
                <w:bCs/>
                <w:lang w:bidi="ar-SA"/>
              </w:rPr>
            </w:pPr>
            <w:r w:rsidRPr="002D6581">
              <w:rPr>
                <w:rFonts w:cstheme="minorHAnsi"/>
                <w:b/>
                <w:bCs/>
              </w:rPr>
              <w:t>2.00</w:t>
            </w:r>
          </w:p>
        </w:tc>
        <w:tc>
          <w:tcPr>
            <w:tcW w:w="343" w:type="pct"/>
            <w:shd w:val="clear" w:color="000000" w:fill="FFFFFF"/>
            <w:vAlign w:val="center"/>
          </w:tcPr>
          <w:p w14:paraId="558E6C1F"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53D6B628"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6F16EEA6" w14:textId="77777777" w:rsidR="00AB379C" w:rsidRPr="002D6581" w:rsidRDefault="00AB379C" w:rsidP="007055F6">
            <w:pPr>
              <w:jc w:val="center"/>
              <w:rPr>
                <w:rFonts w:eastAsia="Times New Roman" w:cstheme="minorHAnsi"/>
                <w:lang w:bidi="ar-SA"/>
              </w:rPr>
            </w:pPr>
            <w:r w:rsidRPr="002D6581">
              <w:rPr>
                <w:rFonts w:cstheme="minorHAnsi"/>
              </w:rPr>
              <w:t>2.06</w:t>
            </w:r>
          </w:p>
        </w:tc>
        <w:tc>
          <w:tcPr>
            <w:tcW w:w="406" w:type="pct"/>
            <w:shd w:val="clear" w:color="000000" w:fill="FFFFFF"/>
            <w:vAlign w:val="center"/>
          </w:tcPr>
          <w:p w14:paraId="5DCE5981"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504C85C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2B5DE7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36236E24"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C676897" w14:textId="77777777" w:rsidTr="002D6581">
        <w:trPr>
          <w:cantSplit/>
          <w:trHeight w:val="144"/>
        </w:trPr>
        <w:tc>
          <w:tcPr>
            <w:tcW w:w="286" w:type="pct"/>
            <w:shd w:val="clear" w:color="auto" w:fill="FFFFFF" w:themeFill="background1"/>
            <w:vAlign w:val="center"/>
          </w:tcPr>
          <w:p w14:paraId="61E0CEFB"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8716408"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Medicine ALOS Ages 1—9 years</w:t>
            </w:r>
          </w:p>
        </w:tc>
        <w:tc>
          <w:tcPr>
            <w:tcW w:w="312" w:type="pct"/>
            <w:shd w:val="clear" w:color="auto" w:fill="auto"/>
            <w:vAlign w:val="center"/>
          </w:tcPr>
          <w:p w14:paraId="0117292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7092710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3D069AF8" w14:textId="77777777" w:rsidR="00AB379C" w:rsidRPr="002D6581" w:rsidRDefault="00AB379C" w:rsidP="007055F6">
            <w:pPr>
              <w:jc w:val="center"/>
              <w:rPr>
                <w:rFonts w:eastAsia="Times New Roman" w:cstheme="minorHAnsi"/>
                <w:b/>
                <w:bCs/>
                <w:lang w:bidi="ar-SA"/>
              </w:rPr>
            </w:pPr>
            <w:r w:rsidRPr="002D6581">
              <w:rPr>
                <w:rFonts w:cstheme="minorHAnsi"/>
                <w:b/>
                <w:bCs/>
              </w:rPr>
              <w:t>1.95</w:t>
            </w:r>
          </w:p>
        </w:tc>
        <w:tc>
          <w:tcPr>
            <w:tcW w:w="343" w:type="pct"/>
            <w:shd w:val="clear" w:color="000000" w:fill="FFFFFF"/>
            <w:vAlign w:val="center"/>
          </w:tcPr>
          <w:p w14:paraId="4173EC7E"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174473CB"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381AFA4E" w14:textId="77777777" w:rsidR="00AB379C" w:rsidRPr="002D6581" w:rsidRDefault="00AB379C" w:rsidP="007055F6">
            <w:pPr>
              <w:jc w:val="center"/>
              <w:rPr>
                <w:rFonts w:eastAsia="Times New Roman" w:cstheme="minorHAnsi"/>
                <w:lang w:bidi="ar-SA"/>
              </w:rPr>
            </w:pPr>
            <w:r w:rsidRPr="002D6581">
              <w:rPr>
                <w:rFonts w:cstheme="minorHAnsi"/>
              </w:rPr>
              <w:t>1.86</w:t>
            </w:r>
          </w:p>
        </w:tc>
        <w:tc>
          <w:tcPr>
            <w:tcW w:w="406" w:type="pct"/>
            <w:shd w:val="clear" w:color="000000" w:fill="FFFFFF"/>
            <w:vAlign w:val="center"/>
          </w:tcPr>
          <w:p w14:paraId="7E0147B7"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12293F5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36F392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CEF88FE"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C1B5A2A" w14:textId="77777777" w:rsidTr="002D6581">
        <w:trPr>
          <w:cantSplit/>
          <w:trHeight w:val="144"/>
        </w:trPr>
        <w:tc>
          <w:tcPr>
            <w:tcW w:w="286" w:type="pct"/>
            <w:shd w:val="clear" w:color="auto" w:fill="FFFFFF" w:themeFill="background1"/>
            <w:vAlign w:val="center"/>
          </w:tcPr>
          <w:p w14:paraId="66244D7B"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9BD65B7"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Medicine ALOS Ages 10—19 years</w:t>
            </w:r>
          </w:p>
        </w:tc>
        <w:tc>
          <w:tcPr>
            <w:tcW w:w="312" w:type="pct"/>
            <w:shd w:val="clear" w:color="auto" w:fill="auto"/>
            <w:vAlign w:val="center"/>
          </w:tcPr>
          <w:p w14:paraId="11F3E4E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54A0B64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347D8528" w14:textId="77777777" w:rsidR="00AB379C" w:rsidRPr="002D6581" w:rsidRDefault="00AB379C" w:rsidP="007055F6">
            <w:pPr>
              <w:jc w:val="center"/>
              <w:rPr>
                <w:rFonts w:eastAsia="Times New Roman" w:cstheme="minorHAnsi"/>
                <w:b/>
                <w:bCs/>
                <w:lang w:bidi="ar-SA"/>
              </w:rPr>
            </w:pPr>
            <w:r w:rsidRPr="002D6581">
              <w:rPr>
                <w:rFonts w:cstheme="minorHAnsi"/>
                <w:b/>
                <w:bCs/>
              </w:rPr>
              <w:t>2.74</w:t>
            </w:r>
          </w:p>
        </w:tc>
        <w:tc>
          <w:tcPr>
            <w:tcW w:w="343" w:type="pct"/>
            <w:shd w:val="clear" w:color="000000" w:fill="FFFFFF"/>
            <w:vAlign w:val="center"/>
          </w:tcPr>
          <w:p w14:paraId="4E6A0E52"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55B441DF"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7F4FD8EE" w14:textId="77777777" w:rsidR="00AB379C" w:rsidRPr="002D6581" w:rsidRDefault="00AB379C" w:rsidP="007055F6">
            <w:pPr>
              <w:jc w:val="center"/>
              <w:rPr>
                <w:rFonts w:eastAsia="Times New Roman" w:cstheme="minorHAnsi"/>
                <w:lang w:bidi="ar-SA"/>
              </w:rPr>
            </w:pPr>
            <w:r w:rsidRPr="002D6581">
              <w:rPr>
                <w:rFonts w:cstheme="minorHAnsi"/>
              </w:rPr>
              <w:t>2.92</w:t>
            </w:r>
          </w:p>
        </w:tc>
        <w:tc>
          <w:tcPr>
            <w:tcW w:w="406" w:type="pct"/>
            <w:shd w:val="clear" w:color="000000" w:fill="FFFFFF"/>
            <w:vAlign w:val="center"/>
          </w:tcPr>
          <w:p w14:paraId="35422942"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46359A2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1668C9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62CB4A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18FF05F" w14:textId="77777777" w:rsidTr="002D6581">
        <w:trPr>
          <w:cantSplit/>
          <w:trHeight w:val="144"/>
        </w:trPr>
        <w:tc>
          <w:tcPr>
            <w:tcW w:w="286" w:type="pct"/>
            <w:shd w:val="clear" w:color="auto" w:fill="FFFFFF" w:themeFill="background1"/>
            <w:vAlign w:val="center"/>
          </w:tcPr>
          <w:p w14:paraId="605EBB86"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2D4CDB59" w14:textId="7F98EEE3"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Medicine ALOS Ages &lt;</w:t>
            </w:r>
            <w:r w:rsidR="000901C6">
              <w:rPr>
                <w:rFonts w:eastAsia="Times New Roman" w:cstheme="minorHAnsi"/>
                <w:lang w:bidi="ar-SA"/>
              </w:rPr>
              <w:t xml:space="preserve"> </w:t>
            </w:r>
            <w:r w:rsidRPr="002D6581">
              <w:rPr>
                <w:rFonts w:eastAsia="Times New Roman" w:cstheme="minorHAnsi"/>
                <w:lang w:bidi="ar-SA"/>
              </w:rPr>
              <w:t>1—19 years Total Rate</w:t>
            </w:r>
          </w:p>
        </w:tc>
        <w:tc>
          <w:tcPr>
            <w:tcW w:w="312" w:type="pct"/>
            <w:shd w:val="clear" w:color="auto" w:fill="auto"/>
            <w:vAlign w:val="center"/>
          </w:tcPr>
          <w:p w14:paraId="7887ACB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07FAAC7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36B76152" w14:textId="77777777" w:rsidR="00AB379C" w:rsidRPr="002D6581" w:rsidRDefault="00AB379C" w:rsidP="007055F6">
            <w:pPr>
              <w:jc w:val="center"/>
              <w:rPr>
                <w:rFonts w:eastAsia="Times New Roman" w:cstheme="minorHAnsi"/>
                <w:b/>
                <w:bCs/>
                <w:lang w:bidi="ar-SA"/>
              </w:rPr>
            </w:pPr>
            <w:r w:rsidRPr="002D6581">
              <w:rPr>
                <w:rFonts w:cstheme="minorHAnsi"/>
                <w:b/>
                <w:bCs/>
              </w:rPr>
              <w:t>2.42</w:t>
            </w:r>
          </w:p>
        </w:tc>
        <w:tc>
          <w:tcPr>
            <w:tcW w:w="343" w:type="pct"/>
            <w:shd w:val="clear" w:color="000000" w:fill="FFFFFF"/>
            <w:vAlign w:val="center"/>
          </w:tcPr>
          <w:p w14:paraId="341D4594"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620320D8"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2D0FF5C2" w14:textId="77777777" w:rsidR="00AB379C" w:rsidRPr="002D6581" w:rsidRDefault="00AB379C" w:rsidP="007055F6">
            <w:pPr>
              <w:jc w:val="center"/>
              <w:rPr>
                <w:rFonts w:eastAsia="Times New Roman" w:cstheme="minorHAnsi"/>
                <w:lang w:bidi="ar-SA"/>
              </w:rPr>
            </w:pPr>
            <w:r w:rsidRPr="002D6581">
              <w:rPr>
                <w:rFonts w:cstheme="minorHAnsi"/>
              </w:rPr>
              <w:t>2.44</w:t>
            </w:r>
          </w:p>
        </w:tc>
        <w:tc>
          <w:tcPr>
            <w:tcW w:w="406" w:type="pct"/>
            <w:shd w:val="clear" w:color="000000" w:fill="FFFFFF"/>
            <w:vAlign w:val="center"/>
          </w:tcPr>
          <w:p w14:paraId="5853CD8B"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220144E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5BE4CD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096503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3BF1897" w14:textId="77777777" w:rsidTr="002D6581">
        <w:trPr>
          <w:cantSplit/>
          <w:trHeight w:val="144"/>
        </w:trPr>
        <w:tc>
          <w:tcPr>
            <w:tcW w:w="286" w:type="pct"/>
            <w:shd w:val="clear" w:color="auto" w:fill="FFFFFF" w:themeFill="background1"/>
            <w:vAlign w:val="center"/>
          </w:tcPr>
          <w:p w14:paraId="3A0554AA"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798DC3D0" w14:textId="66A748CF"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Maternity</w:t>
            </w:r>
            <w:r w:rsidR="00885A0E">
              <w:rPr>
                <w:rFonts w:eastAsia="Times New Roman" w:cstheme="minorHAnsi"/>
                <w:lang w:bidi="ar-SA"/>
              </w:rPr>
              <w:t xml:space="preserve"> Discharge</w:t>
            </w:r>
            <w:r w:rsidRPr="002D6581">
              <w:rPr>
                <w:rFonts w:eastAsia="Times New Roman" w:cstheme="minorHAnsi"/>
                <w:lang w:bidi="ar-SA"/>
              </w:rPr>
              <w:t>/1</w:t>
            </w:r>
            <w:r w:rsidR="000901C6">
              <w:rPr>
                <w:rFonts w:eastAsia="Times New Roman" w:cstheme="minorHAnsi"/>
                <w:lang w:bidi="ar-SA"/>
              </w:rPr>
              <w:t>,</w:t>
            </w:r>
            <w:r w:rsidRPr="002D6581">
              <w:rPr>
                <w:rFonts w:eastAsia="Times New Roman" w:cstheme="minorHAnsi"/>
                <w:lang w:bidi="ar-SA"/>
              </w:rPr>
              <w:t>000 MM Ages 10—19 years</w:t>
            </w:r>
          </w:p>
        </w:tc>
        <w:tc>
          <w:tcPr>
            <w:tcW w:w="312" w:type="pct"/>
            <w:shd w:val="clear" w:color="auto" w:fill="auto"/>
            <w:vAlign w:val="center"/>
          </w:tcPr>
          <w:p w14:paraId="4E9DFC65" w14:textId="77777777" w:rsidR="00AB379C" w:rsidRPr="002D6581" w:rsidRDefault="00AB379C" w:rsidP="007055F6">
            <w:pPr>
              <w:jc w:val="center"/>
              <w:rPr>
                <w:rFonts w:eastAsia="Times New Roman" w:cstheme="minorHAnsi"/>
                <w:lang w:bidi="ar-SA"/>
              </w:rPr>
            </w:pPr>
            <w:r w:rsidRPr="002D6581">
              <w:rPr>
                <w:rFonts w:cstheme="minorHAnsi"/>
              </w:rPr>
              <w:t>227,826</w:t>
            </w:r>
          </w:p>
        </w:tc>
        <w:tc>
          <w:tcPr>
            <w:tcW w:w="281" w:type="pct"/>
            <w:shd w:val="clear" w:color="000000" w:fill="FFFFFF"/>
            <w:vAlign w:val="center"/>
          </w:tcPr>
          <w:p w14:paraId="1DE8960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7ED003CC" w14:textId="77777777" w:rsidR="00AB379C" w:rsidRPr="002D6581" w:rsidRDefault="00AB379C" w:rsidP="007055F6">
            <w:pPr>
              <w:jc w:val="center"/>
              <w:rPr>
                <w:rFonts w:eastAsia="Times New Roman" w:cstheme="minorHAnsi"/>
                <w:b/>
                <w:bCs/>
                <w:lang w:bidi="ar-SA"/>
              </w:rPr>
            </w:pPr>
            <w:r w:rsidRPr="002D6581">
              <w:rPr>
                <w:rFonts w:cstheme="minorHAnsi"/>
                <w:b/>
                <w:bCs/>
              </w:rPr>
              <w:t>0.07</w:t>
            </w:r>
          </w:p>
        </w:tc>
        <w:tc>
          <w:tcPr>
            <w:tcW w:w="343" w:type="pct"/>
            <w:shd w:val="clear" w:color="000000" w:fill="FFFFFF"/>
            <w:vAlign w:val="center"/>
          </w:tcPr>
          <w:p w14:paraId="0D2E9BFA" w14:textId="77777777" w:rsidR="00AB379C" w:rsidRPr="002D6581" w:rsidRDefault="00AB379C" w:rsidP="007055F6">
            <w:pPr>
              <w:jc w:val="center"/>
              <w:rPr>
                <w:rFonts w:eastAsia="Times New Roman" w:cstheme="minorHAnsi"/>
                <w:lang w:bidi="ar-SA"/>
              </w:rPr>
            </w:pPr>
            <w:r w:rsidRPr="002D6581">
              <w:rPr>
                <w:rFonts w:cstheme="minorHAnsi"/>
              </w:rPr>
              <w:t>6.9%</w:t>
            </w:r>
          </w:p>
        </w:tc>
        <w:tc>
          <w:tcPr>
            <w:tcW w:w="375" w:type="pct"/>
            <w:shd w:val="clear" w:color="000000" w:fill="FFFFFF"/>
            <w:vAlign w:val="center"/>
          </w:tcPr>
          <w:p w14:paraId="50228AD4" w14:textId="77777777" w:rsidR="00AB379C" w:rsidRPr="002D6581" w:rsidRDefault="00AB379C" w:rsidP="007055F6">
            <w:pPr>
              <w:jc w:val="center"/>
              <w:rPr>
                <w:rFonts w:eastAsia="Times New Roman" w:cstheme="minorHAnsi"/>
                <w:lang w:bidi="ar-SA"/>
              </w:rPr>
            </w:pPr>
            <w:r w:rsidRPr="002D6581">
              <w:rPr>
                <w:rFonts w:cstheme="minorHAnsi"/>
              </w:rPr>
              <w:t>7.1%</w:t>
            </w:r>
          </w:p>
        </w:tc>
        <w:tc>
          <w:tcPr>
            <w:tcW w:w="405" w:type="pct"/>
            <w:shd w:val="clear" w:color="000000" w:fill="FFFFFF"/>
            <w:vAlign w:val="center"/>
          </w:tcPr>
          <w:p w14:paraId="5834CC05" w14:textId="77777777" w:rsidR="00AB379C" w:rsidRPr="002D6581" w:rsidRDefault="00AB379C" w:rsidP="007055F6">
            <w:pPr>
              <w:jc w:val="center"/>
              <w:rPr>
                <w:rFonts w:eastAsia="Times New Roman" w:cstheme="minorHAnsi"/>
                <w:lang w:bidi="ar-SA"/>
              </w:rPr>
            </w:pPr>
            <w:r w:rsidRPr="002D6581">
              <w:rPr>
                <w:rFonts w:cstheme="minorHAnsi"/>
              </w:rPr>
              <w:t>0.07</w:t>
            </w:r>
          </w:p>
        </w:tc>
        <w:tc>
          <w:tcPr>
            <w:tcW w:w="406" w:type="pct"/>
            <w:shd w:val="clear" w:color="000000" w:fill="FFFFFF"/>
            <w:vAlign w:val="center"/>
          </w:tcPr>
          <w:p w14:paraId="7C83AFF5"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6302498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9CBC63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980F83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0BADBD16" w14:textId="77777777" w:rsidTr="002D6581">
        <w:trPr>
          <w:cantSplit/>
          <w:trHeight w:val="144"/>
        </w:trPr>
        <w:tc>
          <w:tcPr>
            <w:tcW w:w="286" w:type="pct"/>
            <w:shd w:val="clear" w:color="auto" w:fill="FFFFFF" w:themeFill="background1"/>
            <w:vAlign w:val="center"/>
          </w:tcPr>
          <w:p w14:paraId="051F450E"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BA8E8A7"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IPUA: Maternity ALOS Ages 10—19 years Total Rate</w:t>
            </w:r>
          </w:p>
        </w:tc>
        <w:tc>
          <w:tcPr>
            <w:tcW w:w="312" w:type="pct"/>
            <w:shd w:val="clear" w:color="auto" w:fill="auto"/>
            <w:vAlign w:val="center"/>
          </w:tcPr>
          <w:p w14:paraId="39F21BD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281" w:type="pct"/>
            <w:shd w:val="clear" w:color="000000" w:fill="FFFFFF"/>
            <w:vAlign w:val="center"/>
          </w:tcPr>
          <w:p w14:paraId="18230AC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11" w:type="pct"/>
            <w:shd w:val="clear" w:color="000000" w:fill="FFFFFF"/>
            <w:vAlign w:val="center"/>
          </w:tcPr>
          <w:p w14:paraId="13606D6D" w14:textId="77777777" w:rsidR="00AB379C" w:rsidRPr="002D6581" w:rsidRDefault="00AB379C" w:rsidP="007055F6">
            <w:pPr>
              <w:jc w:val="center"/>
              <w:rPr>
                <w:rFonts w:eastAsia="Times New Roman" w:cstheme="minorHAnsi"/>
                <w:b/>
                <w:bCs/>
                <w:lang w:bidi="ar-SA"/>
              </w:rPr>
            </w:pPr>
            <w:r w:rsidRPr="002D6581">
              <w:rPr>
                <w:rFonts w:cstheme="minorHAnsi"/>
                <w:b/>
                <w:bCs/>
              </w:rPr>
              <w:t>3.56</w:t>
            </w:r>
          </w:p>
        </w:tc>
        <w:tc>
          <w:tcPr>
            <w:tcW w:w="343" w:type="pct"/>
            <w:shd w:val="clear" w:color="000000" w:fill="FFFFFF"/>
            <w:vAlign w:val="center"/>
          </w:tcPr>
          <w:p w14:paraId="7552A3DE"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75" w:type="pct"/>
            <w:shd w:val="clear" w:color="000000" w:fill="FFFFFF"/>
            <w:vAlign w:val="center"/>
          </w:tcPr>
          <w:p w14:paraId="7E658178"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405" w:type="pct"/>
            <w:shd w:val="clear" w:color="000000" w:fill="FFFFFF"/>
            <w:vAlign w:val="center"/>
          </w:tcPr>
          <w:p w14:paraId="1724C252" w14:textId="77777777" w:rsidR="00AB379C" w:rsidRPr="002D6581" w:rsidRDefault="00AB379C" w:rsidP="007055F6">
            <w:pPr>
              <w:jc w:val="center"/>
              <w:rPr>
                <w:rFonts w:eastAsia="Times New Roman" w:cstheme="minorHAnsi"/>
                <w:lang w:bidi="ar-SA"/>
              </w:rPr>
            </w:pPr>
            <w:r w:rsidRPr="002D6581">
              <w:rPr>
                <w:rFonts w:cstheme="minorHAnsi"/>
              </w:rPr>
              <w:t>2.44</w:t>
            </w:r>
          </w:p>
        </w:tc>
        <w:tc>
          <w:tcPr>
            <w:tcW w:w="406" w:type="pct"/>
            <w:shd w:val="clear" w:color="000000" w:fill="FFFFFF"/>
            <w:vAlign w:val="center"/>
          </w:tcPr>
          <w:p w14:paraId="783F82A7"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378429B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44144CB"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36F90E7E"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2197662" w14:textId="77777777" w:rsidTr="002D6581">
        <w:trPr>
          <w:cantSplit/>
          <w:trHeight w:val="144"/>
        </w:trPr>
        <w:tc>
          <w:tcPr>
            <w:tcW w:w="286" w:type="pct"/>
            <w:shd w:val="clear" w:color="auto" w:fill="FFFFFF" w:themeFill="background1"/>
            <w:vAlign w:val="center"/>
          </w:tcPr>
          <w:p w14:paraId="233BA925"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2D4B41A"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Any Services Ages 0—12 years—Male</w:t>
            </w:r>
          </w:p>
        </w:tc>
        <w:tc>
          <w:tcPr>
            <w:tcW w:w="312" w:type="pct"/>
            <w:shd w:val="clear" w:color="auto" w:fill="auto"/>
            <w:vAlign w:val="center"/>
          </w:tcPr>
          <w:p w14:paraId="750E241B"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3A8C17C5" w14:textId="77777777" w:rsidR="00AB379C" w:rsidRPr="002D6581" w:rsidRDefault="00AB379C" w:rsidP="007055F6">
            <w:pPr>
              <w:jc w:val="center"/>
              <w:rPr>
                <w:rFonts w:eastAsia="Times New Roman" w:cstheme="minorHAnsi"/>
                <w:lang w:bidi="ar-SA"/>
              </w:rPr>
            </w:pPr>
            <w:r w:rsidRPr="002D6581">
              <w:rPr>
                <w:rFonts w:cstheme="minorHAnsi"/>
              </w:rPr>
              <w:t>870</w:t>
            </w:r>
          </w:p>
        </w:tc>
        <w:tc>
          <w:tcPr>
            <w:tcW w:w="311" w:type="pct"/>
            <w:shd w:val="clear" w:color="000000" w:fill="FFFFFF"/>
            <w:vAlign w:val="center"/>
          </w:tcPr>
          <w:p w14:paraId="2B78B310" w14:textId="77777777" w:rsidR="00AB379C" w:rsidRPr="002D6581" w:rsidRDefault="00AB379C" w:rsidP="007055F6">
            <w:pPr>
              <w:jc w:val="center"/>
              <w:rPr>
                <w:rFonts w:eastAsia="Times New Roman" w:cstheme="minorHAnsi"/>
                <w:b/>
                <w:bCs/>
                <w:lang w:bidi="ar-SA"/>
              </w:rPr>
            </w:pPr>
            <w:r w:rsidRPr="002D6581">
              <w:rPr>
                <w:rFonts w:cstheme="minorHAnsi"/>
                <w:b/>
                <w:bCs/>
              </w:rPr>
              <w:t>8.40%</w:t>
            </w:r>
          </w:p>
        </w:tc>
        <w:tc>
          <w:tcPr>
            <w:tcW w:w="343" w:type="pct"/>
            <w:shd w:val="clear" w:color="000000" w:fill="FFFFFF"/>
            <w:vAlign w:val="center"/>
          </w:tcPr>
          <w:p w14:paraId="507A4620" w14:textId="77777777" w:rsidR="00AB379C" w:rsidRPr="002D6581" w:rsidRDefault="00AB379C" w:rsidP="007055F6">
            <w:pPr>
              <w:jc w:val="center"/>
              <w:rPr>
                <w:rFonts w:eastAsia="Times New Roman" w:cstheme="minorHAnsi"/>
                <w:lang w:bidi="ar-SA"/>
              </w:rPr>
            </w:pPr>
            <w:r w:rsidRPr="002D6581">
              <w:rPr>
                <w:rFonts w:cstheme="minorHAnsi"/>
              </w:rPr>
              <w:t>8.2%</w:t>
            </w:r>
          </w:p>
        </w:tc>
        <w:tc>
          <w:tcPr>
            <w:tcW w:w="375" w:type="pct"/>
            <w:shd w:val="clear" w:color="000000" w:fill="FFFFFF"/>
            <w:vAlign w:val="center"/>
          </w:tcPr>
          <w:p w14:paraId="7DE1273E" w14:textId="77777777" w:rsidR="00AB379C" w:rsidRPr="002D6581" w:rsidRDefault="00AB379C" w:rsidP="007055F6">
            <w:pPr>
              <w:jc w:val="center"/>
              <w:rPr>
                <w:rFonts w:eastAsia="Times New Roman" w:cstheme="minorHAnsi"/>
                <w:lang w:bidi="ar-SA"/>
              </w:rPr>
            </w:pPr>
            <w:r w:rsidRPr="002D6581">
              <w:rPr>
                <w:rFonts w:cstheme="minorHAnsi"/>
              </w:rPr>
              <w:t>8.6%</w:t>
            </w:r>
          </w:p>
        </w:tc>
        <w:tc>
          <w:tcPr>
            <w:tcW w:w="405" w:type="pct"/>
            <w:shd w:val="clear" w:color="000000" w:fill="FFFFFF"/>
            <w:vAlign w:val="center"/>
          </w:tcPr>
          <w:p w14:paraId="41AB6BC3" w14:textId="77777777" w:rsidR="00AB379C" w:rsidRPr="002D6581" w:rsidRDefault="00AB379C" w:rsidP="007055F6">
            <w:pPr>
              <w:jc w:val="center"/>
              <w:rPr>
                <w:rFonts w:eastAsia="Times New Roman" w:cstheme="minorHAnsi"/>
                <w:lang w:bidi="ar-SA"/>
              </w:rPr>
            </w:pPr>
            <w:r w:rsidRPr="002D6581">
              <w:rPr>
                <w:rFonts w:cstheme="minorHAnsi"/>
              </w:rPr>
              <w:t>10.19%</w:t>
            </w:r>
          </w:p>
        </w:tc>
        <w:tc>
          <w:tcPr>
            <w:tcW w:w="406" w:type="pct"/>
            <w:shd w:val="clear" w:color="000000" w:fill="FFFFFF"/>
            <w:vAlign w:val="center"/>
          </w:tcPr>
          <w:p w14:paraId="6851E397"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8950A3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8B5010B"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2F5FDE1"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8ED37DE" w14:textId="77777777" w:rsidTr="002D6581">
        <w:trPr>
          <w:cantSplit/>
          <w:trHeight w:val="144"/>
        </w:trPr>
        <w:tc>
          <w:tcPr>
            <w:tcW w:w="286" w:type="pct"/>
            <w:shd w:val="clear" w:color="auto" w:fill="FFFFFF" w:themeFill="background1"/>
            <w:vAlign w:val="center"/>
          </w:tcPr>
          <w:p w14:paraId="65DF58A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459E533" w14:textId="68F20916"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Any Services Ages 0—12 years—Female</w:t>
            </w:r>
          </w:p>
        </w:tc>
        <w:tc>
          <w:tcPr>
            <w:tcW w:w="312" w:type="pct"/>
            <w:shd w:val="clear" w:color="auto" w:fill="auto"/>
            <w:vAlign w:val="center"/>
          </w:tcPr>
          <w:p w14:paraId="47BAB523"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60C3D0DC" w14:textId="77777777" w:rsidR="00AB379C" w:rsidRPr="002D6581" w:rsidRDefault="00AB379C" w:rsidP="007055F6">
            <w:pPr>
              <w:jc w:val="center"/>
              <w:rPr>
                <w:rFonts w:eastAsia="Times New Roman" w:cstheme="minorHAnsi"/>
                <w:lang w:bidi="ar-SA"/>
              </w:rPr>
            </w:pPr>
            <w:r w:rsidRPr="002D6581">
              <w:rPr>
                <w:rFonts w:cstheme="minorHAnsi"/>
              </w:rPr>
              <w:t>813</w:t>
            </w:r>
          </w:p>
        </w:tc>
        <w:tc>
          <w:tcPr>
            <w:tcW w:w="311" w:type="pct"/>
            <w:shd w:val="clear" w:color="000000" w:fill="FFFFFF"/>
            <w:vAlign w:val="center"/>
          </w:tcPr>
          <w:p w14:paraId="53307D42" w14:textId="77777777" w:rsidR="00AB379C" w:rsidRPr="002D6581" w:rsidRDefault="00AB379C" w:rsidP="007055F6">
            <w:pPr>
              <w:jc w:val="center"/>
              <w:rPr>
                <w:rFonts w:eastAsia="Times New Roman" w:cstheme="minorHAnsi"/>
                <w:b/>
                <w:bCs/>
                <w:lang w:bidi="ar-SA"/>
              </w:rPr>
            </w:pPr>
            <w:r w:rsidRPr="002D6581">
              <w:rPr>
                <w:rFonts w:cstheme="minorHAnsi"/>
                <w:b/>
                <w:bCs/>
              </w:rPr>
              <w:t>8.00%</w:t>
            </w:r>
          </w:p>
        </w:tc>
        <w:tc>
          <w:tcPr>
            <w:tcW w:w="343" w:type="pct"/>
            <w:shd w:val="clear" w:color="000000" w:fill="FFFFFF"/>
            <w:vAlign w:val="center"/>
          </w:tcPr>
          <w:p w14:paraId="0642380E" w14:textId="77777777" w:rsidR="00AB379C" w:rsidRPr="002D6581" w:rsidRDefault="00AB379C" w:rsidP="007055F6">
            <w:pPr>
              <w:jc w:val="center"/>
              <w:rPr>
                <w:rFonts w:eastAsia="Times New Roman" w:cstheme="minorHAnsi"/>
                <w:lang w:bidi="ar-SA"/>
              </w:rPr>
            </w:pPr>
            <w:r w:rsidRPr="002D6581">
              <w:rPr>
                <w:rFonts w:cstheme="minorHAnsi"/>
              </w:rPr>
              <w:t>7.8%</w:t>
            </w:r>
          </w:p>
        </w:tc>
        <w:tc>
          <w:tcPr>
            <w:tcW w:w="375" w:type="pct"/>
            <w:shd w:val="clear" w:color="000000" w:fill="FFFFFF"/>
            <w:vAlign w:val="center"/>
          </w:tcPr>
          <w:p w14:paraId="356D13DB" w14:textId="77777777" w:rsidR="00AB379C" w:rsidRPr="002D6581" w:rsidRDefault="00AB379C" w:rsidP="007055F6">
            <w:pPr>
              <w:jc w:val="center"/>
              <w:rPr>
                <w:rFonts w:eastAsia="Times New Roman" w:cstheme="minorHAnsi"/>
                <w:lang w:bidi="ar-SA"/>
              </w:rPr>
            </w:pPr>
            <w:r w:rsidRPr="002D6581">
              <w:rPr>
                <w:rFonts w:cstheme="minorHAnsi"/>
              </w:rPr>
              <w:t>8.2%</w:t>
            </w:r>
          </w:p>
        </w:tc>
        <w:tc>
          <w:tcPr>
            <w:tcW w:w="405" w:type="pct"/>
            <w:shd w:val="clear" w:color="000000" w:fill="FFFFFF"/>
            <w:vAlign w:val="center"/>
          </w:tcPr>
          <w:p w14:paraId="349F76D3" w14:textId="77777777" w:rsidR="00AB379C" w:rsidRPr="002D6581" w:rsidRDefault="00AB379C" w:rsidP="007055F6">
            <w:pPr>
              <w:jc w:val="center"/>
              <w:rPr>
                <w:rFonts w:eastAsia="Times New Roman" w:cstheme="minorHAnsi"/>
                <w:lang w:bidi="ar-SA"/>
              </w:rPr>
            </w:pPr>
            <w:r w:rsidRPr="002D6581">
              <w:rPr>
                <w:rFonts w:cstheme="minorHAnsi"/>
              </w:rPr>
              <w:t>8.19%</w:t>
            </w:r>
          </w:p>
        </w:tc>
        <w:tc>
          <w:tcPr>
            <w:tcW w:w="406" w:type="pct"/>
            <w:shd w:val="clear" w:color="000000" w:fill="FFFFFF"/>
            <w:vAlign w:val="center"/>
          </w:tcPr>
          <w:p w14:paraId="649E5451"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915953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C097CF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30C462E"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2A3B829" w14:textId="77777777" w:rsidTr="002D6581">
        <w:trPr>
          <w:cantSplit/>
          <w:trHeight w:val="144"/>
        </w:trPr>
        <w:tc>
          <w:tcPr>
            <w:tcW w:w="286" w:type="pct"/>
            <w:shd w:val="clear" w:color="auto" w:fill="FFFFFF" w:themeFill="background1"/>
            <w:vAlign w:val="center"/>
          </w:tcPr>
          <w:p w14:paraId="5F84FB5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BAC1613"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Any Services Ages 0—12 years—Total Rate</w:t>
            </w:r>
          </w:p>
        </w:tc>
        <w:tc>
          <w:tcPr>
            <w:tcW w:w="312" w:type="pct"/>
            <w:shd w:val="clear" w:color="auto" w:fill="auto"/>
            <w:vAlign w:val="center"/>
          </w:tcPr>
          <w:p w14:paraId="63D790F8"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5FE17187" w14:textId="77777777" w:rsidR="00AB379C" w:rsidRPr="002D6581" w:rsidRDefault="00AB379C" w:rsidP="007055F6">
            <w:pPr>
              <w:jc w:val="center"/>
              <w:rPr>
                <w:rFonts w:eastAsia="Times New Roman" w:cstheme="minorHAnsi"/>
                <w:lang w:bidi="ar-SA"/>
              </w:rPr>
            </w:pPr>
            <w:r w:rsidRPr="002D6581">
              <w:rPr>
                <w:rFonts w:cstheme="minorHAnsi"/>
              </w:rPr>
              <w:t>1,683</w:t>
            </w:r>
          </w:p>
        </w:tc>
        <w:tc>
          <w:tcPr>
            <w:tcW w:w="311" w:type="pct"/>
            <w:shd w:val="clear" w:color="000000" w:fill="FFFFFF"/>
            <w:vAlign w:val="center"/>
          </w:tcPr>
          <w:p w14:paraId="66CD3669" w14:textId="77777777" w:rsidR="00AB379C" w:rsidRPr="002D6581" w:rsidRDefault="00AB379C" w:rsidP="007055F6">
            <w:pPr>
              <w:jc w:val="center"/>
              <w:rPr>
                <w:rFonts w:eastAsia="Times New Roman" w:cstheme="minorHAnsi"/>
                <w:b/>
                <w:bCs/>
                <w:lang w:bidi="ar-SA"/>
              </w:rPr>
            </w:pPr>
            <w:r w:rsidRPr="002D6581">
              <w:rPr>
                <w:rFonts w:cstheme="minorHAnsi"/>
                <w:b/>
                <w:bCs/>
              </w:rPr>
              <w:t>8.20%</w:t>
            </w:r>
          </w:p>
        </w:tc>
        <w:tc>
          <w:tcPr>
            <w:tcW w:w="343" w:type="pct"/>
            <w:shd w:val="clear" w:color="000000" w:fill="FFFFFF"/>
            <w:vAlign w:val="center"/>
          </w:tcPr>
          <w:p w14:paraId="69AD4956" w14:textId="77777777" w:rsidR="00AB379C" w:rsidRPr="002D6581" w:rsidRDefault="00AB379C" w:rsidP="007055F6">
            <w:pPr>
              <w:jc w:val="center"/>
              <w:rPr>
                <w:rFonts w:eastAsia="Times New Roman" w:cstheme="minorHAnsi"/>
                <w:lang w:bidi="ar-SA"/>
              </w:rPr>
            </w:pPr>
            <w:r w:rsidRPr="002D6581">
              <w:rPr>
                <w:rFonts w:cstheme="minorHAnsi"/>
              </w:rPr>
              <w:t>8.1%</w:t>
            </w:r>
          </w:p>
        </w:tc>
        <w:tc>
          <w:tcPr>
            <w:tcW w:w="375" w:type="pct"/>
            <w:shd w:val="clear" w:color="000000" w:fill="FFFFFF"/>
            <w:vAlign w:val="center"/>
          </w:tcPr>
          <w:p w14:paraId="37E3575D" w14:textId="77777777" w:rsidR="00AB379C" w:rsidRPr="002D6581" w:rsidRDefault="00AB379C" w:rsidP="007055F6">
            <w:pPr>
              <w:jc w:val="center"/>
              <w:rPr>
                <w:rFonts w:eastAsia="Times New Roman" w:cstheme="minorHAnsi"/>
                <w:lang w:bidi="ar-SA"/>
              </w:rPr>
            </w:pPr>
            <w:r w:rsidRPr="002D6581">
              <w:rPr>
                <w:rFonts w:cstheme="minorHAnsi"/>
              </w:rPr>
              <w:t>8.3%</w:t>
            </w:r>
          </w:p>
        </w:tc>
        <w:tc>
          <w:tcPr>
            <w:tcW w:w="405" w:type="pct"/>
            <w:shd w:val="clear" w:color="000000" w:fill="FFFFFF"/>
            <w:vAlign w:val="center"/>
          </w:tcPr>
          <w:p w14:paraId="279B4C93" w14:textId="77777777" w:rsidR="00AB379C" w:rsidRPr="002D6581" w:rsidRDefault="00AB379C" w:rsidP="007055F6">
            <w:pPr>
              <w:jc w:val="center"/>
              <w:rPr>
                <w:rFonts w:eastAsia="Times New Roman" w:cstheme="minorHAnsi"/>
                <w:lang w:bidi="ar-SA"/>
              </w:rPr>
            </w:pPr>
            <w:r w:rsidRPr="002D6581">
              <w:rPr>
                <w:rFonts w:cstheme="minorHAnsi"/>
              </w:rPr>
              <w:t>9.20%</w:t>
            </w:r>
          </w:p>
        </w:tc>
        <w:tc>
          <w:tcPr>
            <w:tcW w:w="406" w:type="pct"/>
            <w:shd w:val="clear" w:color="000000" w:fill="FFFFFF"/>
            <w:vAlign w:val="center"/>
          </w:tcPr>
          <w:p w14:paraId="0BD56950"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535E79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002A1A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FFFC7E1"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D348CC7" w14:textId="77777777" w:rsidTr="002D6581">
        <w:trPr>
          <w:cantSplit/>
          <w:trHeight w:val="144"/>
        </w:trPr>
        <w:tc>
          <w:tcPr>
            <w:tcW w:w="286" w:type="pct"/>
            <w:shd w:val="clear" w:color="auto" w:fill="FFFFFF" w:themeFill="background1"/>
            <w:vAlign w:val="center"/>
          </w:tcPr>
          <w:p w14:paraId="3DDCEA4A"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lastRenderedPageBreak/>
              <w:t>HEDIS</w:t>
            </w:r>
          </w:p>
        </w:tc>
        <w:tc>
          <w:tcPr>
            <w:tcW w:w="1060" w:type="pct"/>
            <w:shd w:val="clear" w:color="auto" w:fill="FFFFFF" w:themeFill="background1"/>
            <w:vAlign w:val="center"/>
          </w:tcPr>
          <w:p w14:paraId="5F14FA37"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Any Services Ages 13—17 years—Male</w:t>
            </w:r>
          </w:p>
        </w:tc>
        <w:tc>
          <w:tcPr>
            <w:tcW w:w="312" w:type="pct"/>
            <w:shd w:val="clear" w:color="auto" w:fill="auto"/>
            <w:vAlign w:val="center"/>
          </w:tcPr>
          <w:p w14:paraId="42CFE7F2"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3D021232" w14:textId="77777777" w:rsidR="00AB379C" w:rsidRPr="002D6581" w:rsidRDefault="00AB379C" w:rsidP="007055F6">
            <w:pPr>
              <w:jc w:val="center"/>
              <w:rPr>
                <w:rFonts w:eastAsia="Times New Roman" w:cstheme="minorHAnsi"/>
                <w:lang w:bidi="ar-SA"/>
              </w:rPr>
            </w:pPr>
            <w:r w:rsidRPr="002D6581">
              <w:rPr>
                <w:rFonts w:cstheme="minorHAnsi"/>
              </w:rPr>
              <w:t>617</w:t>
            </w:r>
          </w:p>
        </w:tc>
        <w:tc>
          <w:tcPr>
            <w:tcW w:w="311" w:type="pct"/>
            <w:shd w:val="clear" w:color="000000" w:fill="FFFFFF"/>
            <w:vAlign w:val="center"/>
          </w:tcPr>
          <w:p w14:paraId="1380D57E" w14:textId="77777777" w:rsidR="00AB379C" w:rsidRPr="002D6581" w:rsidRDefault="00AB379C" w:rsidP="007055F6">
            <w:pPr>
              <w:jc w:val="center"/>
              <w:rPr>
                <w:rFonts w:eastAsia="Times New Roman" w:cstheme="minorHAnsi"/>
                <w:b/>
                <w:bCs/>
                <w:lang w:bidi="ar-SA"/>
              </w:rPr>
            </w:pPr>
            <w:r w:rsidRPr="002D6581">
              <w:rPr>
                <w:rFonts w:cstheme="minorHAnsi"/>
                <w:b/>
                <w:bCs/>
              </w:rPr>
              <w:t>11.63%</w:t>
            </w:r>
          </w:p>
        </w:tc>
        <w:tc>
          <w:tcPr>
            <w:tcW w:w="343" w:type="pct"/>
            <w:shd w:val="clear" w:color="000000" w:fill="FFFFFF"/>
            <w:vAlign w:val="center"/>
          </w:tcPr>
          <w:p w14:paraId="508B07A2" w14:textId="77777777" w:rsidR="00AB379C" w:rsidRPr="002D6581" w:rsidRDefault="00AB379C" w:rsidP="007055F6">
            <w:pPr>
              <w:jc w:val="center"/>
              <w:rPr>
                <w:rFonts w:eastAsia="Times New Roman" w:cstheme="minorHAnsi"/>
                <w:lang w:bidi="ar-SA"/>
              </w:rPr>
            </w:pPr>
            <w:r w:rsidRPr="002D6581">
              <w:rPr>
                <w:rFonts w:cstheme="minorHAnsi"/>
              </w:rPr>
              <w:t>11.4%</w:t>
            </w:r>
          </w:p>
        </w:tc>
        <w:tc>
          <w:tcPr>
            <w:tcW w:w="375" w:type="pct"/>
            <w:shd w:val="clear" w:color="000000" w:fill="FFFFFF"/>
            <w:vAlign w:val="center"/>
          </w:tcPr>
          <w:p w14:paraId="00B0A8EC" w14:textId="77777777" w:rsidR="00AB379C" w:rsidRPr="002D6581" w:rsidRDefault="00AB379C" w:rsidP="007055F6">
            <w:pPr>
              <w:jc w:val="center"/>
              <w:rPr>
                <w:rFonts w:eastAsia="Times New Roman" w:cstheme="minorHAnsi"/>
                <w:lang w:bidi="ar-SA"/>
              </w:rPr>
            </w:pPr>
            <w:r w:rsidRPr="002D6581">
              <w:rPr>
                <w:rFonts w:cstheme="minorHAnsi"/>
              </w:rPr>
              <w:t>11.9%</w:t>
            </w:r>
          </w:p>
        </w:tc>
        <w:tc>
          <w:tcPr>
            <w:tcW w:w="405" w:type="pct"/>
            <w:shd w:val="clear" w:color="000000" w:fill="FFFFFF"/>
            <w:vAlign w:val="center"/>
          </w:tcPr>
          <w:p w14:paraId="144D1BC3" w14:textId="77777777" w:rsidR="00AB379C" w:rsidRPr="002D6581" w:rsidRDefault="00AB379C" w:rsidP="007055F6">
            <w:pPr>
              <w:jc w:val="center"/>
              <w:rPr>
                <w:rFonts w:eastAsia="Times New Roman" w:cstheme="minorHAnsi"/>
                <w:lang w:bidi="ar-SA"/>
              </w:rPr>
            </w:pPr>
            <w:r w:rsidRPr="002D6581">
              <w:rPr>
                <w:rFonts w:cstheme="minorHAnsi"/>
              </w:rPr>
              <w:t>12.95%</w:t>
            </w:r>
          </w:p>
        </w:tc>
        <w:tc>
          <w:tcPr>
            <w:tcW w:w="406" w:type="pct"/>
            <w:shd w:val="clear" w:color="000000" w:fill="FFFFFF"/>
            <w:vAlign w:val="center"/>
          </w:tcPr>
          <w:p w14:paraId="6D2EB9E4"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349E520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8BECCC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AC4065B"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0B5F3102" w14:textId="77777777" w:rsidTr="002D6581">
        <w:trPr>
          <w:cantSplit/>
          <w:trHeight w:val="144"/>
        </w:trPr>
        <w:tc>
          <w:tcPr>
            <w:tcW w:w="286" w:type="pct"/>
            <w:shd w:val="clear" w:color="auto" w:fill="FFFFFF" w:themeFill="background1"/>
            <w:vAlign w:val="center"/>
          </w:tcPr>
          <w:p w14:paraId="04097F38"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7B624169"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Any Services Ages 13—17 years—Female</w:t>
            </w:r>
          </w:p>
        </w:tc>
        <w:tc>
          <w:tcPr>
            <w:tcW w:w="312" w:type="pct"/>
            <w:shd w:val="clear" w:color="auto" w:fill="auto"/>
            <w:vAlign w:val="center"/>
          </w:tcPr>
          <w:p w14:paraId="03745096"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20442C4A" w14:textId="77777777" w:rsidR="00AB379C" w:rsidRPr="002D6581" w:rsidRDefault="00AB379C" w:rsidP="007055F6">
            <w:pPr>
              <w:jc w:val="center"/>
              <w:rPr>
                <w:rFonts w:eastAsia="Times New Roman" w:cstheme="minorHAnsi"/>
                <w:lang w:bidi="ar-SA"/>
              </w:rPr>
            </w:pPr>
            <w:r w:rsidRPr="002D6581">
              <w:rPr>
                <w:rFonts w:cstheme="minorHAnsi"/>
              </w:rPr>
              <w:t>1,336</w:t>
            </w:r>
          </w:p>
        </w:tc>
        <w:tc>
          <w:tcPr>
            <w:tcW w:w="311" w:type="pct"/>
            <w:shd w:val="clear" w:color="000000" w:fill="FFFFFF"/>
            <w:vAlign w:val="center"/>
          </w:tcPr>
          <w:p w14:paraId="7263C349" w14:textId="77777777" w:rsidR="00AB379C" w:rsidRPr="002D6581" w:rsidRDefault="00AB379C" w:rsidP="007055F6">
            <w:pPr>
              <w:jc w:val="center"/>
              <w:rPr>
                <w:rFonts w:eastAsia="Times New Roman" w:cstheme="minorHAnsi"/>
                <w:b/>
                <w:bCs/>
                <w:lang w:bidi="ar-SA"/>
              </w:rPr>
            </w:pPr>
            <w:r w:rsidRPr="002D6581">
              <w:rPr>
                <w:rFonts w:cstheme="minorHAnsi"/>
                <w:b/>
                <w:bCs/>
              </w:rPr>
              <w:t>24.97%</w:t>
            </w:r>
          </w:p>
        </w:tc>
        <w:tc>
          <w:tcPr>
            <w:tcW w:w="343" w:type="pct"/>
            <w:shd w:val="clear" w:color="000000" w:fill="FFFFFF"/>
            <w:vAlign w:val="center"/>
          </w:tcPr>
          <w:p w14:paraId="7847AE65" w14:textId="77777777" w:rsidR="00AB379C" w:rsidRPr="002D6581" w:rsidRDefault="00AB379C" w:rsidP="007055F6">
            <w:pPr>
              <w:jc w:val="center"/>
              <w:rPr>
                <w:rFonts w:eastAsia="Times New Roman" w:cstheme="minorHAnsi"/>
                <w:lang w:bidi="ar-SA"/>
              </w:rPr>
            </w:pPr>
            <w:r w:rsidRPr="002D6581">
              <w:rPr>
                <w:rFonts w:cstheme="minorHAnsi"/>
              </w:rPr>
              <w:t>24.6%</w:t>
            </w:r>
          </w:p>
        </w:tc>
        <w:tc>
          <w:tcPr>
            <w:tcW w:w="375" w:type="pct"/>
            <w:shd w:val="clear" w:color="000000" w:fill="FFFFFF"/>
            <w:vAlign w:val="center"/>
          </w:tcPr>
          <w:p w14:paraId="70FA41AA" w14:textId="77777777" w:rsidR="00AB379C" w:rsidRPr="002D6581" w:rsidRDefault="00AB379C" w:rsidP="007055F6">
            <w:pPr>
              <w:jc w:val="center"/>
              <w:rPr>
                <w:rFonts w:eastAsia="Times New Roman" w:cstheme="minorHAnsi"/>
                <w:lang w:bidi="ar-SA"/>
              </w:rPr>
            </w:pPr>
            <w:r w:rsidRPr="002D6581">
              <w:rPr>
                <w:rFonts w:cstheme="minorHAnsi"/>
              </w:rPr>
              <w:t>25.3%</w:t>
            </w:r>
          </w:p>
        </w:tc>
        <w:tc>
          <w:tcPr>
            <w:tcW w:w="405" w:type="pct"/>
            <w:shd w:val="clear" w:color="000000" w:fill="FFFFFF"/>
            <w:vAlign w:val="center"/>
          </w:tcPr>
          <w:p w14:paraId="4BB60307" w14:textId="77777777" w:rsidR="00AB379C" w:rsidRPr="002D6581" w:rsidRDefault="00AB379C" w:rsidP="007055F6">
            <w:pPr>
              <w:jc w:val="center"/>
              <w:rPr>
                <w:rFonts w:eastAsia="Times New Roman" w:cstheme="minorHAnsi"/>
                <w:lang w:bidi="ar-SA"/>
              </w:rPr>
            </w:pPr>
            <w:r w:rsidRPr="002D6581">
              <w:rPr>
                <w:rFonts w:cstheme="minorHAnsi"/>
              </w:rPr>
              <w:t>23.14%</w:t>
            </w:r>
          </w:p>
        </w:tc>
        <w:tc>
          <w:tcPr>
            <w:tcW w:w="406" w:type="pct"/>
            <w:shd w:val="clear" w:color="000000" w:fill="FFFFFF"/>
            <w:vAlign w:val="center"/>
          </w:tcPr>
          <w:p w14:paraId="209F0F84"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1230AFB"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0868F25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3D268F9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3A71260" w14:textId="77777777" w:rsidTr="002D6581">
        <w:trPr>
          <w:cantSplit/>
          <w:trHeight w:val="144"/>
        </w:trPr>
        <w:tc>
          <w:tcPr>
            <w:tcW w:w="286" w:type="pct"/>
            <w:shd w:val="clear" w:color="auto" w:fill="FFFFFF" w:themeFill="background1"/>
            <w:vAlign w:val="center"/>
          </w:tcPr>
          <w:p w14:paraId="5DE7C01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EC10C32"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Any Services Ages 13—17 years—Total Rate</w:t>
            </w:r>
          </w:p>
        </w:tc>
        <w:tc>
          <w:tcPr>
            <w:tcW w:w="312" w:type="pct"/>
            <w:shd w:val="clear" w:color="auto" w:fill="auto"/>
            <w:vAlign w:val="center"/>
          </w:tcPr>
          <w:p w14:paraId="6EFDABD5"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14B60A22" w14:textId="77777777" w:rsidR="00AB379C" w:rsidRPr="002D6581" w:rsidRDefault="00AB379C" w:rsidP="007055F6">
            <w:pPr>
              <w:jc w:val="center"/>
              <w:rPr>
                <w:rFonts w:eastAsia="Times New Roman" w:cstheme="minorHAnsi"/>
                <w:lang w:bidi="ar-SA"/>
              </w:rPr>
            </w:pPr>
            <w:r w:rsidRPr="002D6581">
              <w:rPr>
                <w:rFonts w:cstheme="minorHAnsi"/>
              </w:rPr>
              <w:t>1,953</w:t>
            </w:r>
          </w:p>
        </w:tc>
        <w:tc>
          <w:tcPr>
            <w:tcW w:w="311" w:type="pct"/>
            <w:shd w:val="clear" w:color="000000" w:fill="FFFFFF"/>
            <w:vAlign w:val="center"/>
          </w:tcPr>
          <w:p w14:paraId="26AF88A7" w14:textId="77777777" w:rsidR="00AB379C" w:rsidRPr="002D6581" w:rsidRDefault="00AB379C" w:rsidP="007055F6">
            <w:pPr>
              <w:jc w:val="center"/>
              <w:rPr>
                <w:rFonts w:eastAsia="Times New Roman" w:cstheme="minorHAnsi"/>
                <w:b/>
                <w:bCs/>
                <w:lang w:bidi="ar-SA"/>
              </w:rPr>
            </w:pPr>
            <w:r w:rsidRPr="002D6581">
              <w:rPr>
                <w:rFonts w:cstheme="minorHAnsi"/>
                <w:b/>
                <w:bCs/>
              </w:rPr>
              <w:t>18.33%</w:t>
            </w:r>
          </w:p>
        </w:tc>
        <w:tc>
          <w:tcPr>
            <w:tcW w:w="343" w:type="pct"/>
            <w:shd w:val="clear" w:color="000000" w:fill="FFFFFF"/>
            <w:vAlign w:val="center"/>
          </w:tcPr>
          <w:p w14:paraId="371A4164" w14:textId="77777777" w:rsidR="00AB379C" w:rsidRPr="002D6581" w:rsidRDefault="00AB379C" w:rsidP="007055F6">
            <w:pPr>
              <w:jc w:val="center"/>
              <w:rPr>
                <w:rFonts w:eastAsia="Times New Roman" w:cstheme="minorHAnsi"/>
                <w:lang w:bidi="ar-SA"/>
              </w:rPr>
            </w:pPr>
            <w:r w:rsidRPr="002D6581">
              <w:rPr>
                <w:rFonts w:cstheme="minorHAnsi"/>
              </w:rPr>
              <w:t>18.1%</w:t>
            </w:r>
          </w:p>
        </w:tc>
        <w:tc>
          <w:tcPr>
            <w:tcW w:w="375" w:type="pct"/>
            <w:shd w:val="clear" w:color="000000" w:fill="FFFFFF"/>
            <w:vAlign w:val="center"/>
          </w:tcPr>
          <w:p w14:paraId="054B6130" w14:textId="77777777" w:rsidR="00AB379C" w:rsidRPr="002D6581" w:rsidRDefault="00AB379C" w:rsidP="007055F6">
            <w:pPr>
              <w:jc w:val="center"/>
              <w:rPr>
                <w:rFonts w:eastAsia="Times New Roman" w:cstheme="minorHAnsi"/>
                <w:lang w:bidi="ar-SA"/>
              </w:rPr>
            </w:pPr>
            <w:r w:rsidRPr="002D6581">
              <w:rPr>
                <w:rFonts w:cstheme="minorHAnsi"/>
              </w:rPr>
              <w:t>18.5%</w:t>
            </w:r>
          </w:p>
        </w:tc>
        <w:tc>
          <w:tcPr>
            <w:tcW w:w="405" w:type="pct"/>
            <w:shd w:val="clear" w:color="000000" w:fill="FFFFFF"/>
            <w:vAlign w:val="center"/>
          </w:tcPr>
          <w:p w14:paraId="37DC2955" w14:textId="77777777" w:rsidR="00AB379C" w:rsidRPr="002D6581" w:rsidRDefault="00AB379C" w:rsidP="007055F6">
            <w:pPr>
              <w:jc w:val="center"/>
              <w:rPr>
                <w:rFonts w:eastAsia="Times New Roman" w:cstheme="minorHAnsi"/>
                <w:lang w:bidi="ar-SA"/>
              </w:rPr>
            </w:pPr>
            <w:r w:rsidRPr="002D6581">
              <w:rPr>
                <w:rFonts w:cstheme="minorHAnsi"/>
              </w:rPr>
              <w:t>18.03%</w:t>
            </w:r>
          </w:p>
        </w:tc>
        <w:tc>
          <w:tcPr>
            <w:tcW w:w="406" w:type="pct"/>
            <w:shd w:val="clear" w:color="000000" w:fill="FFFFFF"/>
            <w:vAlign w:val="center"/>
          </w:tcPr>
          <w:p w14:paraId="142A72E1"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3B85E2C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A59B93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F246E44"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348A149" w14:textId="77777777" w:rsidTr="002D6581">
        <w:trPr>
          <w:cantSplit/>
          <w:trHeight w:val="144"/>
        </w:trPr>
        <w:tc>
          <w:tcPr>
            <w:tcW w:w="286" w:type="pct"/>
            <w:shd w:val="clear" w:color="auto" w:fill="FFFFFF" w:themeFill="background1"/>
            <w:vAlign w:val="center"/>
          </w:tcPr>
          <w:p w14:paraId="2B78C77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388EADC"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Inpatient Ages 0—12 years—Male</w:t>
            </w:r>
          </w:p>
        </w:tc>
        <w:tc>
          <w:tcPr>
            <w:tcW w:w="312" w:type="pct"/>
            <w:shd w:val="clear" w:color="auto" w:fill="auto"/>
            <w:vAlign w:val="center"/>
          </w:tcPr>
          <w:p w14:paraId="46A6D077"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08983735" w14:textId="77777777" w:rsidR="00AB379C" w:rsidRPr="002D6581" w:rsidRDefault="00AB379C" w:rsidP="007055F6">
            <w:pPr>
              <w:jc w:val="center"/>
              <w:rPr>
                <w:rFonts w:eastAsia="Times New Roman" w:cstheme="minorHAnsi"/>
                <w:lang w:bidi="ar-SA"/>
              </w:rPr>
            </w:pPr>
            <w:r w:rsidRPr="002D6581">
              <w:rPr>
                <w:rFonts w:cstheme="minorHAnsi"/>
              </w:rPr>
              <w:t>11</w:t>
            </w:r>
          </w:p>
        </w:tc>
        <w:tc>
          <w:tcPr>
            <w:tcW w:w="311" w:type="pct"/>
            <w:shd w:val="clear" w:color="000000" w:fill="FFFFFF"/>
            <w:vAlign w:val="center"/>
          </w:tcPr>
          <w:p w14:paraId="528A94CA" w14:textId="77777777" w:rsidR="00AB379C" w:rsidRPr="002D6581" w:rsidRDefault="00AB379C" w:rsidP="007055F6">
            <w:pPr>
              <w:jc w:val="center"/>
              <w:rPr>
                <w:rFonts w:eastAsia="Times New Roman" w:cstheme="minorHAnsi"/>
                <w:b/>
                <w:bCs/>
                <w:lang w:bidi="ar-SA"/>
              </w:rPr>
            </w:pPr>
            <w:r w:rsidRPr="002D6581">
              <w:rPr>
                <w:rFonts w:cstheme="minorHAnsi"/>
                <w:b/>
                <w:bCs/>
              </w:rPr>
              <w:t>0.11%</w:t>
            </w:r>
          </w:p>
        </w:tc>
        <w:tc>
          <w:tcPr>
            <w:tcW w:w="343" w:type="pct"/>
            <w:shd w:val="clear" w:color="000000" w:fill="FFFFFF"/>
            <w:vAlign w:val="center"/>
          </w:tcPr>
          <w:p w14:paraId="297AED7D"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375" w:type="pct"/>
            <w:shd w:val="clear" w:color="000000" w:fill="FFFFFF"/>
            <w:vAlign w:val="center"/>
          </w:tcPr>
          <w:p w14:paraId="6BF5A1A9"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405" w:type="pct"/>
            <w:shd w:val="clear" w:color="000000" w:fill="FFFFFF"/>
            <w:vAlign w:val="center"/>
          </w:tcPr>
          <w:p w14:paraId="4947B4A6" w14:textId="77777777" w:rsidR="00AB379C" w:rsidRPr="002D6581" w:rsidRDefault="00AB379C" w:rsidP="007055F6">
            <w:pPr>
              <w:jc w:val="center"/>
              <w:rPr>
                <w:rFonts w:eastAsia="Times New Roman" w:cstheme="minorHAnsi"/>
                <w:lang w:bidi="ar-SA"/>
              </w:rPr>
            </w:pPr>
            <w:r w:rsidRPr="002D6581">
              <w:rPr>
                <w:rFonts w:cstheme="minorHAnsi"/>
              </w:rPr>
              <w:t>0.09%</w:t>
            </w:r>
          </w:p>
        </w:tc>
        <w:tc>
          <w:tcPr>
            <w:tcW w:w="406" w:type="pct"/>
            <w:shd w:val="clear" w:color="000000" w:fill="FFFFFF"/>
            <w:vAlign w:val="center"/>
          </w:tcPr>
          <w:p w14:paraId="5EEA1FA4"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56CCC08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0802CEB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EC1FE60"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D2FF454" w14:textId="77777777" w:rsidTr="002D6581">
        <w:trPr>
          <w:cantSplit/>
          <w:trHeight w:val="144"/>
        </w:trPr>
        <w:tc>
          <w:tcPr>
            <w:tcW w:w="286" w:type="pct"/>
            <w:shd w:val="clear" w:color="auto" w:fill="FFFFFF" w:themeFill="background1"/>
            <w:vAlign w:val="center"/>
          </w:tcPr>
          <w:p w14:paraId="3460437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C08ECD1"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Inpatient Ages 0—12 years—Female</w:t>
            </w:r>
          </w:p>
        </w:tc>
        <w:tc>
          <w:tcPr>
            <w:tcW w:w="312" w:type="pct"/>
            <w:shd w:val="clear" w:color="auto" w:fill="auto"/>
            <w:vAlign w:val="center"/>
          </w:tcPr>
          <w:p w14:paraId="2D71FDCC"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092235EF" w14:textId="77777777" w:rsidR="00AB379C" w:rsidRPr="002D6581" w:rsidRDefault="00AB379C" w:rsidP="007055F6">
            <w:pPr>
              <w:jc w:val="center"/>
              <w:rPr>
                <w:rFonts w:eastAsia="Times New Roman" w:cstheme="minorHAnsi"/>
                <w:lang w:bidi="ar-SA"/>
              </w:rPr>
            </w:pPr>
            <w:r w:rsidRPr="002D6581">
              <w:rPr>
                <w:rFonts w:cstheme="minorHAnsi"/>
              </w:rPr>
              <w:t>18</w:t>
            </w:r>
          </w:p>
        </w:tc>
        <w:tc>
          <w:tcPr>
            <w:tcW w:w="311" w:type="pct"/>
            <w:shd w:val="clear" w:color="000000" w:fill="FFFFFF"/>
            <w:vAlign w:val="center"/>
          </w:tcPr>
          <w:p w14:paraId="007BB57F" w14:textId="77777777" w:rsidR="00AB379C" w:rsidRPr="002D6581" w:rsidRDefault="00AB379C" w:rsidP="007055F6">
            <w:pPr>
              <w:jc w:val="center"/>
              <w:rPr>
                <w:rFonts w:eastAsia="Times New Roman" w:cstheme="minorHAnsi"/>
                <w:b/>
                <w:bCs/>
                <w:lang w:bidi="ar-SA"/>
              </w:rPr>
            </w:pPr>
            <w:r w:rsidRPr="002D6581">
              <w:rPr>
                <w:rFonts w:cstheme="minorHAnsi"/>
                <w:b/>
                <w:bCs/>
              </w:rPr>
              <w:t>0.18%</w:t>
            </w:r>
          </w:p>
        </w:tc>
        <w:tc>
          <w:tcPr>
            <w:tcW w:w="343" w:type="pct"/>
            <w:shd w:val="clear" w:color="000000" w:fill="FFFFFF"/>
            <w:vAlign w:val="center"/>
          </w:tcPr>
          <w:p w14:paraId="24EE67EF"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375" w:type="pct"/>
            <w:shd w:val="clear" w:color="000000" w:fill="FFFFFF"/>
            <w:vAlign w:val="center"/>
          </w:tcPr>
          <w:p w14:paraId="69160866"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405" w:type="pct"/>
            <w:shd w:val="clear" w:color="000000" w:fill="FFFFFF"/>
            <w:vAlign w:val="center"/>
          </w:tcPr>
          <w:p w14:paraId="0D4D2ED3" w14:textId="77777777" w:rsidR="00AB379C" w:rsidRPr="002D6581" w:rsidRDefault="00AB379C" w:rsidP="007055F6">
            <w:pPr>
              <w:jc w:val="center"/>
              <w:rPr>
                <w:rFonts w:eastAsia="Times New Roman" w:cstheme="minorHAnsi"/>
                <w:lang w:bidi="ar-SA"/>
              </w:rPr>
            </w:pPr>
            <w:r w:rsidRPr="002D6581">
              <w:rPr>
                <w:rFonts w:cstheme="minorHAnsi"/>
              </w:rPr>
              <w:t>0.15%</w:t>
            </w:r>
          </w:p>
        </w:tc>
        <w:tc>
          <w:tcPr>
            <w:tcW w:w="406" w:type="pct"/>
            <w:shd w:val="clear" w:color="000000" w:fill="FFFFFF"/>
            <w:vAlign w:val="center"/>
          </w:tcPr>
          <w:p w14:paraId="650A16E3"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4F1CF22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483C83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EA5E430"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556C459E" w14:textId="77777777" w:rsidTr="002D6581">
        <w:trPr>
          <w:cantSplit/>
          <w:trHeight w:val="144"/>
        </w:trPr>
        <w:tc>
          <w:tcPr>
            <w:tcW w:w="286" w:type="pct"/>
            <w:shd w:val="clear" w:color="auto" w:fill="FFFFFF" w:themeFill="background1"/>
            <w:vAlign w:val="center"/>
          </w:tcPr>
          <w:p w14:paraId="63BD341F"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C8581F8"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Inpatient Ages 0—12 years—Total Rate</w:t>
            </w:r>
          </w:p>
        </w:tc>
        <w:tc>
          <w:tcPr>
            <w:tcW w:w="312" w:type="pct"/>
            <w:shd w:val="clear" w:color="auto" w:fill="auto"/>
            <w:vAlign w:val="center"/>
          </w:tcPr>
          <w:p w14:paraId="58D7F8D5"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7071F963" w14:textId="77777777" w:rsidR="00AB379C" w:rsidRPr="002D6581" w:rsidRDefault="00AB379C" w:rsidP="007055F6">
            <w:pPr>
              <w:jc w:val="center"/>
              <w:rPr>
                <w:rFonts w:eastAsia="Times New Roman" w:cstheme="minorHAnsi"/>
                <w:lang w:bidi="ar-SA"/>
              </w:rPr>
            </w:pPr>
            <w:r w:rsidRPr="002D6581">
              <w:rPr>
                <w:rFonts w:cstheme="minorHAnsi"/>
              </w:rPr>
              <w:t>29</w:t>
            </w:r>
          </w:p>
        </w:tc>
        <w:tc>
          <w:tcPr>
            <w:tcW w:w="311" w:type="pct"/>
            <w:shd w:val="clear" w:color="000000" w:fill="FFFFFF"/>
            <w:vAlign w:val="center"/>
          </w:tcPr>
          <w:p w14:paraId="5F794E63" w14:textId="77777777" w:rsidR="00AB379C" w:rsidRPr="002D6581" w:rsidRDefault="00AB379C" w:rsidP="007055F6">
            <w:pPr>
              <w:jc w:val="center"/>
              <w:rPr>
                <w:rFonts w:eastAsia="Times New Roman" w:cstheme="minorHAnsi"/>
                <w:b/>
                <w:bCs/>
                <w:lang w:bidi="ar-SA"/>
              </w:rPr>
            </w:pPr>
            <w:r w:rsidRPr="002D6581">
              <w:rPr>
                <w:rFonts w:cstheme="minorHAnsi"/>
                <w:b/>
                <w:bCs/>
              </w:rPr>
              <w:t>0.14%</w:t>
            </w:r>
          </w:p>
        </w:tc>
        <w:tc>
          <w:tcPr>
            <w:tcW w:w="343" w:type="pct"/>
            <w:shd w:val="clear" w:color="000000" w:fill="FFFFFF"/>
            <w:vAlign w:val="center"/>
          </w:tcPr>
          <w:p w14:paraId="4BC11CE2"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375" w:type="pct"/>
            <w:shd w:val="clear" w:color="000000" w:fill="FFFFFF"/>
            <w:vAlign w:val="center"/>
          </w:tcPr>
          <w:p w14:paraId="4A7DD9AD"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405" w:type="pct"/>
            <w:shd w:val="clear" w:color="000000" w:fill="FFFFFF"/>
            <w:vAlign w:val="center"/>
          </w:tcPr>
          <w:p w14:paraId="591497F0" w14:textId="77777777" w:rsidR="00AB379C" w:rsidRPr="002D6581" w:rsidRDefault="00AB379C" w:rsidP="007055F6">
            <w:pPr>
              <w:jc w:val="center"/>
              <w:rPr>
                <w:rFonts w:eastAsia="Times New Roman" w:cstheme="minorHAnsi"/>
                <w:lang w:bidi="ar-SA"/>
              </w:rPr>
            </w:pPr>
            <w:r w:rsidRPr="002D6581">
              <w:rPr>
                <w:rFonts w:cstheme="minorHAnsi"/>
              </w:rPr>
              <w:t>0.12%</w:t>
            </w:r>
          </w:p>
        </w:tc>
        <w:tc>
          <w:tcPr>
            <w:tcW w:w="406" w:type="pct"/>
            <w:shd w:val="clear" w:color="000000" w:fill="FFFFFF"/>
            <w:vAlign w:val="center"/>
          </w:tcPr>
          <w:p w14:paraId="0615C714"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C830B8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A5E1BE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76128F0"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90E94DB" w14:textId="77777777" w:rsidTr="002D6581">
        <w:trPr>
          <w:cantSplit/>
          <w:trHeight w:val="144"/>
        </w:trPr>
        <w:tc>
          <w:tcPr>
            <w:tcW w:w="286" w:type="pct"/>
            <w:shd w:val="clear" w:color="auto" w:fill="FFFFFF" w:themeFill="background1"/>
            <w:vAlign w:val="center"/>
          </w:tcPr>
          <w:p w14:paraId="35B7B4B6"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39C7CB0"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Inpatient Ages 13—17 years—Male</w:t>
            </w:r>
          </w:p>
        </w:tc>
        <w:tc>
          <w:tcPr>
            <w:tcW w:w="312" w:type="pct"/>
            <w:shd w:val="clear" w:color="auto" w:fill="auto"/>
            <w:vAlign w:val="center"/>
          </w:tcPr>
          <w:p w14:paraId="05684C39"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0D40E9D9" w14:textId="77777777" w:rsidR="00AB379C" w:rsidRPr="002D6581" w:rsidRDefault="00AB379C" w:rsidP="007055F6">
            <w:pPr>
              <w:jc w:val="center"/>
              <w:rPr>
                <w:rFonts w:eastAsia="Times New Roman" w:cstheme="minorHAnsi"/>
                <w:lang w:bidi="ar-SA"/>
              </w:rPr>
            </w:pPr>
            <w:r w:rsidRPr="002D6581">
              <w:rPr>
                <w:rFonts w:cstheme="minorHAnsi"/>
              </w:rPr>
              <w:t>33</w:t>
            </w:r>
          </w:p>
        </w:tc>
        <w:tc>
          <w:tcPr>
            <w:tcW w:w="311" w:type="pct"/>
            <w:shd w:val="clear" w:color="000000" w:fill="FFFFFF"/>
            <w:vAlign w:val="center"/>
          </w:tcPr>
          <w:p w14:paraId="0E57D3B8" w14:textId="77777777" w:rsidR="00AB379C" w:rsidRPr="002D6581" w:rsidRDefault="00AB379C" w:rsidP="007055F6">
            <w:pPr>
              <w:jc w:val="center"/>
              <w:rPr>
                <w:rFonts w:eastAsia="Times New Roman" w:cstheme="minorHAnsi"/>
                <w:b/>
                <w:bCs/>
                <w:lang w:bidi="ar-SA"/>
              </w:rPr>
            </w:pPr>
            <w:r w:rsidRPr="002D6581">
              <w:rPr>
                <w:rFonts w:cstheme="minorHAnsi"/>
                <w:b/>
                <w:bCs/>
              </w:rPr>
              <w:t>0.62%</w:t>
            </w:r>
          </w:p>
        </w:tc>
        <w:tc>
          <w:tcPr>
            <w:tcW w:w="343" w:type="pct"/>
            <w:shd w:val="clear" w:color="000000" w:fill="FFFFFF"/>
            <w:vAlign w:val="center"/>
          </w:tcPr>
          <w:p w14:paraId="5A6201EC" w14:textId="77777777" w:rsidR="00AB379C" w:rsidRPr="002D6581" w:rsidRDefault="00AB379C" w:rsidP="007055F6">
            <w:pPr>
              <w:jc w:val="center"/>
              <w:rPr>
                <w:rFonts w:eastAsia="Times New Roman" w:cstheme="minorHAnsi"/>
                <w:lang w:bidi="ar-SA"/>
              </w:rPr>
            </w:pPr>
            <w:r w:rsidRPr="002D6581">
              <w:rPr>
                <w:rFonts w:cstheme="minorHAnsi"/>
              </w:rPr>
              <w:t>0.6%</w:t>
            </w:r>
          </w:p>
        </w:tc>
        <w:tc>
          <w:tcPr>
            <w:tcW w:w="375" w:type="pct"/>
            <w:shd w:val="clear" w:color="000000" w:fill="FFFFFF"/>
            <w:vAlign w:val="center"/>
          </w:tcPr>
          <w:p w14:paraId="7CF0B0E5" w14:textId="77777777" w:rsidR="00AB379C" w:rsidRPr="002D6581" w:rsidRDefault="00AB379C" w:rsidP="007055F6">
            <w:pPr>
              <w:jc w:val="center"/>
              <w:rPr>
                <w:rFonts w:eastAsia="Times New Roman" w:cstheme="minorHAnsi"/>
                <w:lang w:bidi="ar-SA"/>
              </w:rPr>
            </w:pPr>
            <w:r w:rsidRPr="002D6581">
              <w:rPr>
                <w:rFonts w:cstheme="minorHAnsi"/>
              </w:rPr>
              <w:t>0.7%</w:t>
            </w:r>
          </w:p>
        </w:tc>
        <w:tc>
          <w:tcPr>
            <w:tcW w:w="405" w:type="pct"/>
            <w:shd w:val="clear" w:color="000000" w:fill="FFFFFF"/>
            <w:vAlign w:val="center"/>
          </w:tcPr>
          <w:p w14:paraId="38BF2C31" w14:textId="77777777" w:rsidR="00AB379C" w:rsidRPr="002D6581" w:rsidRDefault="00AB379C" w:rsidP="007055F6">
            <w:pPr>
              <w:jc w:val="center"/>
              <w:rPr>
                <w:rFonts w:eastAsia="Times New Roman" w:cstheme="minorHAnsi"/>
                <w:lang w:bidi="ar-SA"/>
              </w:rPr>
            </w:pPr>
            <w:r w:rsidRPr="002D6581">
              <w:rPr>
                <w:rFonts w:cstheme="minorHAnsi"/>
              </w:rPr>
              <w:t>0.63%</w:t>
            </w:r>
          </w:p>
        </w:tc>
        <w:tc>
          <w:tcPr>
            <w:tcW w:w="406" w:type="pct"/>
            <w:shd w:val="clear" w:color="000000" w:fill="FFFFFF"/>
            <w:vAlign w:val="center"/>
          </w:tcPr>
          <w:p w14:paraId="190F15F7"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72CA671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9E2C13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B1A3FC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DB55B08" w14:textId="77777777" w:rsidTr="002D6581">
        <w:trPr>
          <w:cantSplit/>
          <w:trHeight w:val="144"/>
        </w:trPr>
        <w:tc>
          <w:tcPr>
            <w:tcW w:w="286" w:type="pct"/>
            <w:shd w:val="clear" w:color="auto" w:fill="FFFFFF" w:themeFill="background1"/>
            <w:vAlign w:val="center"/>
          </w:tcPr>
          <w:p w14:paraId="6F717949"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F46DCA7"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Inpatient Ages 13—17 years—Female</w:t>
            </w:r>
          </w:p>
        </w:tc>
        <w:tc>
          <w:tcPr>
            <w:tcW w:w="312" w:type="pct"/>
            <w:shd w:val="clear" w:color="auto" w:fill="auto"/>
            <w:vAlign w:val="center"/>
          </w:tcPr>
          <w:p w14:paraId="0C8BEBAE"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6EDD332C" w14:textId="77777777" w:rsidR="00AB379C" w:rsidRPr="002D6581" w:rsidRDefault="00AB379C" w:rsidP="007055F6">
            <w:pPr>
              <w:jc w:val="center"/>
              <w:rPr>
                <w:rFonts w:eastAsia="Times New Roman" w:cstheme="minorHAnsi"/>
                <w:lang w:bidi="ar-SA"/>
              </w:rPr>
            </w:pPr>
            <w:r w:rsidRPr="002D6581">
              <w:rPr>
                <w:rFonts w:cstheme="minorHAnsi"/>
              </w:rPr>
              <w:t>126</w:t>
            </w:r>
          </w:p>
        </w:tc>
        <w:tc>
          <w:tcPr>
            <w:tcW w:w="311" w:type="pct"/>
            <w:shd w:val="clear" w:color="000000" w:fill="FFFFFF"/>
            <w:vAlign w:val="center"/>
          </w:tcPr>
          <w:p w14:paraId="37010B55" w14:textId="77777777" w:rsidR="00AB379C" w:rsidRPr="002D6581" w:rsidRDefault="00AB379C" w:rsidP="007055F6">
            <w:pPr>
              <w:jc w:val="center"/>
              <w:rPr>
                <w:rFonts w:eastAsia="Times New Roman" w:cstheme="minorHAnsi"/>
                <w:b/>
                <w:bCs/>
                <w:lang w:bidi="ar-SA"/>
              </w:rPr>
            </w:pPr>
            <w:r w:rsidRPr="002D6581">
              <w:rPr>
                <w:rFonts w:cstheme="minorHAnsi"/>
                <w:b/>
                <w:bCs/>
              </w:rPr>
              <w:t>2.35%</w:t>
            </w:r>
          </w:p>
        </w:tc>
        <w:tc>
          <w:tcPr>
            <w:tcW w:w="343" w:type="pct"/>
            <w:shd w:val="clear" w:color="000000" w:fill="FFFFFF"/>
            <w:vAlign w:val="center"/>
          </w:tcPr>
          <w:p w14:paraId="3E1C8888" w14:textId="77777777" w:rsidR="00AB379C" w:rsidRPr="002D6581" w:rsidRDefault="00AB379C" w:rsidP="007055F6">
            <w:pPr>
              <w:jc w:val="center"/>
              <w:rPr>
                <w:rFonts w:eastAsia="Times New Roman" w:cstheme="minorHAnsi"/>
                <w:lang w:bidi="ar-SA"/>
              </w:rPr>
            </w:pPr>
            <w:r w:rsidRPr="002D6581">
              <w:rPr>
                <w:rFonts w:cstheme="minorHAnsi"/>
              </w:rPr>
              <w:t>2.2%</w:t>
            </w:r>
          </w:p>
        </w:tc>
        <w:tc>
          <w:tcPr>
            <w:tcW w:w="375" w:type="pct"/>
            <w:shd w:val="clear" w:color="000000" w:fill="FFFFFF"/>
            <w:vAlign w:val="center"/>
          </w:tcPr>
          <w:p w14:paraId="67AE9C46" w14:textId="77777777" w:rsidR="00AB379C" w:rsidRPr="002D6581" w:rsidRDefault="00AB379C" w:rsidP="007055F6">
            <w:pPr>
              <w:jc w:val="center"/>
              <w:rPr>
                <w:rFonts w:eastAsia="Times New Roman" w:cstheme="minorHAnsi"/>
                <w:lang w:bidi="ar-SA"/>
              </w:rPr>
            </w:pPr>
            <w:r w:rsidRPr="002D6581">
              <w:rPr>
                <w:rFonts w:cstheme="minorHAnsi"/>
              </w:rPr>
              <w:t>2.5%</w:t>
            </w:r>
          </w:p>
        </w:tc>
        <w:tc>
          <w:tcPr>
            <w:tcW w:w="405" w:type="pct"/>
            <w:shd w:val="clear" w:color="000000" w:fill="FFFFFF"/>
            <w:vAlign w:val="center"/>
          </w:tcPr>
          <w:p w14:paraId="30AE2596" w14:textId="77777777" w:rsidR="00AB379C" w:rsidRPr="002D6581" w:rsidRDefault="00AB379C" w:rsidP="007055F6">
            <w:pPr>
              <w:jc w:val="center"/>
              <w:rPr>
                <w:rFonts w:eastAsia="Times New Roman" w:cstheme="minorHAnsi"/>
                <w:lang w:bidi="ar-SA"/>
              </w:rPr>
            </w:pPr>
            <w:r w:rsidRPr="002D6581">
              <w:rPr>
                <w:rFonts w:cstheme="minorHAnsi"/>
              </w:rPr>
              <w:t>1.41%</w:t>
            </w:r>
          </w:p>
        </w:tc>
        <w:tc>
          <w:tcPr>
            <w:tcW w:w="406" w:type="pct"/>
            <w:shd w:val="clear" w:color="000000" w:fill="FFFFFF"/>
            <w:vAlign w:val="center"/>
          </w:tcPr>
          <w:p w14:paraId="23E4C482"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A5380F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087B0D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0970C0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5CC8097F" w14:textId="77777777" w:rsidTr="002D6581">
        <w:trPr>
          <w:cantSplit/>
          <w:trHeight w:val="144"/>
        </w:trPr>
        <w:tc>
          <w:tcPr>
            <w:tcW w:w="286" w:type="pct"/>
            <w:shd w:val="clear" w:color="auto" w:fill="FFFFFF" w:themeFill="background1"/>
            <w:vAlign w:val="center"/>
          </w:tcPr>
          <w:p w14:paraId="317230BA"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4C41BED"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Inpatient Ages 13—17 years—Total Rate</w:t>
            </w:r>
          </w:p>
        </w:tc>
        <w:tc>
          <w:tcPr>
            <w:tcW w:w="312" w:type="pct"/>
            <w:shd w:val="clear" w:color="auto" w:fill="auto"/>
            <w:vAlign w:val="center"/>
          </w:tcPr>
          <w:p w14:paraId="72700A18"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4F4020FF" w14:textId="77777777" w:rsidR="00AB379C" w:rsidRPr="002D6581" w:rsidRDefault="00AB379C" w:rsidP="007055F6">
            <w:pPr>
              <w:jc w:val="center"/>
              <w:rPr>
                <w:rFonts w:eastAsia="Times New Roman" w:cstheme="minorHAnsi"/>
                <w:lang w:bidi="ar-SA"/>
              </w:rPr>
            </w:pPr>
            <w:r w:rsidRPr="002D6581">
              <w:rPr>
                <w:rFonts w:cstheme="minorHAnsi"/>
              </w:rPr>
              <w:t>159</w:t>
            </w:r>
          </w:p>
        </w:tc>
        <w:tc>
          <w:tcPr>
            <w:tcW w:w="311" w:type="pct"/>
            <w:shd w:val="clear" w:color="000000" w:fill="FFFFFF"/>
            <w:vAlign w:val="center"/>
          </w:tcPr>
          <w:p w14:paraId="6A3EAE3A" w14:textId="77777777" w:rsidR="00AB379C" w:rsidRPr="002D6581" w:rsidRDefault="00AB379C" w:rsidP="007055F6">
            <w:pPr>
              <w:jc w:val="center"/>
              <w:rPr>
                <w:rFonts w:eastAsia="Times New Roman" w:cstheme="minorHAnsi"/>
                <w:b/>
                <w:bCs/>
                <w:lang w:bidi="ar-SA"/>
              </w:rPr>
            </w:pPr>
            <w:r w:rsidRPr="002D6581">
              <w:rPr>
                <w:rFonts w:cstheme="minorHAnsi"/>
                <w:b/>
                <w:bCs/>
              </w:rPr>
              <w:t>1.49%</w:t>
            </w:r>
          </w:p>
        </w:tc>
        <w:tc>
          <w:tcPr>
            <w:tcW w:w="343" w:type="pct"/>
            <w:shd w:val="clear" w:color="000000" w:fill="FFFFFF"/>
            <w:vAlign w:val="center"/>
          </w:tcPr>
          <w:p w14:paraId="01AECDE0" w14:textId="77777777" w:rsidR="00AB379C" w:rsidRPr="002D6581" w:rsidRDefault="00AB379C" w:rsidP="007055F6">
            <w:pPr>
              <w:jc w:val="center"/>
              <w:rPr>
                <w:rFonts w:eastAsia="Times New Roman" w:cstheme="minorHAnsi"/>
                <w:lang w:bidi="ar-SA"/>
              </w:rPr>
            </w:pPr>
            <w:r w:rsidRPr="002D6581">
              <w:rPr>
                <w:rFonts w:cstheme="minorHAnsi"/>
              </w:rPr>
              <w:t>1.4%</w:t>
            </w:r>
          </w:p>
        </w:tc>
        <w:tc>
          <w:tcPr>
            <w:tcW w:w="375" w:type="pct"/>
            <w:shd w:val="clear" w:color="000000" w:fill="FFFFFF"/>
            <w:vAlign w:val="center"/>
          </w:tcPr>
          <w:p w14:paraId="2A1CC5F2" w14:textId="77777777" w:rsidR="00AB379C" w:rsidRPr="002D6581" w:rsidRDefault="00AB379C" w:rsidP="007055F6">
            <w:pPr>
              <w:jc w:val="center"/>
              <w:rPr>
                <w:rFonts w:eastAsia="Times New Roman" w:cstheme="minorHAnsi"/>
                <w:lang w:bidi="ar-SA"/>
              </w:rPr>
            </w:pPr>
            <w:r w:rsidRPr="002D6581">
              <w:rPr>
                <w:rFonts w:cstheme="minorHAnsi"/>
              </w:rPr>
              <w:t>1.6%</w:t>
            </w:r>
          </w:p>
        </w:tc>
        <w:tc>
          <w:tcPr>
            <w:tcW w:w="405" w:type="pct"/>
            <w:shd w:val="clear" w:color="000000" w:fill="FFFFFF"/>
            <w:vAlign w:val="center"/>
          </w:tcPr>
          <w:p w14:paraId="2CE297E7" w14:textId="77777777" w:rsidR="00AB379C" w:rsidRPr="002D6581" w:rsidRDefault="00AB379C" w:rsidP="007055F6">
            <w:pPr>
              <w:jc w:val="center"/>
              <w:rPr>
                <w:rFonts w:eastAsia="Times New Roman" w:cstheme="minorHAnsi"/>
                <w:lang w:bidi="ar-SA"/>
              </w:rPr>
            </w:pPr>
            <w:r w:rsidRPr="002D6581">
              <w:rPr>
                <w:rFonts w:cstheme="minorHAnsi"/>
              </w:rPr>
              <w:t>1.02%</w:t>
            </w:r>
          </w:p>
        </w:tc>
        <w:tc>
          <w:tcPr>
            <w:tcW w:w="406" w:type="pct"/>
            <w:shd w:val="clear" w:color="000000" w:fill="FFFFFF"/>
            <w:vAlign w:val="center"/>
          </w:tcPr>
          <w:p w14:paraId="0BEA523C"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37618F0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4B9DBF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93837F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955C125" w14:textId="77777777" w:rsidTr="002D6581">
        <w:trPr>
          <w:cantSplit/>
          <w:trHeight w:val="144"/>
        </w:trPr>
        <w:tc>
          <w:tcPr>
            <w:tcW w:w="286" w:type="pct"/>
            <w:shd w:val="clear" w:color="auto" w:fill="FFFFFF" w:themeFill="background1"/>
            <w:vAlign w:val="center"/>
          </w:tcPr>
          <w:p w14:paraId="01213644"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722B7C1B"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Intensive Outpatient/Partial Hospitalization Ages 0—12 years—Male</w:t>
            </w:r>
          </w:p>
        </w:tc>
        <w:tc>
          <w:tcPr>
            <w:tcW w:w="312" w:type="pct"/>
            <w:shd w:val="clear" w:color="auto" w:fill="auto"/>
            <w:vAlign w:val="center"/>
          </w:tcPr>
          <w:p w14:paraId="09451ADD"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3B244376" w14:textId="77777777" w:rsidR="00AB379C" w:rsidRPr="002D6581" w:rsidRDefault="00AB379C" w:rsidP="007055F6">
            <w:pPr>
              <w:jc w:val="center"/>
              <w:rPr>
                <w:rFonts w:eastAsia="Times New Roman" w:cstheme="minorHAnsi"/>
                <w:lang w:bidi="ar-SA"/>
              </w:rPr>
            </w:pPr>
            <w:r w:rsidRPr="002D6581">
              <w:rPr>
                <w:rFonts w:cstheme="minorHAnsi"/>
              </w:rPr>
              <w:t>8</w:t>
            </w:r>
          </w:p>
        </w:tc>
        <w:tc>
          <w:tcPr>
            <w:tcW w:w="311" w:type="pct"/>
            <w:shd w:val="clear" w:color="000000" w:fill="FFFFFF"/>
            <w:vAlign w:val="center"/>
          </w:tcPr>
          <w:p w14:paraId="793CE207" w14:textId="77777777" w:rsidR="00AB379C" w:rsidRPr="002D6581" w:rsidRDefault="00AB379C" w:rsidP="007055F6">
            <w:pPr>
              <w:jc w:val="center"/>
              <w:rPr>
                <w:rFonts w:eastAsia="Times New Roman" w:cstheme="minorHAnsi"/>
                <w:b/>
                <w:bCs/>
                <w:lang w:bidi="ar-SA"/>
              </w:rPr>
            </w:pPr>
            <w:r w:rsidRPr="002D6581">
              <w:rPr>
                <w:rFonts w:cstheme="minorHAnsi"/>
                <w:b/>
                <w:bCs/>
              </w:rPr>
              <w:t>0.08%</w:t>
            </w:r>
          </w:p>
        </w:tc>
        <w:tc>
          <w:tcPr>
            <w:tcW w:w="343" w:type="pct"/>
            <w:shd w:val="clear" w:color="000000" w:fill="FFFFFF"/>
            <w:vAlign w:val="center"/>
          </w:tcPr>
          <w:p w14:paraId="2FB8106B"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375" w:type="pct"/>
            <w:shd w:val="clear" w:color="000000" w:fill="FFFFFF"/>
            <w:vAlign w:val="center"/>
          </w:tcPr>
          <w:p w14:paraId="435AA5AC"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405" w:type="pct"/>
            <w:shd w:val="clear" w:color="000000" w:fill="FFFFFF"/>
            <w:vAlign w:val="center"/>
          </w:tcPr>
          <w:p w14:paraId="0792984C" w14:textId="77777777" w:rsidR="00AB379C" w:rsidRPr="002D6581" w:rsidRDefault="00AB379C" w:rsidP="007055F6">
            <w:pPr>
              <w:jc w:val="center"/>
              <w:rPr>
                <w:rFonts w:eastAsia="Times New Roman" w:cstheme="minorHAnsi"/>
                <w:lang w:bidi="ar-SA"/>
              </w:rPr>
            </w:pPr>
            <w:r w:rsidRPr="002D6581">
              <w:rPr>
                <w:rFonts w:cstheme="minorHAnsi"/>
              </w:rPr>
              <w:t>0.05%</w:t>
            </w:r>
          </w:p>
        </w:tc>
        <w:tc>
          <w:tcPr>
            <w:tcW w:w="406" w:type="pct"/>
            <w:shd w:val="clear" w:color="000000" w:fill="FFFFFF"/>
            <w:vAlign w:val="center"/>
          </w:tcPr>
          <w:p w14:paraId="1DE942C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8B465E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BB50D1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BC395C7"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A0F50E8" w14:textId="77777777" w:rsidTr="002D6581">
        <w:trPr>
          <w:cantSplit/>
          <w:trHeight w:val="144"/>
        </w:trPr>
        <w:tc>
          <w:tcPr>
            <w:tcW w:w="286" w:type="pct"/>
            <w:shd w:val="clear" w:color="auto" w:fill="FFFFFF" w:themeFill="background1"/>
            <w:vAlign w:val="center"/>
          </w:tcPr>
          <w:p w14:paraId="59DF77B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D008810"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Intensive Outpatient/Partial Hospitalization Ages 0—12 years—Female</w:t>
            </w:r>
          </w:p>
        </w:tc>
        <w:tc>
          <w:tcPr>
            <w:tcW w:w="312" w:type="pct"/>
            <w:shd w:val="clear" w:color="auto" w:fill="auto"/>
            <w:vAlign w:val="center"/>
          </w:tcPr>
          <w:p w14:paraId="4870ACD2"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25A2DA6B" w14:textId="77777777" w:rsidR="00AB379C" w:rsidRPr="002D6581" w:rsidRDefault="00AB379C" w:rsidP="007055F6">
            <w:pPr>
              <w:jc w:val="center"/>
              <w:rPr>
                <w:rFonts w:eastAsia="Times New Roman" w:cstheme="minorHAnsi"/>
                <w:lang w:bidi="ar-SA"/>
              </w:rPr>
            </w:pPr>
            <w:r w:rsidRPr="002D6581">
              <w:rPr>
                <w:rFonts w:cstheme="minorHAnsi"/>
              </w:rPr>
              <w:t>15</w:t>
            </w:r>
          </w:p>
        </w:tc>
        <w:tc>
          <w:tcPr>
            <w:tcW w:w="311" w:type="pct"/>
            <w:shd w:val="clear" w:color="000000" w:fill="FFFFFF"/>
            <w:vAlign w:val="center"/>
          </w:tcPr>
          <w:p w14:paraId="73A20473" w14:textId="77777777" w:rsidR="00AB379C" w:rsidRPr="002D6581" w:rsidRDefault="00AB379C" w:rsidP="007055F6">
            <w:pPr>
              <w:jc w:val="center"/>
              <w:rPr>
                <w:rFonts w:eastAsia="Times New Roman" w:cstheme="minorHAnsi"/>
                <w:b/>
                <w:bCs/>
                <w:lang w:bidi="ar-SA"/>
              </w:rPr>
            </w:pPr>
            <w:r w:rsidRPr="002D6581">
              <w:rPr>
                <w:rFonts w:cstheme="minorHAnsi"/>
                <w:b/>
                <w:bCs/>
              </w:rPr>
              <w:t>0.15%</w:t>
            </w:r>
          </w:p>
        </w:tc>
        <w:tc>
          <w:tcPr>
            <w:tcW w:w="343" w:type="pct"/>
            <w:shd w:val="clear" w:color="000000" w:fill="FFFFFF"/>
            <w:vAlign w:val="center"/>
          </w:tcPr>
          <w:p w14:paraId="299197DB"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375" w:type="pct"/>
            <w:shd w:val="clear" w:color="000000" w:fill="FFFFFF"/>
            <w:vAlign w:val="center"/>
          </w:tcPr>
          <w:p w14:paraId="517B6B93"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405" w:type="pct"/>
            <w:shd w:val="clear" w:color="000000" w:fill="FFFFFF"/>
            <w:vAlign w:val="center"/>
          </w:tcPr>
          <w:p w14:paraId="06DAB707" w14:textId="77777777" w:rsidR="00AB379C" w:rsidRPr="002D6581" w:rsidRDefault="00AB379C" w:rsidP="007055F6">
            <w:pPr>
              <w:jc w:val="center"/>
              <w:rPr>
                <w:rFonts w:eastAsia="Times New Roman" w:cstheme="minorHAnsi"/>
                <w:lang w:bidi="ar-SA"/>
              </w:rPr>
            </w:pPr>
            <w:r w:rsidRPr="002D6581">
              <w:rPr>
                <w:rFonts w:cstheme="minorHAnsi"/>
              </w:rPr>
              <w:t>0.08%</w:t>
            </w:r>
          </w:p>
        </w:tc>
        <w:tc>
          <w:tcPr>
            <w:tcW w:w="406" w:type="pct"/>
            <w:shd w:val="clear" w:color="000000" w:fill="FFFFFF"/>
            <w:vAlign w:val="center"/>
          </w:tcPr>
          <w:p w14:paraId="0FAC4C1B"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5FF0630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412E3D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3BCB8EF"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D40593E" w14:textId="77777777" w:rsidTr="002D6581">
        <w:trPr>
          <w:cantSplit/>
          <w:trHeight w:val="144"/>
        </w:trPr>
        <w:tc>
          <w:tcPr>
            <w:tcW w:w="286" w:type="pct"/>
            <w:shd w:val="clear" w:color="auto" w:fill="FFFFFF" w:themeFill="background1"/>
            <w:vAlign w:val="center"/>
          </w:tcPr>
          <w:p w14:paraId="389FDB4E"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7ACFF19"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Intensive Outpatient/Partial Hospitalization Ages 0—12 years—Total Rate</w:t>
            </w:r>
          </w:p>
        </w:tc>
        <w:tc>
          <w:tcPr>
            <w:tcW w:w="312" w:type="pct"/>
            <w:shd w:val="clear" w:color="auto" w:fill="auto"/>
            <w:vAlign w:val="center"/>
          </w:tcPr>
          <w:p w14:paraId="72C35206"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4A2E9841" w14:textId="77777777" w:rsidR="00AB379C" w:rsidRPr="002D6581" w:rsidRDefault="00AB379C" w:rsidP="007055F6">
            <w:pPr>
              <w:jc w:val="center"/>
              <w:rPr>
                <w:rFonts w:eastAsia="Times New Roman" w:cstheme="minorHAnsi"/>
                <w:lang w:bidi="ar-SA"/>
              </w:rPr>
            </w:pPr>
            <w:r w:rsidRPr="002D6581">
              <w:rPr>
                <w:rFonts w:cstheme="minorHAnsi"/>
              </w:rPr>
              <w:t>23</w:t>
            </w:r>
          </w:p>
        </w:tc>
        <w:tc>
          <w:tcPr>
            <w:tcW w:w="311" w:type="pct"/>
            <w:shd w:val="clear" w:color="000000" w:fill="FFFFFF"/>
            <w:vAlign w:val="center"/>
          </w:tcPr>
          <w:p w14:paraId="7893DAFD" w14:textId="77777777" w:rsidR="00AB379C" w:rsidRPr="002D6581" w:rsidRDefault="00AB379C" w:rsidP="007055F6">
            <w:pPr>
              <w:jc w:val="center"/>
              <w:rPr>
                <w:rFonts w:eastAsia="Times New Roman" w:cstheme="minorHAnsi"/>
                <w:b/>
                <w:bCs/>
                <w:lang w:bidi="ar-SA"/>
              </w:rPr>
            </w:pPr>
            <w:r w:rsidRPr="002D6581">
              <w:rPr>
                <w:rFonts w:cstheme="minorHAnsi"/>
                <w:b/>
                <w:bCs/>
              </w:rPr>
              <w:t>0.11%</w:t>
            </w:r>
          </w:p>
        </w:tc>
        <w:tc>
          <w:tcPr>
            <w:tcW w:w="343" w:type="pct"/>
            <w:shd w:val="clear" w:color="000000" w:fill="FFFFFF"/>
            <w:vAlign w:val="center"/>
          </w:tcPr>
          <w:p w14:paraId="5B4512E5"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375" w:type="pct"/>
            <w:shd w:val="clear" w:color="000000" w:fill="FFFFFF"/>
            <w:vAlign w:val="center"/>
          </w:tcPr>
          <w:p w14:paraId="03F2C61E"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405" w:type="pct"/>
            <w:shd w:val="clear" w:color="000000" w:fill="FFFFFF"/>
            <w:vAlign w:val="center"/>
          </w:tcPr>
          <w:p w14:paraId="13A72818" w14:textId="77777777" w:rsidR="00AB379C" w:rsidRPr="002D6581" w:rsidRDefault="00AB379C" w:rsidP="007055F6">
            <w:pPr>
              <w:jc w:val="center"/>
              <w:rPr>
                <w:rFonts w:eastAsia="Times New Roman" w:cstheme="minorHAnsi"/>
                <w:lang w:bidi="ar-SA"/>
              </w:rPr>
            </w:pPr>
            <w:r w:rsidRPr="002D6581">
              <w:rPr>
                <w:rFonts w:cstheme="minorHAnsi"/>
              </w:rPr>
              <w:t>0.06%</w:t>
            </w:r>
          </w:p>
        </w:tc>
        <w:tc>
          <w:tcPr>
            <w:tcW w:w="406" w:type="pct"/>
            <w:shd w:val="clear" w:color="000000" w:fill="FFFFFF"/>
            <w:vAlign w:val="center"/>
          </w:tcPr>
          <w:p w14:paraId="0EB9E73B"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CE872F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4C90225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0830414"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54C5B6CE" w14:textId="77777777" w:rsidTr="002D6581">
        <w:trPr>
          <w:cantSplit/>
          <w:trHeight w:val="144"/>
        </w:trPr>
        <w:tc>
          <w:tcPr>
            <w:tcW w:w="286" w:type="pct"/>
            <w:shd w:val="clear" w:color="auto" w:fill="FFFFFF" w:themeFill="background1"/>
            <w:vAlign w:val="center"/>
          </w:tcPr>
          <w:p w14:paraId="38AC8188"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CF2085C"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Intensive Outpatient/Partial Hospitalization Ages 13—17 years—Male</w:t>
            </w:r>
          </w:p>
        </w:tc>
        <w:tc>
          <w:tcPr>
            <w:tcW w:w="312" w:type="pct"/>
            <w:shd w:val="clear" w:color="auto" w:fill="auto"/>
            <w:vAlign w:val="center"/>
          </w:tcPr>
          <w:p w14:paraId="7C3795F9"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7B816884" w14:textId="77777777" w:rsidR="00AB379C" w:rsidRPr="002D6581" w:rsidRDefault="00AB379C" w:rsidP="007055F6">
            <w:pPr>
              <w:jc w:val="center"/>
              <w:rPr>
                <w:rFonts w:eastAsia="Times New Roman" w:cstheme="minorHAnsi"/>
                <w:lang w:bidi="ar-SA"/>
              </w:rPr>
            </w:pPr>
            <w:r w:rsidRPr="002D6581">
              <w:rPr>
                <w:rFonts w:cstheme="minorHAnsi"/>
              </w:rPr>
              <w:t>9</w:t>
            </w:r>
          </w:p>
        </w:tc>
        <w:tc>
          <w:tcPr>
            <w:tcW w:w="311" w:type="pct"/>
            <w:shd w:val="clear" w:color="000000" w:fill="FFFFFF"/>
            <w:vAlign w:val="center"/>
          </w:tcPr>
          <w:p w14:paraId="2E9381EC" w14:textId="77777777" w:rsidR="00AB379C" w:rsidRPr="002D6581" w:rsidRDefault="00AB379C" w:rsidP="007055F6">
            <w:pPr>
              <w:jc w:val="center"/>
              <w:rPr>
                <w:rFonts w:eastAsia="Times New Roman" w:cstheme="minorHAnsi"/>
                <w:b/>
                <w:bCs/>
                <w:lang w:bidi="ar-SA"/>
              </w:rPr>
            </w:pPr>
            <w:r w:rsidRPr="002D6581">
              <w:rPr>
                <w:rFonts w:cstheme="minorHAnsi"/>
                <w:b/>
                <w:bCs/>
              </w:rPr>
              <w:t>0.17%</w:t>
            </w:r>
          </w:p>
        </w:tc>
        <w:tc>
          <w:tcPr>
            <w:tcW w:w="343" w:type="pct"/>
            <w:shd w:val="clear" w:color="000000" w:fill="FFFFFF"/>
            <w:vAlign w:val="center"/>
          </w:tcPr>
          <w:p w14:paraId="6BEBF8D9"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375" w:type="pct"/>
            <w:shd w:val="clear" w:color="000000" w:fill="FFFFFF"/>
            <w:vAlign w:val="center"/>
          </w:tcPr>
          <w:p w14:paraId="56B68CEC"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405" w:type="pct"/>
            <w:shd w:val="clear" w:color="000000" w:fill="FFFFFF"/>
            <w:vAlign w:val="center"/>
          </w:tcPr>
          <w:p w14:paraId="34492FBF" w14:textId="77777777" w:rsidR="00AB379C" w:rsidRPr="002D6581" w:rsidRDefault="00AB379C" w:rsidP="007055F6">
            <w:pPr>
              <w:jc w:val="center"/>
              <w:rPr>
                <w:rFonts w:eastAsia="Times New Roman" w:cstheme="minorHAnsi"/>
                <w:lang w:bidi="ar-SA"/>
              </w:rPr>
            </w:pPr>
            <w:r w:rsidRPr="002D6581">
              <w:rPr>
                <w:rFonts w:cstheme="minorHAnsi"/>
              </w:rPr>
              <w:t>0.22%</w:t>
            </w:r>
          </w:p>
        </w:tc>
        <w:tc>
          <w:tcPr>
            <w:tcW w:w="406" w:type="pct"/>
            <w:shd w:val="clear" w:color="000000" w:fill="FFFFFF"/>
            <w:vAlign w:val="center"/>
          </w:tcPr>
          <w:p w14:paraId="76B98F72"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47C0F92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12441C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6FCA152"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EDCA809" w14:textId="77777777" w:rsidTr="002D6581">
        <w:trPr>
          <w:cantSplit/>
          <w:trHeight w:val="144"/>
        </w:trPr>
        <w:tc>
          <w:tcPr>
            <w:tcW w:w="286" w:type="pct"/>
            <w:shd w:val="clear" w:color="auto" w:fill="FFFFFF" w:themeFill="background1"/>
            <w:vAlign w:val="center"/>
          </w:tcPr>
          <w:p w14:paraId="4002EBF4"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lastRenderedPageBreak/>
              <w:t>HEDIS</w:t>
            </w:r>
          </w:p>
        </w:tc>
        <w:tc>
          <w:tcPr>
            <w:tcW w:w="1060" w:type="pct"/>
            <w:shd w:val="clear" w:color="auto" w:fill="FFFFFF" w:themeFill="background1"/>
            <w:vAlign w:val="center"/>
          </w:tcPr>
          <w:p w14:paraId="4B22D7CA"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Intensive Outpatient/Partial Hospitalization Ages 13—17 years—Female</w:t>
            </w:r>
          </w:p>
        </w:tc>
        <w:tc>
          <w:tcPr>
            <w:tcW w:w="312" w:type="pct"/>
            <w:shd w:val="clear" w:color="auto" w:fill="auto"/>
            <w:vAlign w:val="center"/>
          </w:tcPr>
          <w:p w14:paraId="12BD4CA8"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03328E92" w14:textId="77777777" w:rsidR="00AB379C" w:rsidRPr="002D6581" w:rsidRDefault="00AB379C" w:rsidP="007055F6">
            <w:pPr>
              <w:jc w:val="center"/>
              <w:rPr>
                <w:rFonts w:eastAsia="Times New Roman" w:cstheme="minorHAnsi"/>
                <w:lang w:bidi="ar-SA"/>
              </w:rPr>
            </w:pPr>
            <w:r w:rsidRPr="002D6581">
              <w:rPr>
                <w:rFonts w:cstheme="minorHAnsi"/>
              </w:rPr>
              <w:t>66</w:t>
            </w:r>
          </w:p>
        </w:tc>
        <w:tc>
          <w:tcPr>
            <w:tcW w:w="311" w:type="pct"/>
            <w:shd w:val="clear" w:color="000000" w:fill="FFFFFF"/>
            <w:vAlign w:val="center"/>
          </w:tcPr>
          <w:p w14:paraId="459419BB" w14:textId="77777777" w:rsidR="00AB379C" w:rsidRPr="002D6581" w:rsidRDefault="00AB379C" w:rsidP="007055F6">
            <w:pPr>
              <w:jc w:val="center"/>
              <w:rPr>
                <w:rFonts w:eastAsia="Times New Roman" w:cstheme="minorHAnsi"/>
                <w:b/>
                <w:bCs/>
                <w:lang w:bidi="ar-SA"/>
              </w:rPr>
            </w:pPr>
            <w:r w:rsidRPr="002D6581">
              <w:rPr>
                <w:rFonts w:cstheme="minorHAnsi"/>
                <w:b/>
                <w:bCs/>
              </w:rPr>
              <w:t>1.23%</w:t>
            </w:r>
          </w:p>
        </w:tc>
        <w:tc>
          <w:tcPr>
            <w:tcW w:w="343" w:type="pct"/>
            <w:shd w:val="clear" w:color="000000" w:fill="FFFFFF"/>
            <w:vAlign w:val="center"/>
          </w:tcPr>
          <w:p w14:paraId="5DABF898" w14:textId="77777777" w:rsidR="00AB379C" w:rsidRPr="002D6581" w:rsidRDefault="00AB379C" w:rsidP="007055F6">
            <w:pPr>
              <w:jc w:val="center"/>
              <w:rPr>
                <w:rFonts w:eastAsia="Times New Roman" w:cstheme="minorHAnsi"/>
                <w:lang w:bidi="ar-SA"/>
              </w:rPr>
            </w:pPr>
            <w:r w:rsidRPr="002D6581">
              <w:rPr>
                <w:rFonts w:cstheme="minorHAnsi"/>
              </w:rPr>
              <w:t>1.1%</w:t>
            </w:r>
          </w:p>
        </w:tc>
        <w:tc>
          <w:tcPr>
            <w:tcW w:w="375" w:type="pct"/>
            <w:shd w:val="clear" w:color="000000" w:fill="FFFFFF"/>
            <w:vAlign w:val="center"/>
          </w:tcPr>
          <w:p w14:paraId="296CD203" w14:textId="77777777" w:rsidR="00AB379C" w:rsidRPr="002D6581" w:rsidRDefault="00AB379C" w:rsidP="007055F6">
            <w:pPr>
              <w:jc w:val="center"/>
              <w:rPr>
                <w:rFonts w:eastAsia="Times New Roman" w:cstheme="minorHAnsi"/>
                <w:lang w:bidi="ar-SA"/>
              </w:rPr>
            </w:pPr>
            <w:r w:rsidRPr="002D6581">
              <w:rPr>
                <w:rFonts w:cstheme="minorHAnsi"/>
              </w:rPr>
              <w:t>1.3%</w:t>
            </w:r>
          </w:p>
        </w:tc>
        <w:tc>
          <w:tcPr>
            <w:tcW w:w="405" w:type="pct"/>
            <w:shd w:val="clear" w:color="000000" w:fill="FFFFFF"/>
            <w:vAlign w:val="center"/>
          </w:tcPr>
          <w:p w14:paraId="4EC17B0E" w14:textId="77777777" w:rsidR="00AB379C" w:rsidRPr="002D6581" w:rsidRDefault="00AB379C" w:rsidP="007055F6">
            <w:pPr>
              <w:jc w:val="center"/>
              <w:rPr>
                <w:rFonts w:eastAsia="Times New Roman" w:cstheme="minorHAnsi"/>
                <w:lang w:bidi="ar-SA"/>
              </w:rPr>
            </w:pPr>
            <w:r w:rsidRPr="002D6581">
              <w:rPr>
                <w:rFonts w:cstheme="minorHAnsi"/>
              </w:rPr>
              <w:t>1.03%</w:t>
            </w:r>
          </w:p>
        </w:tc>
        <w:tc>
          <w:tcPr>
            <w:tcW w:w="406" w:type="pct"/>
            <w:shd w:val="clear" w:color="000000" w:fill="FFFFFF"/>
            <w:vAlign w:val="center"/>
          </w:tcPr>
          <w:p w14:paraId="6F9AAA3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B81E46B"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12492E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324339B"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CEB4B40" w14:textId="77777777" w:rsidTr="002D6581">
        <w:trPr>
          <w:cantSplit/>
          <w:trHeight w:val="144"/>
        </w:trPr>
        <w:tc>
          <w:tcPr>
            <w:tcW w:w="286" w:type="pct"/>
            <w:shd w:val="clear" w:color="auto" w:fill="FFFFFF" w:themeFill="background1"/>
            <w:vAlign w:val="center"/>
          </w:tcPr>
          <w:p w14:paraId="62273C3B"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63E90E8"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Intensive Outpatient/Partial Hospitalization Ages 13—17 years—Total Rate</w:t>
            </w:r>
          </w:p>
        </w:tc>
        <w:tc>
          <w:tcPr>
            <w:tcW w:w="312" w:type="pct"/>
            <w:shd w:val="clear" w:color="auto" w:fill="auto"/>
            <w:vAlign w:val="center"/>
          </w:tcPr>
          <w:p w14:paraId="7949D637"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20ABF631" w14:textId="77777777" w:rsidR="00AB379C" w:rsidRPr="002D6581" w:rsidRDefault="00AB379C" w:rsidP="007055F6">
            <w:pPr>
              <w:jc w:val="center"/>
              <w:rPr>
                <w:rFonts w:eastAsia="Times New Roman" w:cstheme="minorHAnsi"/>
                <w:lang w:bidi="ar-SA"/>
              </w:rPr>
            </w:pPr>
            <w:r w:rsidRPr="002D6581">
              <w:rPr>
                <w:rFonts w:cstheme="minorHAnsi"/>
              </w:rPr>
              <w:t>75</w:t>
            </w:r>
          </w:p>
        </w:tc>
        <w:tc>
          <w:tcPr>
            <w:tcW w:w="311" w:type="pct"/>
            <w:shd w:val="clear" w:color="000000" w:fill="FFFFFF"/>
            <w:vAlign w:val="center"/>
          </w:tcPr>
          <w:p w14:paraId="0010732C" w14:textId="77777777" w:rsidR="00AB379C" w:rsidRPr="002D6581" w:rsidRDefault="00AB379C" w:rsidP="007055F6">
            <w:pPr>
              <w:jc w:val="center"/>
              <w:rPr>
                <w:rFonts w:eastAsia="Times New Roman" w:cstheme="minorHAnsi"/>
                <w:b/>
                <w:bCs/>
                <w:lang w:bidi="ar-SA"/>
              </w:rPr>
            </w:pPr>
            <w:r w:rsidRPr="002D6581">
              <w:rPr>
                <w:rFonts w:cstheme="minorHAnsi"/>
                <w:b/>
                <w:bCs/>
              </w:rPr>
              <w:t>0.70%</w:t>
            </w:r>
          </w:p>
        </w:tc>
        <w:tc>
          <w:tcPr>
            <w:tcW w:w="343" w:type="pct"/>
            <w:shd w:val="clear" w:color="000000" w:fill="FFFFFF"/>
            <w:vAlign w:val="center"/>
          </w:tcPr>
          <w:p w14:paraId="121F0966" w14:textId="77777777" w:rsidR="00AB379C" w:rsidRPr="002D6581" w:rsidRDefault="00AB379C" w:rsidP="007055F6">
            <w:pPr>
              <w:jc w:val="center"/>
              <w:rPr>
                <w:rFonts w:eastAsia="Times New Roman" w:cstheme="minorHAnsi"/>
                <w:lang w:bidi="ar-SA"/>
              </w:rPr>
            </w:pPr>
            <w:r w:rsidRPr="002D6581">
              <w:rPr>
                <w:rFonts w:cstheme="minorHAnsi"/>
              </w:rPr>
              <w:t>0.7%</w:t>
            </w:r>
          </w:p>
        </w:tc>
        <w:tc>
          <w:tcPr>
            <w:tcW w:w="375" w:type="pct"/>
            <w:shd w:val="clear" w:color="000000" w:fill="FFFFFF"/>
            <w:vAlign w:val="center"/>
          </w:tcPr>
          <w:p w14:paraId="4BB83A30" w14:textId="77777777" w:rsidR="00AB379C" w:rsidRPr="002D6581" w:rsidRDefault="00AB379C" w:rsidP="007055F6">
            <w:pPr>
              <w:jc w:val="center"/>
              <w:rPr>
                <w:rFonts w:eastAsia="Times New Roman" w:cstheme="minorHAnsi"/>
                <w:lang w:bidi="ar-SA"/>
              </w:rPr>
            </w:pPr>
            <w:r w:rsidRPr="002D6581">
              <w:rPr>
                <w:rFonts w:cstheme="minorHAnsi"/>
              </w:rPr>
              <w:t>0.7%</w:t>
            </w:r>
          </w:p>
        </w:tc>
        <w:tc>
          <w:tcPr>
            <w:tcW w:w="405" w:type="pct"/>
            <w:shd w:val="clear" w:color="000000" w:fill="FFFFFF"/>
            <w:vAlign w:val="center"/>
          </w:tcPr>
          <w:p w14:paraId="759D2A68" w14:textId="77777777" w:rsidR="00AB379C" w:rsidRPr="002D6581" w:rsidRDefault="00AB379C" w:rsidP="007055F6">
            <w:pPr>
              <w:jc w:val="center"/>
              <w:rPr>
                <w:rFonts w:eastAsia="Times New Roman" w:cstheme="minorHAnsi"/>
                <w:lang w:bidi="ar-SA"/>
              </w:rPr>
            </w:pPr>
            <w:r w:rsidRPr="002D6581">
              <w:rPr>
                <w:rFonts w:cstheme="minorHAnsi"/>
              </w:rPr>
              <w:t>0.63%</w:t>
            </w:r>
          </w:p>
        </w:tc>
        <w:tc>
          <w:tcPr>
            <w:tcW w:w="406" w:type="pct"/>
            <w:shd w:val="clear" w:color="000000" w:fill="FFFFFF"/>
            <w:vAlign w:val="center"/>
          </w:tcPr>
          <w:p w14:paraId="2970BFC9"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657A39F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D0F930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989220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5ABAD14" w14:textId="77777777" w:rsidTr="002D6581">
        <w:trPr>
          <w:cantSplit/>
          <w:trHeight w:val="144"/>
        </w:trPr>
        <w:tc>
          <w:tcPr>
            <w:tcW w:w="286" w:type="pct"/>
            <w:shd w:val="clear" w:color="auto" w:fill="FFFFFF" w:themeFill="background1"/>
            <w:vAlign w:val="center"/>
          </w:tcPr>
          <w:p w14:paraId="09B28E86"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22126DF8"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Outpatient Ages 0—12 years—Male</w:t>
            </w:r>
          </w:p>
        </w:tc>
        <w:tc>
          <w:tcPr>
            <w:tcW w:w="312" w:type="pct"/>
            <w:shd w:val="clear" w:color="auto" w:fill="auto"/>
            <w:vAlign w:val="center"/>
          </w:tcPr>
          <w:p w14:paraId="38117AEB"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11A54937" w14:textId="77777777" w:rsidR="00AB379C" w:rsidRPr="002D6581" w:rsidRDefault="00AB379C" w:rsidP="007055F6">
            <w:pPr>
              <w:jc w:val="center"/>
              <w:rPr>
                <w:rFonts w:eastAsia="Times New Roman" w:cstheme="minorHAnsi"/>
                <w:lang w:bidi="ar-SA"/>
              </w:rPr>
            </w:pPr>
            <w:r w:rsidRPr="002D6581">
              <w:rPr>
                <w:rFonts w:cstheme="minorHAnsi"/>
              </w:rPr>
              <w:t>702</w:t>
            </w:r>
          </w:p>
        </w:tc>
        <w:tc>
          <w:tcPr>
            <w:tcW w:w="311" w:type="pct"/>
            <w:shd w:val="clear" w:color="000000" w:fill="FFFFFF"/>
            <w:vAlign w:val="center"/>
          </w:tcPr>
          <w:p w14:paraId="0CF66D2B" w14:textId="77777777" w:rsidR="00AB379C" w:rsidRPr="002D6581" w:rsidRDefault="00AB379C" w:rsidP="007055F6">
            <w:pPr>
              <w:jc w:val="center"/>
              <w:rPr>
                <w:rFonts w:eastAsia="Times New Roman" w:cstheme="minorHAnsi"/>
                <w:b/>
                <w:bCs/>
                <w:lang w:bidi="ar-SA"/>
              </w:rPr>
            </w:pPr>
            <w:r w:rsidRPr="002D6581">
              <w:rPr>
                <w:rFonts w:cstheme="minorHAnsi"/>
                <w:b/>
                <w:bCs/>
              </w:rPr>
              <w:t>6.77%</w:t>
            </w:r>
          </w:p>
        </w:tc>
        <w:tc>
          <w:tcPr>
            <w:tcW w:w="343" w:type="pct"/>
            <w:shd w:val="clear" w:color="000000" w:fill="FFFFFF"/>
            <w:vAlign w:val="center"/>
          </w:tcPr>
          <w:p w14:paraId="64C6C836" w14:textId="77777777" w:rsidR="00AB379C" w:rsidRPr="002D6581" w:rsidRDefault="00AB379C" w:rsidP="007055F6">
            <w:pPr>
              <w:jc w:val="center"/>
              <w:rPr>
                <w:rFonts w:eastAsia="Times New Roman" w:cstheme="minorHAnsi"/>
                <w:lang w:bidi="ar-SA"/>
              </w:rPr>
            </w:pPr>
            <w:r w:rsidRPr="002D6581">
              <w:rPr>
                <w:rFonts w:cstheme="minorHAnsi"/>
              </w:rPr>
              <w:t>6.6%</w:t>
            </w:r>
          </w:p>
        </w:tc>
        <w:tc>
          <w:tcPr>
            <w:tcW w:w="375" w:type="pct"/>
            <w:shd w:val="clear" w:color="000000" w:fill="FFFFFF"/>
            <w:vAlign w:val="center"/>
          </w:tcPr>
          <w:p w14:paraId="38FBA54C" w14:textId="77777777" w:rsidR="00AB379C" w:rsidRPr="002D6581" w:rsidRDefault="00AB379C" w:rsidP="007055F6">
            <w:pPr>
              <w:jc w:val="center"/>
              <w:rPr>
                <w:rFonts w:eastAsia="Times New Roman" w:cstheme="minorHAnsi"/>
                <w:lang w:bidi="ar-SA"/>
              </w:rPr>
            </w:pPr>
            <w:r w:rsidRPr="002D6581">
              <w:rPr>
                <w:rFonts w:cstheme="minorHAnsi"/>
              </w:rPr>
              <w:t>6.9%</w:t>
            </w:r>
          </w:p>
        </w:tc>
        <w:tc>
          <w:tcPr>
            <w:tcW w:w="405" w:type="pct"/>
            <w:shd w:val="clear" w:color="000000" w:fill="FFFFFF"/>
            <w:vAlign w:val="center"/>
          </w:tcPr>
          <w:p w14:paraId="29011ABE" w14:textId="77777777" w:rsidR="00AB379C" w:rsidRPr="002D6581" w:rsidRDefault="00AB379C" w:rsidP="007055F6">
            <w:pPr>
              <w:jc w:val="center"/>
              <w:rPr>
                <w:rFonts w:eastAsia="Times New Roman" w:cstheme="minorHAnsi"/>
                <w:lang w:bidi="ar-SA"/>
              </w:rPr>
            </w:pPr>
            <w:r w:rsidRPr="002D6581">
              <w:rPr>
                <w:rFonts w:cstheme="minorHAnsi"/>
              </w:rPr>
              <w:t>8.89%</w:t>
            </w:r>
          </w:p>
        </w:tc>
        <w:tc>
          <w:tcPr>
            <w:tcW w:w="406" w:type="pct"/>
            <w:shd w:val="clear" w:color="000000" w:fill="FFFFFF"/>
            <w:vAlign w:val="center"/>
          </w:tcPr>
          <w:p w14:paraId="2A6BC577"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38322E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8DF968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49E3D8B"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14D5491" w14:textId="77777777" w:rsidTr="002D6581">
        <w:trPr>
          <w:cantSplit/>
          <w:trHeight w:val="144"/>
        </w:trPr>
        <w:tc>
          <w:tcPr>
            <w:tcW w:w="286" w:type="pct"/>
            <w:shd w:val="clear" w:color="auto" w:fill="FFFFFF" w:themeFill="background1"/>
            <w:vAlign w:val="center"/>
          </w:tcPr>
          <w:p w14:paraId="761B98DA"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BC3D311"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Outpatient Ages 0—12 years—Female</w:t>
            </w:r>
          </w:p>
        </w:tc>
        <w:tc>
          <w:tcPr>
            <w:tcW w:w="312" w:type="pct"/>
            <w:shd w:val="clear" w:color="auto" w:fill="auto"/>
            <w:vAlign w:val="center"/>
          </w:tcPr>
          <w:p w14:paraId="4284EDFF"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00AB19AC" w14:textId="77777777" w:rsidR="00AB379C" w:rsidRPr="002D6581" w:rsidRDefault="00AB379C" w:rsidP="007055F6">
            <w:pPr>
              <w:jc w:val="center"/>
              <w:rPr>
                <w:rFonts w:eastAsia="Times New Roman" w:cstheme="minorHAnsi"/>
                <w:lang w:bidi="ar-SA"/>
              </w:rPr>
            </w:pPr>
            <w:r w:rsidRPr="002D6581">
              <w:rPr>
                <w:rFonts w:cstheme="minorHAnsi"/>
              </w:rPr>
              <w:t>624</w:t>
            </w:r>
          </w:p>
        </w:tc>
        <w:tc>
          <w:tcPr>
            <w:tcW w:w="311" w:type="pct"/>
            <w:shd w:val="clear" w:color="000000" w:fill="FFFFFF"/>
            <w:vAlign w:val="center"/>
          </w:tcPr>
          <w:p w14:paraId="3F047A48" w14:textId="77777777" w:rsidR="00AB379C" w:rsidRPr="002D6581" w:rsidRDefault="00AB379C" w:rsidP="007055F6">
            <w:pPr>
              <w:jc w:val="center"/>
              <w:rPr>
                <w:rFonts w:eastAsia="Times New Roman" w:cstheme="minorHAnsi"/>
                <w:b/>
                <w:bCs/>
                <w:lang w:bidi="ar-SA"/>
              </w:rPr>
            </w:pPr>
            <w:r w:rsidRPr="002D6581">
              <w:rPr>
                <w:rFonts w:cstheme="minorHAnsi"/>
                <w:b/>
                <w:bCs/>
              </w:rPr>
              <w:t>6.14%</w:t>
            </w:r>
          </w:p>
        </w:tc>
        <w:tc>
          <w:tcPr>
            <w:tcW w:w="343" w:type="pct"/>
            <w:shd w:val="clear" w:color="000000" w:fill="FFFFFF"/>
            <w:vAlign w:val="center"/>
          </w:tcPr>
          <w:p w14:paraId="29D3E8BC" w14:textId="77777777" w:rsidR="00AB379C" w:rsidRPr="002D6581" w:rsidRDefault="00AB379C" w:rsidP="007055F6">
            <w:pPr>
              <w:jc w:val="center"/>
              <w:rPr>
                <w:rFonts w:eastAsia="Times New Roman" w:cstheme="minorHAnsi"/>
                <w:lang w:bidi="ar-SA"/>
              </w:rPr>
            </w:pPr>
            <w:r w:rsidRPr="002D6581">
              <w:rPr>
                <w:rFonts w:cstheme="minorHAnsi"/>
              </w:rPr>
              <w:t>6.0%</w:t>
            </w:r>
          </w:p>
        </w:tc>
        <w:tc>
          <w:tcPr>
            <w:tcW w:w="375" w:type="pct"/>
            <w:shd w:val="clear" w:color="000000" w:fill="FFFFFF"/>
            <w:vAlign w:val="center"/>
          </w:tcPr>
          <w:p w14:paraId="41944BAA" w14:textId="77777777" w:rsidR="00AB379C" w:rsidRPr="002D6581" w:rsidRDefault="00AB379C" w:rsidP="007055F6">
            <w:pPr>
              <w:jc w:val="center"/>
              <w:rPr>
                <w:rFonts w:eastAsia="Times New Roman" w:cstheme="minorHAnsi"/>
                <w:lang w:bidi="ar-SA"/>
              </w:rPr>
            </w:pPr>
            <w:r w:rsidRPr="002D6581">
              <w:rPr>
                <w:rFonts w:cstheme="minorHAnsi"/>
              </w:rPr>
              <w:t>6.3%</w:t>
            </w:r>
          </w:p>
        </w:tc>
        <w:tc>
          <w:tcPr>
            <w:tcW w:w="405" w:type="pct"/>
            <w:shd w:val="clear" w:color="000000" w:fill="FFFFFF"/>
            <w:vAlign w:val="center"/>
          </w:tcPr>
          <w:p w14:paraId="71278AA7" w14:textId="77777777" w:rsidR="00AB379C" w:rsidRPr="002D6581" w:rsidRDefault="00AB379C" w:rsidP="007055F6">
            <w:pPr>
              <w:jc w:val="center"/>
              <w:rPr>
                <w:rFonts w:eastAsia="Times New Roman" w:cstheme="minorHAnsi"/>
                <w:lang w:bidi="ar-SA"/>
              </w:rPr>
            </w:pPr>
            <w:r w:rsidRPr="002D6581">
              <w:rPr>
                <w:rFonts w:cstheme="minorHAnsi"/>
              </w:rPr>
              <w:t>7.01%</w:t>
            </w:r>
          </w:p>
        </w:tc>
        <w:tc>
          <w:tcPr>
            <w:tcW w:w="406" w:type="pct"/>
            <w:shd w:val="clear" w:color="000000" w:fill="FFFFFF"/>
            <w:vAlign w:val="center"/>
          </w:tcPr>
          <w:p w14:paraId="14FF16F7"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920C39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8FC6B1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6A55F7F"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25964B1" w14:textId="77777777" w:rsidTr="002D6581">
        <w:trPr>
          <w:cantSplit/>
          <w:trHeight w:val="144"/>
        </w:trPr>
        <w:tc>
          <w:tcPr>
            <w:tcW w:w="286" w:type="pct"/>
            <w:shd w:val="clear" w:color="auto" w:fill="FFFFFF" w:themeFill="background1"/>
            <w:vAlign w:val="center"/>
          </w:tcPr>
          <w:p w14:paraId="7EB218D0"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16ED11C"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Outpatient Ages 0—12 years—Total Rate</w:t>
            </w:r>
          </w:p>
        </w:tc>
        <w:tc>
          <w:tcPr>
            <w:tcW w:w="312" w:type="pct"/>
            <w:shd w:val="clear" w:color="auto" w:fill="auto"/>
            <w:vAlign w:val="center"/>
          </w:tcPr>
          <w:p w14:paraId="6358E83A"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64D1D6BB" w14:textId="77777777" w:rsidR="00AB379C" w:rsidRPr="002D6581" w:rsidRDefault="00AB379C" w:rsidP="007055F6">
            <w:pPr>
              <w:jc w:val="center"/>
              <w:rPr>
                <w:rFonts w:eastAsia="Times New Roman" w:cstheme="minorHAnsi"/>
                <w:lang w:bidi="ar-SA"/>
              </w:rPr>
            </w:pPr>
            <w:r w:rsidRPr="002D6581">
              <w:rPr>
                <w:rFonts w:cstheme="minorHAnsi"/>
              </w:rPr>
              <w:t>1,326</w:t>
            </w:r>
          </w:p>
        </w:tc>
        <w:tc>
          <w:tcPr>
            <w:tcW w:w="311" w:type="pct"/>
            <w:shd w:val="clear" w:color="000000" w:fill="FFFFFF"/>
            <w:vAlign w:val="center"/>
          </w:tcPr>
          <w:p w14:paraId="61279FB8" w14:textId="77777777" w:rsidR="00AB379C" w:rsidRPr="002D6581" w:rsidRDefault="00AB379C" w:rsidP="007055F6">
            <w:pPr>
              <w:jc w:val="center"/>
              <w:rPr>
                <w:rFonts w:eastAsia="Times New Roman" w:cstheme="minorHAnsi"/>
                <w:b/>
                <w:bCs/>
                <w:lang w:bidi="ar-SA"/>
              </w:rPr>
            </w:pPr>
            <w:r w:rsidRPr="002D6581">
              <w:rPr>
                <w:rFonts w:cstheme="minorHAnsi"/>
                <w:b/>
                <w:bCs/>
              </w:rPr>
              <w:t>6.46%</w:t>
            </w:r>
          </w:p>
        </w:tc>
        <w:tc>
          <w:tcPr>
            <w:tcW w:w="343" w:type="pct"/>
            <w:shd w:val="clear" w:color="000000" w:fill="FFFFFF"/>
            <w:vAlign w:val="center"/>
          </w:tcPr>
          <w:p w14:paraId="4827433D" w14:textId="77777777" w:rsidR="00AB379C" w:rsidRPr="002D6581" w:rsidRDefault="00AB379C" w:rsidP="007055F6">
            <w:pPr>
              <w:jc w:val="center"/>
              <w:rPr>
                <w:rFonts w:eastAsia="Times New Roman" w:cstheme="minorHAnsi"/>
                <w:lang w:bidi="ar-SA"/>
              </w:rPr>
            </w:pPr>
            <w:r w:rsidRPr="002D6581">
              <w:rPr>
                <w:rFonts w:cstheme="minorHAnsi"/>
              </w:rPr>
              <w:t>6.4%</w:t>
            </w:r>
          </w:p>
        </w:tc>
        <w:tc>
          <w:tcPr>
            <w:tcW w:w="375" w:type="pct"/>
            <w:shd w:val="clear" w:color="000000" w:fill="FFFFFF"/>
            <w:vAlign w:val="center"/>
          </w:tcPr>
          <w:p w14:paraId="254B5C7E" w14:textId="77777777" w:rsidR="00AB379C" w:rsidRPr="002D6581" w:rsidRDefault="00AB379C" w:rsidP="007055F6">
            <w:pPr>
              <w:jc w:val="center"/>
              <w:rPr>
                <w:rFonts w:eastAsia="Times New Roman" w:cstheme="minorHAnsi"/>
                <w:lang w:bidi="ar-SA"/>
              </w:rPr>
            </w:pPr>
            <w:r w:rsidRPr="002D6581">
              <w:rPr>
                <w:rFonts w:cstheme="minorHAnsi"/>
              </w:rPr>
              <w:t>6.6%</w:t>
            </w:r>
          </w:p>
        </w:tc>
        <w:tc>
          <w:tcPr>
            <w:tcW w:w="405" w:type="pct"/>
            <w:shd w:val="clear" w:color="000000" w:fill="FFFFFF"/>
            <w:vAlign w:val="center"/>
          </w:tcPr>
          <w:p w14:paraId="572825BD" w14:textId="77777777" w:rsidR="00AB379C" w:rsidRPr="002D6581" w:rsidRDefault="00AB379C" w:rsidP="007055F6">
            <w:pPr>
              <w:jc w:val="center"/>
              <w:rPr>
                <w:rFonts w:eastAsia="Times New Roman" w:cstheme="minorHAnsi"/>
                <w:lang w:bidi="ar-SA"/>
              </w:rPr>
            </w:pPr>
            <w:r w:rsidRPr="002D6581">
              <w:rPr>
                <w:rFonts w:cstheme="minorHAnsi"/>
              </w:rPr>
              <w:t>7.96%</w:t>
            </w:r>
          </w:p>
        </w:tc>
        <w:tc>
          <w:tcPr>
            <w:tcW w:w="406" w:type="pct"/>
            <w:shd w:val="clear" w:color="000000" w:fill="FFFFFF"/>
            <w:vAlign w:val="center"/>
          </w:tcPr>
          <w:p w14:paraId="3A3CA6F1"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43DD38E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8DBD49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477C8A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F759797" w14:textId="77777777" w:rsidTr="002D6581">
        <w:trPr>
          <w:cantSplit/>
          <w:trHeight w:val="144"/>
        </w:trPr>
        <w:tc>
          <w:tcPr>
            <w:tcW w:w="286" w:type="pct"/>
            <w:shd w:val="clear" w:color="auto" w:fill="FFFFFF" w:themeFill="background1"/>
            <w:vAlign w:val="center"/>
          </w:tcPr>
          <w:p w14:paraId="7A78B2B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36CFD36"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Outpatient Ages 13—17 years—Male</w:t>
            </w:r>
          </w:p>
        </w:tc>
        <w:tc>
          <w:tcPr>
            <w:tcW w:w="312" w:type="pct"/>
            <w:shd w:val="clear" w:color="auto" w:fill="auto"/>
            <w:vAlign w:val="center"/>
          </w:tcPr>
          <w:p w14:paraId="073AB54C"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7249CC52" w14:textId="77777777" w:rsidR="00AB379C" w:rsidRPr="002D6581" w:rsidRDefault="00AB379C" w:rsidP="007055F6">
            <w:pPr>
              <w:jc w:val="center"/>
              <w:rPr>
                <w:rFonts w:eastAsia="Times New Roman" w:cstheme="minorHAnsi"/>
                <w:lang w:bidi="ar-SA"/>
              </w:rPr>
            </w:pPr>
            <w:r w:rsidRPr="002D6581">
              <w:rPr>
                <w:rFonts w:cstheme="minorHAnsi"/>
              </w:rPr>
              <w:t>456</w:t>
            </w:r>
          </w:p>
        </w:tc>
        <w:tc>
          <w:tcPr>
            <w:tcW w:w="311" w:type="pct"/>
            <w:shd w:val="clear" w:color="000000" w:fill="FFFFFF"/>
            <w:vAlign w:val="center"/>
          </w:tcPr>
          <w:p w14:paraId="143049F9" w14:textId="77777777" w:rsidR="00AB379C" w:rsidRPr="002D6581" w:rsidRDefault="00AB379C" w:rsidP="007055F6">
            <w:pPr>
              <w:jc w:val="center"/>
              <w:rPr>
                <w:rFonts w:eastAsia="Times New Roman" w:cstheme="minorHAnsi"/>
                <w:b/>
                <w:bCs/>
                <w:lang w:bidi="ar-SA"/>
              </w:rPr>
            </w:pPr>
            <w:r w:rsidRPr="002D6581">
              <w:rPr>
                <w:rFonts w:cstheme="minorHAnsi"/>
                <w:b/>
                <w:bCs/>
              </w:rPr>
              <w:t>8.59%</w:t>
            </w:r>
          </w:p>
        </w:tc>
        <w:tc>
          <w:tcPr>
            <w:tcW w:w="343" w:type="pct"/>
            <w:shd w:val="clear" w:color="000000" w:fill="FFFFFF"/>
            <w:vAlign w:val="center"/>
          </w:tcPr>
          <w:p w14:paraId="1B928364" w14:textId="77777777" w:rsidR="00AB379C" w:rsidRPr="002D6581" w:rsidRDefault="00AB379C" w:rsidP="007055F6">
            <w:pPr>
              <w:jc w:val="center"/>
              <w:rPr>
                <w:rFonts w:eastAsia="Times New Roman" w:cstheme="minorHAnsi"/>
                <w:lang w:bidi="ar-SA"/>
              </w:rPr>
            </w:pPr>
            <w:r w:rsidRPr="002D6581">
              <w:rPr>
                <w:rFonts w:cstheme="minorHAnsi"/>
              </w:rPr>
              <w:t>8.4%</w:t>
            </w:r>
          </w:p>
        </w:tc>
        <w:tc>
          <w:tcPr>
            <w:tcW w:w="375" w:type="pct"/>
            <w:shd w:val="clear" w:color="000000" w:fill="FFFFFF"/>
            <w:vAlign w:val="center"/>
          </w:tcPr>
          <w:p w14:paraId="5EC75411" w14:textId="77777777" w:rsidR="00AB379C" w:rsidRPr="002D6581" w:rsidRDefault="00AB379C" w:rsidP="007055F6">
            <w:pPr>
              <w:jc w:val="center"/>
              <w:rPr>
                <w:rFonts w:eastAsia="Times New Roman" w:cstheme="minorHAnsi"/>
                <w:lang w:bidi="ar-SA"/>
              </w:rPr>
            </w:pPr>
            <w:r w:rsidRPr="002D6581">
              <w:rPr>
                <w:rFonts w:cstheme="minorHAnsi"/>
              </w:rPr>
              <w:t>8.8%</w:t>
            </w:r>
          </w:p>
        </w:tc>
        <w:tc>
          <w:tcPr>
            <w:tcW w:w="405" w:type="pct"/>
            <w:shd w:val="clear" w:color="000000" w:fill="FFFFFF"/>
            <w:vAlign w:val="center"/>
          </w:tcPr>
          <w:p w14:paraId="1FF0E79F" w14:textId="77777777" w:rsidR="00AB379C" w:rsidRPr="002D6581" w:rsidRDefault="00AB379C" w:rsidP="007055F6">
            <w:pPr>
              <w:jc w:val="center"/>
              <w:rPr>
                <w:rFonts w:eastAsia="Times New Roman" w:cstheme="minorHAnsi"/>
                <w:lang w:bidi="ar-SA"/>
              </w:rPr>
            </w:pPr>
            <w:r w:rsidRPr="002D6581">
              <w:rPr>
                <w:rFonts w:cstheme="minorHAnsi"/>
              </w:rPr>
              <w:t>11.33%</w:t>
            </w:r>
          </w:p>
        </w:tc>
        <w:tc>
          <w:tcPr>
            <w:tcW w:w="406" w:type="pct"/>
            <w:shd w:val="clear" w:color="000000" w:fill="FFFFFF"/>
            <w:vAlign w:val="center"/>
          </w:tcPr>
          <w:p w14:paraId="77F27143"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AF0018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476E74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092EC0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0BF99FCE" w14:textId="77777777" w:rsidTr="002D6581">
        <w:trPr>
          <w:cantSplit/>
          <w:trHeight w:val="144"/>
        </w:trPr>
        <w:tc>
          <w:tcPr>
            <w:tcW w:w="286" w:type="pct"/>
            <w:shd w:val="clear" w:color="auto" w:fill="FFFFFF" w:themeFill="background1"/>
            <w:vAlign w:val="center"/>
          </w:tcPr>
          <w:p w14:paraId="6D456DF8"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B98B570"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Outpatient Ages 13—17 years—Female</w:t>
            </w:r>
          </w:p>
        </w:tc>
        <w:tc>
          <w:tcPr>
            <w:tcW w:w="312" w:type="pct"/>
            <w:shd w:val="clear" w:color="auto" w:fill="auto"/>
            <w:vAlign w:val="center"/>
          </w:tcPr>
          <w:p w14:paraId="4C75445B"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49CC3984" w14:textId="77777777" w:rsidR="00AB379C" w:rsidRPr="002D6581" w:rsidRDefault="00AB379C" w:rsidP="007055F6">
            <w:pPr>
              <w:jc w:val="center"/>
              <w:rPr>
                <w:rFonts w:eastAsia="Times New Roman" w:cstheme="minorHAnsi"/>
                <w:lang w:bidi="ar-SA"/>
              </w:rPr>
            </w:pPr>
            <w:r w:rsidRPr="002D6581">
              <w:rPr>
                <w:rFonts w:cstheme="minorHAnsi"/>
              </w:rPr>
              <w:t>981</w:t>
            </w:r>
          </w:p>
        </w:tc>
        <w:tc>
          <w:tcPr>
            <w:tcW w:w="311" w:type="pct"/>
            <w:shd w:val="clear" w:color="000000" w:fill="FFFFFF"/>
            <w:vAlign w:val="center"/>
          </w:tcPr>
          <w:p w14:paraId="3AC74A5B" w14:textId="77777777" w:rsidR="00AB379C" w:rsidRPr="002D6581" w:rsidRDefault="00AB379C" w:rsidP="007055F6">
            <w:pPr>
              <w:jc w:val="center"/>
              <w:rPr>
                <w:rFonts w:eastAsia="Times New Roman" w:cstheme="minorHAnsi"/>
                <w:b/>
                <w:bCs/>
                <w:lang w:bidi="ar-SA"/>
              </w:rPr>
            </w:pPr>
            <w:r w:rsidRPr="002D6581">
              <w:rPr>
                <w:rFonts w:cstheme="minorHAnsi"/>
                <w:b/>
                <w:bCs/>
              </w:rPr>
              <w:t>18.33%</w:t>
            </w:r>
          </w:p>
        </w:tc>
        <w:tc>
          <w:tcPr>
            <w:tcW w:w="343" w:type="pct"/>
            <w:shd w:val="clear" w:color="000000" w:fill="FFFFFF"/>
            <w:vAlign w:val="center"/>
          </w:tcPr>
          <w:p w14:paraId="0A7C50E4" w14:textId="77777777" w:rsidR="00AB379C" w:rsidRPr="002D6581" w:rsidRDefault="00AB379C" w:rsidP="007055F6">
            <w:pPr>
              <w:jc w:val="center"/>
              <w:rPr>
                <w:rFonts w:eastAsia="Times New Roman" w:cstheme="minorHAnsi"/>
                <w:lang w:bidi="ar-SA"/>
              </w:rPr>
            </w:pPr>
            <w:r w:rsidRPr="002D6581">
              <w:rPr>
                <w:rFonts w:cstheme="minorHAnsi"/>
              </w:rPr>
              <w:t>18.0%</w:t>
            </w:r>
          </w:p>
        </w:tc>
        <w:tc>
          <w:tcPr>
            <w:tcW w:w="375" w:type="pct"/>
            <w:shd w:val="clear" w:color="000000" w:fill="FFFFFF"/>
            <w:vAlign w:val="center"/>
          </w:tcPr>
          <w:p w14:paraId="5E37E769" w14:textId="77777777" w:rsidR="00AB379C" w:rsidRPr="002D6581" w:rsidRDefault="00AB379C" w:rsidP="007055F6">
            <w:pPr>
              <w:jc w:val="center"/>
              <w:rPr>
                <w:rFonts w:eastAsia="Times New Roman" w:cstheme="minorHAnsi"/>
                <w:lang w:bidi="ar-SA"/>
              </w:rPr>
            </w:pPr>
            <w:r w:rsidRPr="002D6581">
              <w:rPr>
                <w:rFonts w:cstheme="minorHAnsi"/>
              </w:rPr>
              <w:t>18.6%</w:t>
            </w:r>
          </w:p>
        </w:tc>
        <w:tc>
          <w:tcPr>
            <w:tcW w:w="405" w:type="pct"/>
            <w:shd w:val="clear" w:color="000000" w:fill="FFFFFF"/>
            <w:vAlign w:val="center"/>
          </w:tcPr>
          <w:p w14:paraId="21B583E8" w14:textId="77777777" w:rsidR="00AB379C" w:rsidRPr="002D6581" w:rsidRDefault="00AB379C" w:rsidP="007055F6">
            <w:pPr>
              <w:jc w:val="center"/>
              <w:rPr>
                <w:rFonts w:eastAsia="Times New Roman" w:cstheme="minorHAnsi"/>
                <w:lang w:bidi="ar-SA"/>
              </w:rPr>
            </w:pPr>
            <w:r w:rsidRPr="002D6581">
              <w:rPr>
                <w:rFonts w:cstheme="minorHAnsi"/>
              </w:rPr>
              <w:t>19.56%</w:t>
            </w:r>
          </w:p>
        </w:tc>
        <w:tc>
          <w:tcPr>
            <w:tcW w:w="406" w:type="pct"/>
            <w:shd w:val="clear" w:color="000000" w:fill="FFFFFF"/>
            <w:vAlign w:val="center"/>
          </w:tcPr>
          <w:p w14:paraId="4B92302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424F007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BD1D86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C68CFD2"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6304025" w14:textId="77777777" w:rsidTr="002D6581">
        <w:trPr>
          <w:cantSplit/>
          <w:trHeight w:val="144"/>
        </w:trPr>
        <w:tc>
          <w:tcPr>
            <w:tcW w:w="286" w:type="pct"/>
            <w:shd w:val="clear" w:color="auto" w:fill="FFFFFF" w:themeFill="background1"/>
            <w:vAlign w:val="center"/>
          </w:tcPr>
          <w:p w14:paraId="027466B3"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69491BB"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Outpatient Ages 13—17 years—Total Rate</w:t>
            </w:r>
          </w:p>
        </w:tc>
        <w:tc>
          <w:tcPr>
            <w:tcW w:w="312" w:type="pct"/>
            <w:shd w:val="clear" w:color="auto" w:fill="auto"/>
            <w:vAlign w:val="center"/>
          </w:tcPr>
          <w:p w14:paraId="4CA78F52"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53322C35" w14:textId="77777777" w:rsidR="00AB379C" w:rsidRPr="002D6581" w:rsidRDefault="00AB379C" w:rsidP="007055F6">
            <w:pPr>
              <w:jc w:val="center"/>
              <w:rPr>
                <w:rFonts w:eastAsia="Times New Roman" w:cstheme="minorHAnsi"/>
                <w:lang w:bidi="ar-SA"/>
              </w:rPr>
            </w:pPr>
            <w:r w:rsidRPr="002D6581">
              <w:rPr>
                <w:rFonts w:cstheme="minorHAnsi"/>
              </w:rPr>
              <w:t>1,437</w:t>
            </w:r>
          </w:p>
        </w:tc>
        <w:tc>
          <w:tcPr>
            <w:tcW w:w="311" w:type="pct"/>
            <w:shd w:val="clear" w:color="000000" w:fill="FFFFFF"/>
            <w:vAlign w:val="center"/>
          </w:tcPr>
          <w:p w14:paraId="46D6CAEA" w14:textId="77777777" w:rsidR="00AB379C" w:rsidRPr="002D6581" w:rsidRDefault="00AB379C" w:rsidP="007055F6">
            <w:pPr>
              <w:jc w:val="center"/>
              <w:rPr>
                <w:rFonts w:eastAsia="Times New Roman" w:cstheme="minorHAnsi"/>
                <w:b/>
                <w:bCs/>
                <w:lang w:bidi="ar-SA"/>
              </w:rPr>
            </w:pPr>
            <w:r w:rsidRPr="002D6581">
              <w:rPr>
                <w:rFonts w:cstheme="minorHAnsi"/>
                <w:b/>
                <w:bCs/>
              </w:rPr>
              <w:t>13.48%</w:t>
            </w:r>
          </w:p>
        </w:tc>
        <w:tc>
          <w:tcPr>
            <w:tcW w:w="343" w:type="pct"/>
            <w:shd w:val="clear" w:color="000000" w:fill="FFFFFF"/>
            <w:vAlign w:val="center"/>
          </w:tcPr>
          <w:p w14:paraId="39334ECC" w14:textId="77777777" w:rsidR="00AB379C" w:rsidRPr="002D6581" w:rsidRDefault="00AB379C" w:rsidP="007055F6">
            <w:pPr>
              <w:jc w:val="center"/>
              <w:rPr>
                <w:rFonts w:eastAsia="Times New Roman" w:cstheme="minorHAnsi"/>
                <w:lang w:bidi="ar-SA"/>
              </w:rPr>
            </w:pPr>
            <w:r w:rsidRPr="002D6581">
              <w:rPr>
                <w:rFonts w:cstheme="minorHAnsi"/>
              </w:rPr>
              <w:t>13.3%</w:t>
            </w:r>
          </w:p>
        </w:tc>
        <w:tc>
          <w:tcPr>
            <w:tcW w:w="375" w:type="pct"/>
            <w:shd w:val="clear" w:color="000000" w:fill="FFFFFF"/>
            <w:vAlign w:val="center"/>
          </w:tcPr>
          <w:p w14:paraId="0062AF25" w14:textId="77777777" w:rsidR="00AB379C" w:rsidRPr="002D6581" w:rsidRDefault="00AB379C" w:rsidP="007055F6">
            <w:pPr>
              <w:jc w:val="center"/>
              <w:rPr>
                <w:rFonts w:eastAsia="Times New Roman" w:cstheme="minorHAnsi"/>
                <w:lang w:bidi="ar-SA"/>
              </w:rPr>
            </w:pPr>
            <w:r w:rsidRPr="002D6581">
              <w:rPr>
                <w:rFonts w:cstheme="minorHAnsi"/>
              </w:rPr>
              <w:t>13.7%</w:t>
            </w:r>
          </w:p>
        </w:tc>
        <w:tc>
          <w:tcPr>
            <w:tcW w:w="405" w:type="pct"/>
            <w:shd w:val="clear" w:color="000000" w:fill="FFFFFF"/>
            <w:vAlign w:val="center"/>
          </w:tcPr>
          <w:p w14:paraId="64E5D968" w14:textId="77777777" w:rsidR="00AB379C" w:rsidRPr="002D6581" w:rsidRDefault="00AB379C" w:rsidP="007055F6">
            <w:pPr>
              <w:jc w:val="center"/>
              <w:rPr>
                <w:rFonts w:eastAsia="Times New Roman" w:cstheme="minorHAnsi"/>
                <w:lang w:bidi="ar-SA"/>
              </w:rPr>
            </w:pPr>
            <w:r w:rsidRPr="002D6581">
              <w:rPr>
                <w:rFonts w:cstheme="minorHAnsi"/>
              </w:rPr>
              <w:t>15.44%</w:t>
            </w:r>
          </w:p>
        </w:tc>
        <w:tc>
          <w:tcPr>
            <w:tcW w:w="406" w:type="pct"/>
            <w:shd w:val="clear" w:color="000000" w:fill="FFFFFF"/>
            <w:vAlign w:val="center"/>
          </w:tcPr>
          <w:p w14:paraId="60D2691C"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31748D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F5228A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DEDC87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0B1A8E9" w14:textId="77777777" w:rsidTr="002D6581">
        <w:trPr>
          <w:cantSplit/>
          <w:trHeight w:val="144"/>
        </w:trPr>
        <w:tc>
          <w:tcPr>
            <w:tcW w:w="286" w:type="pct"/>
            <w:shd w:val="clear" w:color="auto" w:fill="FFFFFF" w:themeFill="background1"/>
            <w:vAlign w:val="center"/>
          </w:tcPr>
          <w:p w14:paraId="241986D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2578157"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ED Ages 0—12 years—Male</w:t>
            </w:r>
          </w:p>
        </w:tc>
        <w:tc>
          <w:tcPr>
            <w:tcW w:w="312" w:type="pct"/>
            <w:shd w:val="clear" w:color="auto" w:fill="auto"/>
            <w:vAlign w:val="center"/>
          </w:tcPr>
          <w:p w14:paraId="72098ACB"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731E83AF"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74AEBDBE" w14:textId="77777777" w:rsidR="00AB379C" w:rsidRPr="002D6581" w:rsidRDefault="00AB379C" w:rsidP="007055F6">
            <w:pPr>
              <w:jc w:val="center"/>
              <w:rPr>
                <w:rFonts w:eastAsia="Times New Roman" w:cstheme="minorHAnsi"/>
                <w:b/>
                <w:bCs/>
                <w:lang w:bidi="ar-SA"/>
              </w:rPr>
            </w:pPr>
            <w:r w:rsidRPr="002D6581">
              <w:rPr>
                <w:rFonts w:cstheme="minorHAnsi"/>
                <w:b/>
                <w:bCs/>
              </w:rPr>
              <w:t>0.00%</w:t>
            </w:r>
          </w:p>
        </w:tc>
        <w:tc>
          <w:tcPr>
            <w:tcW w:w="343" w:type="pct"/>
            <w:shd w:val="clear" w:color="000000" w:fill="FFFFFF"/>
            <w:vAlign w:val="center"/>
          </w:tcPr>
          <w:p w14:paraId="6EB214E3"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40D833D6"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41497DD2"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3B6CBC67"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5584907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9A6DEE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1C2FEB0"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25C8BAE" w14:textId="77777777" w:rsidTr="002D6581">
        <w:trPr>
          <w:cantSplit/>
          <w:trHeight w:val="144"/>
        </w:trPr>
        <w:tc>
          <w:tcPr>
            <w:tcW w:w="286" w:type="pct"/>
            <w:shd w:val="clear" w:color="auto" w:fill="FFFFFF" w:themeFill="background1"/>
            <w:vAlign w:val="center"/>
          </w:tcPr>
          <w:p w14:paraId="1AA9DFF8"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201E119"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ED Ages 0—12 years—Female</w:t>
            </w:r>
          </w:p>
        </w:tc>
        <w:tc>
          <w:tcPr>
            <w:tcW w:w="312" w:type="pct"/>
            <w:shd w:val="clear" w:color="auto" w:fill="auto"/>
            <w:vAlign w:val="center"/>
          </w:tcPr>
          <w:p w14:paraId="1D2531CF"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36F48EBF"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5F14F6DF" w14:textId="77777777" w:rsidR="00AB379C" w:rsidRPr="002D6581" w:rsidRDefault="00AB379C" w:rsidP="007055F6">
            <w:pPr>
              <w:jc w:val="center"/>
              <w:rPr>
                <w:rFonts w:eastAsia="Times New Roman" w:cstheme="minorHAnsi"/>
                <w:b/>
                <w:bCs/>
                <w:lang w:bidi="ar-SA"/>
              </w:rPr>
            </w:pPr>
            <w:r w:rsidRPr="002D6581">
              <w:rPr>
                <w:rFonts w:cstheme="minorHAnsi"/>
                <w:b/>
                <w:bCs/>
              </w:rPr>
              <w:t>0.00%</w:t>
            </w:r>
          </w:p>
        </w:tc>
        <w:tc>
          <w:tcPr>
            <w:tcW w:w="343" w:type="pct"/>
            <w:shd w:val="clear" w:color="000000" w:fill="FFFFFF"/>
            <w:vAlign w:val="center"/>
          </w:tcPr>
          <w:p w14:paraId="424FBFC6"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087CE4F3"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3A6805D6"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43B4A820"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04A2B51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10AB2B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276CB2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01896C9" w14:textId="77777777" w:rsidTr="002D6581">
        <w:trPr>
          <w:cantSplit/>
          <w:trHeight w:val="144"/>
        </w:trPr>
        <w:tc>
          <w:tcPr>
            <w:tcW w:w="286" w:type="pct"/>
            <w:shd w:val="clear" w:color="auto" w:fill="FFFFFF" w:themeFill="background1"/>
            <w:vAlign w:val="center"/>
          </w:tcPr>
          <w:p w14:paraId="13677D5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4410286"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ED Ages 0—12 years—Total Rate</w:t>
            </w:r>
          </w:p>
        </w:tc>
        <w:tc>
          <w:tcPr>
            <w:tcW w:w="312" w:type="pct"/>
            <w:shd w:val="clear" w:color="auto" w:fill="auto"/>
            <w:vAlign w:val="center"/>
          </w:tcPr>
          <w:p w14:paraId="4D0A88D3"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282FDEB2"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4F7F168C" w14:textId="77777777" w:rsidR="00AB379C" w:rsidRPr="002D6581" w:rsidRDefault="00AB379C" w:rsidP="007055F6">
            <w:pPr>
              <w:jc w:val="center"/>
              <w:rPr>
                <w:rFonts w:eastAsia="Times New Roman" w:cstheme="minorHAnsi"/>
                <w:b/>
                <w:bCs/>
                <w:lang w:bidi="ar-SA"/>
              </w:rPr>
            </w:pPr>
            <w:r w:rsidRPr="002D6581">
              <w:rPr>
                <w:rFonts w:cstheme="minorHAnsi"/>
                <w:b/>
                <w:bCs/>
              </w:rPr>
              <w:t>0.00%</w:t>
            </w:r>
          </w:p>
        </w:tc>
        <w:tc>
          <w:tcPr>
            <w:tcW w:w="343" w:type="pct"/>
            <w:shd w:val="clear" w:color="000000" w:fill="FFFFFF"/>
            <w:vAlign w:val="center"/>
          </w:tcPr>
          <w:p w14:paraId="5990E86D"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27318932"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326916B6"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04990BE7"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7E6A50D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4FAC439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EA9B885"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43A2356" w14:textId="77777777" w:rsidTr="002D6581">
        <w:trPr>
          <w:cantSplit/>
          <w:trHeight w:val="144"/>
        </w:trPr>
        <w:tc>
          <w:tcPr>
            <w:tcW w:w="286" w:type="pct"/>
            <w:shd w:val="clear" w:color="auto" w:fill="FFFFFF" w:themeFill="background1"/>
            <w:vAlign w:val="center"/>
          </w:tcPr>
          <w:p w14:paraId="7A5DA05E"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74DE2005"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ED Ages 13—17 years—Male</w:t>
            </w:r>
          </w:p>
        </w:tc>
        <w:tc>
          <w:tcPr>
            <w:tcW w:w="312" w:type="pct"/>
            <w:shd w:val="clear" w:color="auto" w:fill="auto"/>
            <w:vAlign w:val="center"/>
          </w:tcPr>
          <w:p w14:paraId="087F52FC"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179F4812" w14:textId="77777777" w:rsidR="00AB379C" w:rsidRPr="002D6581" w:rsidRDefault="00AB379C" w:rsidP="007055F6">
            <w:pPr>
              <w:jc w:val="center"/>
              <w:rPr>
                <w:rFonts w:eastAsia="Times New Roman" w:cstheme="minorHAnsi"/>
                <w:lang w:bidi="ar-SA"/>
              </w:rPr>
            </w:pPr>
            <w:r w:rsidRPr="002D6581">
              <w:rPr>
                <w:rFonts w:cstheme="minorHAnsi"/>
              </w:rPr>
              <w:t>2</w:t>
            </w:r>
          </w:p>
        </w:tc>
        <w:tc>
          <w:tcPr>
            <w:tcW w:w="311" w:type="pct"/>
            <w:shd w:val="clear" w:color="000000" w:fill="FFFFFF"/>
            <w:vAlign w:val="center"/>
          </w:tcPr>
          <w:p w14:paraId="549C88B2" w14:textId="77777777" w:rsidR="00AB379C" w:rsidRPr="002D6581" w:rsidRDefault="00AB379C" w:rsidP="007055F6">
            <w:pPr>
              <w:jc w:val="center"/>
              <w:rPr>
                <w:rFonts w:eastAsia="Times New Roman" w:cstheme="minorHAnsi"/>
                <w:b/>
                <w:bCs/>
                <w:lang w:bidi="ar-SA"/>
              </w:rPr>
            </w:pPr>
            <w:r w:rsidRPr="002D6581">
              <w:rPr>
                <w:rFonts w:cstheme="minorHAnsi"/>
                <w:b/>
                <w:bCs/>
              </w:rPr>
              <w:t>0.04%</w:t>
            </w:r>
          </w:p>
        </w:tc>
        <w:tc>
          <w:tcPr>
            <w:tcW w:w="343" w:type="pct"/>
            <w:shd w:val="clear" w:color="000000" w:fill="FFFFFF"/>
            <w:vAlign w:val="center"/>
          </w:tcPr>
          <w:p w14:paraId="1434EA4F"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4D0DA3C7"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405" w:type="pct"/>
            <w:shd w:val="clear" w:color="000000" w:fill="FFFFFF"/>
            <w:vAlign w:val="center"/>
          </w:tcPr>
          <w:p w14:paraId="1F50E349"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7D2C20C3" w14:textId="77777777" w:rsidR="00AB379C" w:rsidRPr="002D6581" w:rsidRDefault="00AB379C" w:rsidP="007055F6">
            <w:pPr>
              <w:jc w:val="center"/>
              <w:rPr>
                <w:rFonts w:eastAsia="Times New Roman" w:cstheme="minorHAnsi"/>
                <w:lang w:bidi="ar-SA"/>
              </w:rPr>
            </w:pPr>
            <w:proofErr w:type="spellStart"/>
            <w:r w:rsidRPr="002D6581">
              <w:rPr>
                <w:rFonts w:cstheme="minorHAnsi"/>
              </w:rPr>
              <w:t>n.s</w:t>
            </w:r>
            <w:proofErr w:type="spellEnd"/>
            <w:r w:rsidRPr="002D6581">
              <w:rPr>
                <w:rFonts w:cstheme="minorHAnsi"/>
              </w:rPr>
              <w:t>.</w:t>
            </w:r>
          </w:p>
        </w:tc>
        <w:tc>
          <w:tcPr>
            <w:tcW w:w="343" w:type="pct"/>
            <w:shd w:val="clear" w:color="auto" w:fill="D9D9D9" w:themeFill="background1" w:themeFillShade="D9"/>
            <w:vAlign w:val="center"/>
          </w:tcPr>
          <w:p w14:paraId="20F1D05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7D2DBB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F44FA10"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3F7CD1F" w14:textId="77777777" w:rsidTr="002D6581">
        <w:trPr>
          <w:cantSplit/>
          <w:trHeight w:val="144"/>
        </w:trPr>
        <w:tc>
          <w:tcPr>
            <w:tcW w:w="286" w:type="pct"/>
            <w:shd w:val="clear" w:color="auto" w:fill="FFFFFF" w:themeFill="background1"/>
            <w:vAlign w:val="center"/>
          </w:tcPr>
          <w:p w14:paraId="056A66E6"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DFA3210"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ED Ages 13—17 years—Female</w:t>
            </w:r>
          </w:p>
        </w:tc>
        <w:tc>
          <w:tcPr>
            <w:tcW w:w="312" w:type="pct"/>
            <w:shd w:val="clear" w:color="auto" w:fill="auto"/>
            <w:vAlign w:val="center"/>
          </w:tcPr>
          <w:p w14:paraId="625F659B"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00C9C454" w14:textId="77777777" w:rsidR="00AB379C" w:rsidRPr="002D6581" w:rsidRDefault="00AB379C" w:rsidP="007055F6">
            <w:pPr>
              <w:jc w:val="center"/>
              <w:rPr>
                <w:rFonts w:eastAsia="Times New Roman" w:cstheme="minorHAnsi"/>
                <w:lang w:bidi="ar-SA"/>
              </w:rPr>
            </w:pPr>
            <w:r w:rsidRPr="002D6581">
              <w:rPr>
                <w:rFonts w:cstheme="minorHAnsi"/>
              </w:rPr>
              <w:t>5</w:t>
            </w:r>
          </w:p>
        </w:tc>
        <w:tc>
          <w:tcPr>
            <w:tcW w:w="311" w:type="pct"/>
            <w:shd w:val="clear" w:color="000000" w:fill="FFFFFF"/>
            <w:vAlign w:val="center"/>
          </w:tcPr>
          <w:p w14:paraId="577D75E6" w14:textId="77777777" w:rsidR="00AB379C" w:rsidRPr="002D6581" w:rsidRDefault="00AB379C" w:rsidP="007055F6">
            <w:pPr>
              <w:jc w:val="center"/>
              <w:rPr>
                <w:rFonts w:eastAsia="Times New Roman" w:cstheme="minorHAnsi"/>
                <w:b/>
                <w:bCs/>
                <w:lang w:bidi="ar-SA"/>
              </w:rPr>
            </w:pPr>
            <w:r w:rsidRPr="002D6581">
              <w:rPr>
                <w:rFonts w:cstheme="minorHAnsi"/>
                <w:b/>
                <w:bCs/>
              </w:rPr>
              <w:t>0.09%</w:t>
            </w:r>
          </w:p>
        </w:tc>
        <w:tc>
          <w:tcPr>
            <w:tcW w:w="343" w:type="pct"/>
            <w:shd w:val="clear" w:color="000000" w:fill="FFFFFF"/>
            <w:vAlign w:val="center"/>
          </w:tcPr>
          <w:p w14:paraId="0320D8EB"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375" w:type="pct"/>
            <w:shd w:val="clear" w:color="000000" w:fill="FFFFFF"/>
            <w:vAlign w:val="center"/>
          </w:tcPr>
          <w:p w14:paraId="1E2E5E94"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405" w:type="pct"/>
            <w:shd w:val="clear" w:color="000000" w:fill="FFFFFF"/>
            <w:vAlign w:val="center"/>
          </w:tcPr>
          <w:p w14:paraId="73EF17E0" w14:textId="77777777" w:rsidR="00AB379C" w:rsidRPr="002D6581" w:rsidRDefault="00AB379C" w:rsidP="007055F6">
            <w:pPr>
              <w:jc w:val="center"/>
              <w:rPr>
                <w:rFonts w:eastAsia="Times New Roman" w:cstheme="minorHAnsi"/>
                <w:lang w:bidi="ar-SA"/>
              </w:rPr>
            </w:pPr>
            <w:r w:rsidRPr="002D6581">
              <w:rPr>
                <w:rFonts w:cstheme="minorHAnsi"/>
              </w:rPr>
              <w:t>0.05%</w:t>
            </w:r>
          </w:p>
        </w:tc>
        <w:tc>
          <w:tcPr>
            <w:tcW w:w="406" w:type="pct"/>
            <w:shd w:val="clear" w:color="000000" w:fill="FFFFFF"/>
            <w:vAlign w:val="center"/>
          </w:tcPr>
          <w:p w14:paraId="3673E17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69E4EA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23C392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B68865F"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5570813" w14:textId="77777777" w:rsidTr="002D6581">
        <w:trPr>
          <w:cantSplit/>
          <w:trHeight w:val="144"/>
        </w:trPr>
        <w:tc>
          <w:tcPr>
            <w:tcW w:w="286" w:type="pct"/>
            <w:shd w:val="clear" w:color="auto" w:fill="FFFFFF" w:themeFill="background1"/>
            <w:vAlign w:val="center"/>
          </w:tcPr>
          <w:p w14:paraId="7484D33C"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26A88EBF"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ED Ages 13—17 years—Total Rate</w:t>
            </w:r>
          </w:p>
        </w:tc>
        <w:tc>
          <w:tcPr>
            <w:tcW w:w="312" w:type="pct"/>
            <w:shd w:val="clear" w:color="auto" w:fill="auto"/>
            <w:vAlign w:val="center"/>
          </w:tcPr>
          <w:p w14:paraId="2B79093C"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5D640016" w14:textId="77777777" w:rsidR="00AB379C" w:rsidRPr="002D6581" w:rsidRDefault="00AB379C" w:rsidP="007055F6">
            <w:pPr>
              <w:jc w:val="center"/>
              <w:rPr>
                <w:rFonts w:eastAsia="Times New Roman" w:cstheme="minorHAnsi"/>
                <w:lang w:bidi="ar-SA"/>
              </w:rPr>
            </w:pPr>
            <w:r w:rsidRPr="002D6581">
              <w:rPr>
                <w:rFonts w:cstheme="minorHAnsi"/>
              </w:rPr>
              <w:t>7</w:t>
            </w:r>
          </w:p>
        </w:tc>
        <w:tc>
          <w:tcPr>
            <w:tcW w:w="311" w:type="pct"/>
            <w:shd w:val="clear" w:color="000000" w:fill="FFFFFF"/>
            <w:vAlign w:val="center"/>
          </w:tcPr>
          <w:p w14:paraId="60643C28" w14:textId="77777777" w:rsidR="00AB379C" w:rsidRPr="002D6581" w:rsidRDefault="00AB379C" w:rsidP="007055F6">
            <w:pPr>
              <w:jc w:val="center"/>
              <w:rPr>
                <w:rFonts w:eastAsia="Times New Roman" w:cstheme="minorHAnsi"/>
                <w:b/>
                <w:bCs/>
                <w:lang w:bidi="ar-SA"/>
              </w:rPr>
            </w:pPr>
            <w:r w:rsidRPr="002D6581">
              <w:rPr>
                <w:rFonts w:cstheme="minorHAnsi"/>
                <w:b/>
                <w:bCs/>
              </w:rPr>
              <w:t>0.07%</w:t>
            </w:r>
          </w:p>
        </w:tc>
        <w:tc>
          <w:tcPr>
            <w:tcW w:w="343" w:type="pct"/>
            <w:shd w:val="clear" w:color="000000" w:fill="FFFFFF"/>
            <w:vAlign w:val="center"/>
          </w:tcPr>
          <w:p w14:paraId="0064C784"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375" w:type="pct"/>
            <w:shd w:val="clear" w:color="000000" w:fill="FFFFFF"/>
            <w:vAlign w:val="center"/>
          </w:tcPr>
          <w:p w14:paraId="3546C588"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405" w:type="pct"/>
            <w:shd w:val="clear" w:color="000000" w:fill="FFFFFF"/>
            <w:vAlign w:val="center"/>
          </w:tcPr>
          <w:p w14:paraId="7714BD2F" w14:textId="77777777" w:rsidR="00AB379C" w:rsidRPr="002D6581" w:rsidRDefault="00AB379C" w:rsidP="007055F6">
            <w:pPr>
              <w:jc w:val="center"/>
              <w:rPr>
                <w:rFonts w:eastAsia="Times New Roman" w:cstheme="minorHAnsi"/>
                <w:lang w:bidi="ar-SA"/>
              </w:rPr>
            </w:pPr>
            <w:r w:rsidRPr="002D6581">
              <w:rPr>
                <w:rFonts w:cstheme="minorHAnsi"/>
              </w:rPr>
              <w:t>0.03%</w:t>
            </w:r>
          </w:p>
        </w:tc>
        <w:tc>
          <w:tcPr>
            <w:tcW w:w="406" w:type="pct"/>
            <w:shd w:val="clear" w:color="000000" w:fill="FFFFFF"/>
            <w:vAlign w:val="center"/>
          </w:tcPr>
          <w:p w14:paraId="71AAA6F0"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3AD3308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2FAC30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918BEA7"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0342DC8" w14:textId="77777777" w:rsidTr="002D6581">
        <w:trPr>
          <w:cantSplit/>
          <w:trHeight w:val="144"/>
        </w:trPr>
        <w:tc>
          <w:tcPr>
            <w:tcW w:w="286" w:type="pct"/>
            <w:shd w:val="clear" w:color="auto" w:fill="FFFFFF" w:themeFill="background1"/>
            <w:vAlign w:val="center"/>
          </w:tcPr>
          <w:p w14:paraId="36DDA109"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F77B1D4"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Telehealth Ages 0—12 years—Male</w:t>
            </w:r>
          </w:p>
        </w:tc>
        <w:tc>
          <w:tcPr>
            <w:tcW w:w="312" w:type="pct"/>
            <w:shd w:val="clear" w:color="auto" w:fill="auto"/>
            <w:vAlign w:val="center"/>
          </w:tcPr>
          <w:p w14:paraId="5DEE10DE"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110A026C" w14:textId="77777777" w:rsidR="00AB379C" w:rsidRPr="002D6581" w:rsidRDefault="00AB379C" w:rsidP="007055F6">
            <w:pPr>
              <w:jc w:val="center"/>
              <w:rPr>
                <w:rFonts w:eastAsia="Times New Roman" w:cstheme="minorHAnsi"/>
                <w:lang w:bidi="ar-SA"/>
              </w:rPr>
            </w:pPr>
            <w:r w:rsidRPr="002D6581">
              <w:rPr>
                <w:rFonts w:cstheme="minorHAnsi"/>
              </w:rPr>
              <w:t>457</w:t>
            </w:r>
          </w:p>
        </w:tc>
        <w:tc>
          <w:tcPr>
            <w:tcW w:w="311" w:type="pct"/>
            <w:shd w:val="clear" w:color="000000" w:fill="FFFFFF"/>
            <w:vAlign w:val="center"/>
          </w:tcPr>
          <w:p w14:paraId="480BA0AE" w14:textId="77777777" w:rsidR="00AB379C" w:rsidRPr="002D6581" w:rsidRDefault="00AB379C" w:rsidP="007055F6">
            <w:pPr>
              <w:jc w:val="center"/>
              <w:rPr>
                <w:rFonts w:eastAsia="Times New Roman" w:cstheme="minorHAnsi"/>
                <w:b/>
                <w:bCs/>
                <w:lang w:bidi="ar-SA"/>
              </w:rPr>
            </w:pPr>
            <w:r w:rsidRPr="002D6581">
              <w:rPr>
                <w:rFonts w:cstheme="minorHAnsi"/>
                <w:b/>
                <w:bCs/>
              </w:rPr>
              <w:t>4.41%</w:t>
            </w:r>
          </w:p>
        </w:tc>
        <w:tc>
          <w:tcPr>
            <w:tcW w:w="343" w:type="pct"/>
            <w:shd w:val="clear" w:color="000000" w:fill="FFFFFF"/>
            <w:vAlign w:val="center"/>
          </w:tcPr>
          <w:p w14:paraId="01201CF0" w14:textId="77777777" w:rsidR="00AB379C" w:rsidRPr="002D6581" w:rsidRDefault="00AB379C" w:rsidP="007055F6">
            <w:pPr>
              <w:jc w:val="center"/>
              <w:rPr>
                <w:rFonts w:eastAsia="Times New Roman" w:cstheme="minorHAnsi"/>
                <w:lang w:bidi="ar-SA"/>
              </w:rPr>
            </w:pPr>
            <w:r w:rsidRPr="002D6581">
              <w:rPr>
                <w:rFonts w:cstheme="minorHAnsi"/>
              </w:rPr>
              <w:t>4.3%</w:t>
            </w:r>
          </w:p>
        </w:tc>
        <w:tc>
          <w:tcPr>
            <w:tcW w:w="375" w:type="pct"/>
            <w:shd w:val="clear" w:color="000000" w:fill="FFFFFF"/>
            <w:vAlign w:val="center"/>
          </w:tcPr>
          <w:p w14:paraId="4802E1FA" w14:textId="77777777" w:rsidR="00AB379C" w:rsidRPr="002D6581" w:rsidRDefault="00AB379C" w:rsidP="007055F6">
            <w:pPr>
              <w:jc w:val="center"/>
              <w:rPr>
                <w:rFonts w:eastAsia="Times New Roman" w:cstheme="minorHAnsi"/>
                <w:lang w:bidi="ar-SA"/>
              </w:rPr>
            </w:pPr>
            <w:r w:rsidRPr="002D6581">
              <w:rPr>
                <w:rFonts w:cstheme="minorHAnsi"/>
              </w:rPr>
              <w:t>4.5%</w:t>
            </w:r>
          </w:p>
        </w:tc>
        <w:tc>
          <w:tcPr>
            <w:tcW w:w="405" w:type="pct"/>
            <w:shd w:val="clear" w:color="000000" w:fill="FFFFFF"/>
            <w:vAlign w:val="center"/>
          </w:tcPr>
          <w:p w14:paraId="31A415E7" w14:textId="77777777" w:rsidR="00AB379C" w:rsidRPr="002D6581" w:rsidRDefault="00AB379C" w:rsidP="007055F6">
            <w:pPr>
              <w:jc w:val="center"/>
              <w:rPr>
                <w:rFonts w:eastAsia="Times New Roman" w:cstheme="minorHAnsi"/>
                <w:lang w:bidi="ar-SA"/>
              </w:rPr>
            </w:pPr>
            <w:r w:rsidRPr="002D6581">
              <w:rPr>
                <w:rFonts w:cstheme="minorHAnsi"/>
              </w:rPr>
              <w:t>5.21%</w:t>
            </w:r>
          </w:p>
        </w:tc>
        <w:tc>
          <w:tcPr>
            <w:tcW w:w="406" w:type="pct"/>
            <w:shd w:val="clear" w:color="000000" w:fill="FFFFFF"/>
            <w:vAlign w:val="center"/>
          </w:tcPr>
          <w:p w14:paraId="7EE91B4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4FC957C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A38477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C1AEE4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07775A33" w14:textId="77777777" w:rsidTr="002D6581">
        <w:trPr>
          <w:cantSplit/>
          <w:trHeight w:val="144"/>
        </w:trPr>
        <w:tc>
          <w:tcPr>
            <w:tcW w:w="286" w:type="pct"/>
            <w:shd w:val="clear" w:color="auto" w:fill="FFFFFF" w:themeFill="background1"/>
            <w:vAlign w:val="center"/>
          </w:tcPr>
          <w:p w14:paraId="3CCCFB2B"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lastRenderedPageBreak/>
              <w:t>HEDIS</w:t>
            </w:r>
          </w:p>
        </w:tc>
        <w:tc>
          <w:tcPr>
            <w:tcW w:w="1060" w:type="pct"/>
            <w:shd w:val="clear" w:color="auto" w:fill="FFFFFF" w:themeFill="background1"/>
            <w:vAlign w:val="center"/>
          </w:tcPr>
          <w:p w14:paraId="1ECC6C3A"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Telehealth Ages 0—12 years—Female</w:t>
            </w:r>
          </w:p>
        </w:tc>
        <w:tc>
          <w:tcPr>
            <w:tcW w:w="312" w:type="pct"/>
            <w:shd w:val="clear" w:color="auto" w:fill="auto"/>
            <w:vAlign w:val="center"/>
          </w:tcPr>
          <w:p w14:paraId="2360AB1D"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4E913A4C" w14:textId="77777777" w:rsidR="00AB379C" w:rsidRPr="002D6581" w:rsidRDefault="00AB379C" w:rsidP="007055F6">
            <w:pPr>
              <w:jc w:val="center"/>
              <w:rPr>
                <w:rFonts w:eastAsia="Times New Roman" w:cstheme="minorHAnsi"/>
                <w:lang w:bidi="ar-SA"/>
              </w:rPr>
            </w:pPr>
            <w:r w:rsidRPr="002D6581">
              <w:rPr>
                <w:rFonts w:cstheme="minorHAnsi"/>
              </w:rPr>
              <w:t>474</w:t>
            </w:r>
          </w:p>
        </w:tc>
        <w:tc>
          <w:tcPr>
            <w:tcW w:w="311" w:type="pct"/>
            <w:shd w:val="clear" w:color="000000" w:fill="FFFFFF"/>
            <w:vAlign w:val="center"/>
          </w:tcPr>
          <w:p w14:paraId="34764961" w14:textId="77777777" w:rsidR="00AB379C" w:rsidRPr="002D6581" w:rsidRDefault="00AB379C" w:rsidP="007055F6">
            <w:pPr>
              <w:jc w:val="center"/>
              <w:rPr>
                <w:rFonts w:eastAsia="Times New Roman" w:cstheme="minorHAnsi"/>
                <w:b/>
                <w:bCs/>
                <w:lang w:bidi="ar-SA"/>
              </w:rPr>
            </w:pPr>
            <w:r w:rsidRPr="002D6581">
              <w:rPr>
                <w:rFonts w:cstheme="minorHAnsi"/>
                <w:b/>
                <w:bCs/>
              </w:rPr>
              <w:t>4.66%</w:t>
            </w:r>
          </w:p>
        </w:tc>
        <w:tc>
          <w:tcPr>
            <w:tcW w:w="343" w:type="pct"/>
            <w:shd w:val="clear" w:color="000000" w:fill="FFFFFF"/>
            <w:vAlign w:val="center"/>
          </w:tcPr>
          <w:p w14:paraId="38E9EAED" w14:textId="77777777" w:rsidR="00AB379C" w:rsidRPr="002D6581" w:rsidRDefault="00AB379C" w:rsidP="007055F6">
            <w:pPr>
              <w:jc w:val="center"/>
              <w:rPr>
                <w:rFonts w:eastAsia="Times New Roman" w:cstheme="minorHAnsi"/>
                <w:lang w:bidi="ar-SA"/>
              </w:rPr>
            </w:pPr>
            <w:r w:rsidRPr="002D6581">
              <w:rPr>
                <w:rFonts w:cstheme="minorHAnsi"/>
              </w:rPr>
              <w:t>4.5%</w:t>
            </w:r>
          </w:p>
        </w:tc>
        <w:tc>
          <w:tcPr>
            <w:tcW w:w="375" w:type="pct"/>
            <w:shd w:val="clear" w:color="000000" w:fill="FFFFFF"/>
            <w:vAlign w:val="center"/>
          </w:tcPr>
          <w:p w14:paraId="00E65407" w14:textId="77777777" w:rsidR="00AB379C" w:rsidRPr="002D6581" w:rsidRDefault="00AB379C" w:rsidP="007055F6">
            <w:pPr>
              <w:jc w:val="center"/>
              <w:rPr>
                <w:rFonts w:eastAsia="Times New Roman" w:cstheme="minorHAnsi"/>
                <w:lang w:bidi="ar-SA"/>
              </w:rPr>
            </w:pPr>
            <w:r w:rsidRPr="002D6581">
              <w:rPr>
                <w:rFonts w:cstheme="minorHAnsi"/>
              </w:rPr>
              <w:t>4.8%</w:t>
            </w:r>
          </w:p>
        </w:tc>
        <w:tc>
          <w:tcPr>
            <w:tcW w:w="405" w:type="pct"/>
            <w:shd w:val="clear" w:color="000000" w:fill="FFFFFF"/>
            <w:vAlign w:val="center"/>
          </w:tcPr>
          <w:p w14:paraId="1F32406D" w14:textId="77777777" w:rsidR="00AB379C" w:rsidRPr="002D6581" w:rsidRDefault="00AB379C" w:rsidP="007055F6">
            <w:pPr>
              <w:jc w:val="center"/>
              <w:rPr>
                <w:rFonts w:eastAsia="Times New Roman" w:cstheme="minorHAnsi"/>
                <w:lang w:bidi="ar-SA"/>
              </w:rPr>
            </w:pPr>
            <w:r w:rsidRPr="002D6581">
              <w:rPr>
                <w:rFonts w:cstheme="minorHAnsi"/>
              </w:rPr>
              <w:t>4.86%</w:t>
            </w:r>
          </w:p>
        </w:tc>
        <w:tc>
          <w:tcPr>
            <w:tcW w:w="406" w:type="pct"/>
            <w:shd w:val="clear" w:color="000000" w:fill="FFFFFF"/>
            <w:vAlign w:val="center"/>
          </w:tcPr>
          <w:p w14:paraId="65DE4BB2"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C0AD68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6D5AA2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DED6639"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DC540CE" w14:textId="77777777" w:rsidTr="002D6581">
        <w:trPr>
          <w:cantSplit/>
          <w:trHeight w:val="144"/>
        </w:trPr>
        <w:tc>
          <w:tcPr>
            <w:tcW w:w="286" w:type="pct"/>
            <w:shd w:val="clear" w:color="auto" w:fill="FFFFFF" w:themeFill="background1"/>
            <w:vAlign w:val="center"/>
          </w:tcPr>
          <w:p w14:paraId="08CC0091"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53E6A55"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Telehealth Ages 0—12 years—Total Rate</w:t>
            </w:r>
          </w:p>
        </w:tc>
        <w:tc>
          <w:tcPr>
            <w:tcW w:w="312" w:type="pct"/>
            <w:shd w:val="clear" w:color="auto" w:fill="auto"/>
            <w:vAlign w:val="center"/>
          </w:tcPr>
          <w:p w14:paraId="16820670"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153DBC13" w14:textId="77777777" w:rsidR="00AB379C" w:rsidRPr="002D6581" w:rsidRDefault="00AB379C" w:rsidP="007055F6">
            <w:pPr>
              <w:jc w:val="center"/>
              <w:rPr>
                <w:rFonts w:eastAsia="Times New Roman" w:cstheme="minorHAnsi"/>
                <w:lang w:bidi="ar-SA"/>
              </w:rPr>
            </w:pPr>
            <w:r w:rsidRPr="002D6581">
              <w:rPr>
                <w:rFonts w:cstheme="minorHAnsi"/>
              </w:rPr>
              <w:t>931</w:t>
            </w:r>
          </w:p>
        </w:tc>
        <w:tc>
          <w:tcPr>
            <w:tcW w:w="311" w:type="pct"/>
            <w:shd w:val="clear" w:color="000000" w:fill="FFFFFF"/>
            <w:vAlign w:val="center"/>
          </w:tcPr>
          <w:p w14:paraId="7C64E004" w14:textId="77777777" w:rsidR="00AB379C" w:rsidRPr="002D6581" w:rsidRDefault="00AB379C" w:rsidP="007055F6">
            <w:pPr>
              <w:jc w:val="center"/>
              <w:rPr>
                <w:rFonts w:eastAsia="Times New Roman" w:cstheme="minorHAnsi"/>
                <w:b/>
                <w:bCs/>
                <w:lang w:bidi="ar-SA"/>
              </w:rPr>
            </w:pPr>
            <w:r w:rsidRPr="002D6581">
              <w:rPr>
                <w:rFonts w:cstheme="minorHAnsi"/>
                <w:b/>
                <w:bCs/>
              </w:rPr>
              <w:t>4.54%</w:t>
            </w:r>
          </w:p>
        </w:tc>
        <w:tc>
          <w:tcPr>
            <w:tcW w:w="343" w:type="pct"/>
            <w:shd w:val="clear" w:color="000000" w:fill="FFFFFF"/>
            <w:vAlign w:val="center"/>
          </w:tcPr>
          <w:p w14:paraId="44F305B8" w14:textId="77777777" w:rsidR="00AB379C" w:rsidRPr="002D6581" w:rsidRDefault="00AB379C" w:rsidP="007055F6">
            <w:pPr>
              <w:jc w:val="center"/>
              <w:rPr>
                <w:rFonts w:eastAsia="Times New Roman" w:cstheme="minorHAnsi"/>
                <w:lang w:bidi="ar-SA"/>
              </w:rPr>
            </w:pPr>
            <w:r w:rsidRPr="002D6581">
              <w:rPr>
                <w:rFonts w:cstheme="minorHAnsi"/>
              </w:rPr>
              <w:t>4.5%</w:t>
            </w:r>
          </w:p>
        </w:tc>
        <w:tc>
          <w:tcPr>
            <w:tcW w:w="375" w:type="pct"/>
            <w:shd w:val="clear" w:color="000000" w:fill="FFFFFF"/>
            <w:vAlign w:val="center"/>
          </w:tcPr>
          <w:p w14:paraId="3A2F3EE2" w14:textId="77777777" w:rsidR="00AB379C" w:rsidRPr="002D6581" w:rsidRDefault="00AB379C" w:rsidP="007055F6">
            <w:pPr>
              <w:jc w:val="center"/>
              <w:rPr>
                <w:rFonts w:eastAsia="Times New Roman" w:cstheme="minorHAnsi"/>
                <w:lang w:bidi="ar-SA"/>
              </w:rPr>
            </w:pPr>
            <w:r w:rsidRPr="002D6581">
              <w:rPr>
                <w:rFonts w:cstheme="minorHAnsi"/>
              </w:rPr>
              <w:t>4.6%</w:t>
            </w:r>
          </w:p>
        </w:tc>
        <w:tc>
          <w:tcPr>
            <w:tcW w:w="405" w:type="pct"/>
            <w:shd w:val="clear" w:color="000000" w:fill="FFFFFF"/>
            <w:vAlign w:val="center"/>
          </w:tcPr>
          <w:p w14:paraId="418C322D" w14:textId="77777777" w:rsidR="00AB379C" w:rsidRPr="002D6581" w:rsidRDefault="00AB379C" w:rsidP="007055F6">
            <w:pPr>
              <w:jc w:val="center"/>
              <w:rPr>
                <w:rFonts w:eastAsia="Times New Roman" w:cstheme="minorHAnsi"/>
                <w:lang w:bidi="ar-SA"/>
              </w:rPr>
            </w:pPr>
            <w:r w:rsidRPr="002D6581">
              <w:rPr>
                <w:rFonts w:cstheme="minorHAnsi"/>
              </w:rPr>
              <w:t>5.04%</w:t>
            </w:r>
          </w:p>
        </w:tc>
        <w:tc>
          <w:tcPr>
            <w:tcW w:w="406" w:type="pct"/>
            <w:shd w:val="clear" w:color="000000" w:fill="FFFFFF"/>
            <w:vAlign w:val="center"/>
          </w:tcPr>
          <w:p w14:paraId="3A6DCC87"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14C2B4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0224897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EBAC285"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729F2E8" w14:textId="77777777" w:rsidTr="002D6581">
        <w:trPr>
          <w:cantSplit/>
          <w:trHeight w:val="144"/>
        </w:trPr>
        <w:tc>
          <w:tcPr>
            <w:tcW w:w="286" w:type="pct"/>
            <w:shd w:val="clear" w:color="auto" w:fill="FFFFFF" w:themeFill="background1"/>
            <w:vAlign w:val="center"/>
          </w:tcPr>
          <w:p w14:paraId="43542389"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DE40CA0"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Telehealth Ages 13—17 years—Male</w:t>
            </w:r>
          </w:p>
        </w:tc>
        <w:tc>
          <w:tcPr>
            <w:tcW w:w="312" w:type="pct"/>
            <w:shd w:val="clear" w:color="auto" w:fill="auto"/>
            <w:vAlign w:val="center"/>
          </w:tcPr>
          <w:p w14:paraId="00C4FF0A"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2078DCDB" w14:textId="77777777" w:rsidR="00AB379C" w:rsidRPr="002D6581" w:rsidRDefault="00AB379C" w:rsidP="007055F6">
            <w:pPr>
              <w:jc w:val="center"/>
              <w:rPr>
                <w:rFonts w:eastAsia="Times New Roman" w:cstheme="minorHAnsi"/>
                <w:lang w:bidi="ar-SA"/>
              </w:rPr>
            </w:pPr>
            <w:r w:rsidRPr="002D6581">
              <w:rPr>
                <w:rFonts w:cstheme="minorHAnsi"/>
              </w:rPr>
              <w:t>327</w:t>
            </w:r>
          </w:p>
        </w:tc>
        <w:tc>
          <w:tcPr>
            <w:tcW w:w="311" w:type="pct"/>
            <w:shd w:val="clear" w:color="000000" w:fill="FFFFFF"/>
            <w:vAlign w:val="center"/>
          </w:tcPr>
          <w:p w14:paraId="57BD7634" w14:textId="77777777" w:rsidR="00AB379C" w:rsidRPr="002D6581" w:rsidRDefault="00AB379C" w:rsidP="007055F6">
            <w:pPr>
              <w:jc w:val="center"/>
              <w:rPr>
                <w:rFonts w:eastAsia="Times New Roman" w:cstheme="minorHAnsi"/>
                <w:b/>
                <w:bCs/>
                <w:lang w:bidi="ar-SA"/>
              </w:rPr>
            </w:pPr>
            <w:r w:rsidRPr="002D6581">
              <w:rPr>
                <w:rFonts w:cstheme="minorHAnsi"/>
                <w:b/>
                <w:bCs/>
              </w:rPr>
              <w:t>6.16%</w:t>
            </w:r>
          </w:p>
        </w:tc>
        <w:tc>
          <w:tcPr>
            <w:tcW w:w="343" w:type="pct"/>
            <w:shd w:val="clear" w:color="000000" w:fill="FFFFFF"/>
            <w:vAlign w:val="center"/>
          </w:tcPr>
          <w:p w14:paraId="1A6C9A86" w14:textId="77777777" w:rsidR="00AB379C" w:rsidRPr="002D6581" w:rsidRDefault="00AB379C" w:rsidP="007055F6">
            <w:pPr>
              <w:jc w:val="center"/>
              <w:rPr>
                <w:rFonts w:eastAsia="Times New Roman" w:cstheme="minorHAnsi"/>
                <w:lang w:bidi="ar-SA"/>
              </w:rPr>
            </w:pPr>
            <w:r w:rsidRPr="002D6581">
              <w:rPr>
                <w:rFonts w:cstheme="minorHAnsi"/>
              </w:rPr>
              <w:t>6.0%</w:t>
            </w:r>
          </w:p>
        </w:tc>
        <w:tc>
          <w:tcPr>
            <w:tcW w:w="375" w:type="pct"/>
            <w:shd w:val="clear" w:color="000000" w:fill="FFFFFF"/>
            <w:vAlign w:val="center"/>
          </w:tcPr>
          <w:p w14:paraId="5370B895" w14:textId="77777777" w:rsidR="00AB379C" w:rsidRPr="002D6581" w:rsidRDefault="00AB379C" w:rsidP="007055F6">
            <w:pPr>
              <w:jc w:val="center"/>
              <w:rPr>
                <w:rFonts w:eastAsia="Times New Roman" w:cstheme="minorHAnsi"/>
                <w:lang w:bidi="ar-SA"/>
              </w:rPr>
            </w:pPr>
            <w:r w:rsidRPr="002D6581">
              <w:rPr>
                <w:rFonts w:cstheme="minorHAnsi"/>
              </w:rPr>
              <w:t>6.3%</w:t>
            </w:r>
          </w:p>
        </w:tc>
        <w:tc>
          <w:tcPr>
            <w:tcW w:w="405" w:type="pct"/>
            <w:shd w:val="clear" w:color="000000" w:fill="FFFFFF"/>
            <w:vAlign w:val="center"/>
          </w:tcPr>
          <w:p w14:paraId="266604EC" w14:textId="77777777" w:rsidR="00AB379C" w:rsidRPr="002D6581" w:rsidRDefault="00AB379C" w:rsidP="007055F6">
            <w:pPr>
              <w:jc w:val="center"/>
              <w:rPr>
                <w:rFonts w:eastAsia="Times New Roman" w:cstheme="minorHAnsi"/>
                <w:lang w:bidi="ar-SA"/>
              </w:rPr>
            </w:pPr>
            <w:r w:rsidRPr="002D6581">
              <w:rPr>
                <w:rFonts w:cstheme="minorHAnsi"/>
              </w:rPr>
              <w:t>6.90%</w:t>
            </w:r>
          </w:p>
        </w:tc>
        <w:tc>
          <w:tcPr>
            <w:tcW w:w="406" w:type="pct"/>
            <w:shd w:val="clear" w:color="000000" w:fill="FFFFFF"/>
            <w:vAlign w:val="center"/>
          </w:tcPr>
          <w:p w14:paraId="32D78E94"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2858A2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810B69B"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43A2F01"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48FA3DE" w14:textId="77777777" w:rsidTr="002D6581">
        <w:trPr>
          <w:cantSplit/>
          <w:trHeight w:val="144"/>
        </w:trPr>
        <w:tc>
          <w:tcPr>
            <w:tcW w:w="286" w:type="pct"/>
            <w:shd w:val="clear" w:color="auto" w:fill="FFFFFF" w:themeFill="background1"/>
            <w:vAlign w:val="center"/>
          </w:tcPr>
          <w:p w14:paraId="4F589B4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54ABDD4"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Telehealth Ages 13—17 years—Female</w:t>
            </w:r>
          </w:p>
        </w:tc>
        <w:tc>
          <w:tcPr>
            <w:tcW w:w="312" w:type="pct"/>
            <w:shd w:val="clear" w:color="auto" w:fill="auto"/>
            <w:vAlign w:val="center"/>
          </w:tcPr>
          <w:p w14:paraId="6F613439"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7F1D501C" w14:textId="77777777" w:rsidR="00AB379C" w:rsidRPr="002D6581" w:rsidRDefault="00AB379C" w:rsidP="007055F6">
            <w:pPr>
              <w:jc w:val="center"/>
              <w:rPr>
                <w:rFonts w:eastAsia="Times New Roman" w:cstheme="minorHAnsi"/>
                <w:lang w:bidi="ar-SA"/>
              </w:rPr>
            </w:pPr>
            <w:r w:rsidRPr="002D6581">
              <w:rPr>
                <w:rFonts w:cstheme="minorHAnsi"/>
              </w:rPr>
              <w:t>842</w:t>
            </w:r>
          </w:p>
        </w:tc>
        <w:tc>
          <w:tcPr>
            <w:tcW w:w="311" w:type="pct"/>
            <w:shd w:val="clear" w:color="000000" w:fill="FFFFFF"/>
            <w:vAlign w:val="center"/>
          </w:tcPr>
          <w:p w14:paraId="22974779" w14:textId="77777777" w:rsidR="00AB379C" w:rsidRPr="002D6581" w:rsidRDefault="00AB379C" w:rsidP="007055F6">
            <w:pPr>
              <w:jc w:val="center"/>
              <w:rPr>
                <w:rFonts w:eastAsia="Times New Roman" w:cstheme="minorHAnsi"/>
                <w:b/>
                <w:bCs/>
                <w:lang w:bidi="ar-SA"/>
              </w:rPr>
            </w:pPr>
            <w:r w:rsidRPr="002D6581">
              <w:rPr>
                <w:rFonts w:cstheme="minorHAnsi"/>
                <w:b/>
                <w:bCs/>
              </w:rPr>
              <w:t>15.74%</w:t>
            </w:r>
          </w:p>
        </w:tc>
        <w:tc>
          <w:tcPr>
            <w:tcW w:w="343" w:type="pct"/>
            <w:shd w:val="clear" w:color="000000" w:fill="FFFFFF"/>
            <w:vAlign w:val="center"/>
          </w:tcPr>
          <w:p w14:paraId="209DA5D4" w14:textId="77777777" w:rsidR="00AB379C" w:rsidRPr="002D6581" w:rsidRDefault="00AB379C" w:rsidP="007055F6">
            <w:pPr>
              <w:jc w:val="center"/>
              <w:rPr>
                <w:rFonts w:eastAsia="Times New Roman" w:cstheme="minorHAnsi"/>
                <w:lang w:bidi="ar-SA"/>
              </w:rPr>
            </w:pPr>
            <w:r w:rsidRPr="002D6581">
              <w:rPr>
                <w:rFonts w:cstheme="minorHAnsi"/>
              </w:rPr>
              <w:t>15.5%</w:t>
            </w:r>
          </w:p>
        </w:tc>
        <w:tc>
          <w:tcPr>
            <w:tcW w:w="375" w:type="pct"/>
            <w:shd w:val="clear" w:color="000000" w:fill="FFFFFF"/>
            <w:vAlign w:val="center"/>
          </w:tcPr>
          <w:p w14:paraId="5AEF8AAF" w14:textId="77777777" w:rsidR="00AB379C" w:rsidRPr="002D6581" w:rsidRDefault="00AB379C" w:rsidP="007055F6">
            <w:pPr>
              <w:jc w:val="center"/>
              <w:rPr>
                <w:rFonts w:eastAsia="Times New Roman" w:cstheme="minorHAnsi"/>
                <w:lang w:bidi="ar-SA"/>
              </w:rPr>
            </w:pPr>
            <w:r w:rsidRPr="002D6581">
              <w:rPr>
                <w:rFonts w:cstheme="minorHAnsi"/>
              </w:rPr>
              <w:t>16.0%</w:t>
            </w:r>
          </w:p>
        </w:tc>
        <w:tc>
          <w:tcPr>
            <w:tcW w:w="405" w:type="pct"/>
            <w:shd w:val="clear" w:color="000000" w:fill="FFFFFF"/>
            <w:vAlign w:val="center"/>
          </w:tcPr>
          <w:p w14:paraId="32A83F28" w14:textId="77777777" w:rsidR="00AB379C" w:rsidRPr="002D6581" w:rsidRDefault="00AB379C" w:rsidP="007055F6">
            <w:pPr>
              <w:jc w:val="center"/>
              <w:rPr>
                <w:rFonts w:eastAsia="Times New Roman" w:cstheme="minorHAnsi"/>
                <w:lang w:bidi="ar-SA"/>
              </w:rPr>
            </w:pPr>
            <w:r w:rsidRPr="002D6581">
              <w:rPr>
                <w:rFonts w:cstheme="minorHAnsi"/>
              </w:rPr>
              <w:t>14.70%</w:t>
            </w:r>
          </w:p>
        </w:tc>
        <w:tc>
          <w:tcPr>
            <w:tcW w:w="406" w:type="pct"/>
            <w:shd w:val="clear" w:color="000000" w:fill="FFFFFF"/>
            <w:vAlign w:val="center"/>
          </w:tcPr>
          <w:p w14:paraId="7B8BA45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372D84E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84FD11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915CE13"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8C71E32" w14:textId="77777777" w:rsidTr="002D6581">
        <w:trPr>
          <w:cantSplit/>
          <w:trHeight w:val="144"/>
        </w:trPr>
        <w:tc>
          <w:tcPr>
            <w:tcW w:w="286" w:type="pct"/>
            <w:shd w:val="clear" w:color="auto" w:fill="FFFFFF" w:themeFill="background1"/>
            <w:vAlign w:val="center"/>
          </w:tcPr>
          <w:p w14:paraId="058E43E2"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DCEEC79"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MPT: Telehealth Ages 13—17 years—Total Rate</w:t>
            </w:r>
          </w:p>
        </w:tc>
        <w:tc>
          <w:tcPr>
            <w:tcW w:w="312" w:type="pct"/>
            <w:shd w:val="clear" w:color="auto" w:fill="auto"/>
            <w:vAlign w:val="center"/>
          </w:tcPr>
          <w:p w14:paraId="4652C0B6"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6FB7EF64" w14:textId="77777777" w:rsidR="00AB379C" w:rsidRPr="002D6581" w:rsidRDefault="00AB379C" w:rsidP="007055F6">
            <w:pPr>
              <w:jc w:val="center"/>
              <w:rPr>
                <w:rFonts w:eastAsia="Times New Roman" w:cstheme="minorHAnsi"/>
                <w:lang w:bidi="ar-SA"/>
              </w:rPr>
            </w:pPr>
            <w:r w:rsidRPr="002D6581">
              <w:rPr>
                <w:rFonts w:cstheme="minorHAnsi"/>
              </w:rPr>
              <w:t>1,169</w:t>
            </w:r>
          </w:p>
        </w:tc>
        <w:tc>
          <w:tcPr>
            <w:tcW w:w="311" w:type="pct"/>
            <w:shd w:val="clear" w:color="000000" w:fill="FFFFFF"/>
            <w:vAlign w:val="center"/>
          </w:tcPr>
          <w:p w14:paraId="7E67B108" w14:textId="77777777" w:rsidR="00AB379C" w:rsidRPr="002D6581" w:rsidRDefault="00AB379C" w:rsidP="007055F6">
            <w:pPr>
              <w:jc w:val="center"/>
              <w:rPr>
                <w:rFonts w:eastAsia="Times New Roman" w:cstheme="minorHAnsi"/>
                <w:b/>
                <w:bCs/>
                <w:lang w:bidi="ar-SA"/>
              </w:rPr>
            </w:pPr>
            <w:r w:rsidRPr="002D6581">
              <w:rPr>
                <w:rFonts w:cstheme="minorHAnsi"/>
                <w:b/>
                <w:bCs/>
              </w:rPr>
              <w:t>10.97%</w:t>
            </w:r>
          </w:p>
        </w:tc>
        <w:tc>
          <w:tcPr>
            <w:tcW w:w="343" w:type="pct"/>
            <w:shd w:val="clear" w:color="000000" w:fill="FFFFFF"/>
            <w:vAlign w:val="center"/>
          </w:tcPr>
          <w:p w14:paraId="6AFF7AB6" w14:textId="77777777" w:rsidR="00AB379C" w:rsidRPr="002D6581" w:rsidRDefault="00AB379C" w:rsidP="007055F6">
            <w:pPr>
              <w:jc w:val="center"/>
              <w:rPr>
                <w:rFonts w:eastAsia="Times New Roman" w:cstheme="minorHAnsi"/>
                <w:lang w:bidi="ar-SA"/>
              </w:rPr>
            </w:pPr>
            <w:r w:rsidRPr="002D6581">
              <w:rPr>
                <w:rFonts w:cstheme="minorHAnsi"/>
              </w:rPr>
              <w:t>10.8%</w:t>
            </w:r>
          </w:p>
        </w:tc>
        <w:tc>
          <w:tcPr>
            <w:tcW w:w="375" w:type="pct"/>
            <w:shd w:val="clear" w:color="000000" w:fill="FFFFFF"/>
            <w:vAlign w:val="center"/>
          </w:tcPr>
          <w:p w14:paraId="66138D3A" w14:textId="77777777" w:rsidR="00AB379C" w:rsidRPr="002D6581" w:rsidRDefault="00AB379C" w:rsidP="007055F6">
            <w:pPr>
              <w:jc w:val="center"/>
              <w:rPr>
                <w:rFonts w:eastAsia="Times New Roman" w:cstheme="minorHAnsi"/>
                <w:lang w:bidi="ar-SA"/>
              </w:rPr>
            </w:pPr>
            <w:r w:rsidRPr="002D6581">
              <w:rPr>
                <w:rFonts w:cstheme="minorHAnsi"/>
              </w:rPr>
              <w:t>11.1%</w:t>
            </w:r>
          </w:p>
        </w:tc>
        <w:tc>
          <w:tcPr>
            <w:tcW w:w="405" w:type="pct"/>
            <w:shd w:val="clear" w:color="000000" w:fill="FFFFFF"/>
            <w:vAlign w:val="center"/>
          </w:tcPr>
          <w:p w14:paraId="171DE6AE" w14:textId="77777777" w:rsidR="00AB379C" w:rsidRPr="002D6581" w:rsidRDefault="00AB379C" w:rsidP="007055F6">
            <w:pPr>
              <w:jc w:val="center"/>
              <w:rPr>
                <w:rFonts w:eastAsia="Times New Roman" w:cstheme="minorHAnsi"/>
                <w:lang w:bidi="ar-SA"/>
              </w:rPr>
            </w:pPr>
            <w:r w:rsidRPr="002D6581">
              <w:rPr>
                <w:rFonts w:cstheme="minorHAnsi"/>
              </w:rPr>
              <w:t>10.79%</w:t>
            </w:r>
          </w:p>
        </w:tc>
        <w:tc>
          <w:tcPr>
            <w:tcW w:w="406" w:type="pct"/>
            <w:shd w:val="clear" w:color="000000" w:fill="FFFFFF"/>
            <w:vAlign w:val="center"/>
          </w:tcPr>
          <w:p w14:paraId="7127574E"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D4D511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A2C754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69D3A01"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70CEF7E" w14:textId="77777777" w:rsidTr="002D6581">
        <w:trPr>
          <w:cantSplit/>
          <w:trHeight w:val="144"/>
        </w:trPr>
        <w:tc>
          <w:tcPr>
            <w:tcW w:w="286" w:type="pct"/>
            <w:shd w:val="clear" w:color="auto" w:fill="FFFFFF" w:themeFill="background1"/>
            <w:vAlign w:val="center"/>
          </w:tcPr>
          <w:p w14:paraId="29DE11DF"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7606A35"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Any Services Ages 0—12 years—Male</w:t>
            </w:r>
          </w:p>
        </w:tc>
        <w:tc>
          <w:tcPr>
            <w:tcW w:w="312" w:type="pct"/>
            <w:shd w:val="clear" w:color="auto" w:fill="auto"/>
            <w:vAlign w:val="center"/>
          </w:tcPr>
          <w:p w14:paraId="58D7570F"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5833B230" w14:textId="77777777" w:rsidR="00AB379C" w:rsidRPr="002D6581" w:rsidRDefault="00AB379C" w:rsidP="007055F6">
            <w:pPr>
              <w:jc w:val="center"/>
              <w:rPr>
                <w:rFonts w:eastAsia="Times New Roman" w:cstheme="minorHAnsi"/>
                <w:lang w:bidi="ar-SA"/>
              </w:rPr>
            </w:pPr>
            <w:r w:rsidRPr="002D6581">
              <w:rPr>
                <w:rFonts w:cstheme="minorHAnsi"/>
              </w:rPr>
              <w:t>3</w:t>
            </w:r>
          </w:p>
        </w:tc>
        <w:tc>
          <w:tcPr>
            <w:tcW w:w="311" w:type="pct"/>
            <w:shd w:val="clear" w:color="000000" w:fill="FFFFFF"/>
            <w:vAlign w:val="center"/>
          </w:tcPr>
          <w:p w14:paraId="5247D02D" w14:textId="77777777" w:rsidR="00AB379C" w:rsidRPr="002D6581" w:rsidRDefault="00AB379C" w:rsidP="007055F6">
            <w:pPr>
              <w:jc w:val="center"/>
              <w:rPr>
                <w:rFonts w:eastAsia="Times New Roman" w:cstheme="minorHAnsi"/>
                <w:lang w:bidi="ar-SA"/>
              </w:rPr>
            </w:pPr>
            <w:r w:rsidRPr="002D6581">
              <w:rPr>
                <w:rFonts w:cstheme="minorHAnsi"/>
                <w:b/>
                <w:bCs/>
              </w:rPr>
              <w:t>0.03%</w:t>
            </w:r>
          </w:p>
        </w:tc>
        <w:tc>
          <w:tcPr>
            <w:tcW w:w="343" w:type="pct"/>
            <w:shd w:val="clear" w:color="000000" w:fill="FFFFFF"/>
            <w:vAlign w:val="center"/>
          </w:tcPr>
          <w:p w14:paraId="280A280A"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28AECB5F"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54BCB6C7" w14:textId="77777777" w:rsidR="00AB379C" w:rsidRPr="002D6581" w:rsidRDefault="00AB379C" w:rsidP="007055F6">
            <w:pPr>
              <w:jc w:val="center"/>
              <w:rPr>
                <w:rFonts w:eastAsia="Times New Roman" w:cstheme="minorHAnsi"/>
                <w:lang w:bidi="ar-SA"/>
              </w:rPr>
            </w:pPr>
            <w:r w:rsidRPr="002D6581">
              <w:rPr>
                <w:rFonts w:cstheme="minorHAnsi"/>
              </w:rPr>
              <w:t>0.05%</w:t>
            </w:r>
          </w:p>
        </w:tc>
        <w:tc>
          <w:tcPr>
            <w:tcW w:w="406" w:type="pct"/>
            <w:shd w:val="clear" w:color="000000" w:fill="FFFFFF"/>
            <w:vAlign w:val="center"/>
          </w:tcPr>
          <w:p w14:paraId="66BCE421"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7788BF2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419E3A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03E74A1"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AF7210C" w14:textId="77777777" w:rsidTr="002D6581">
        <w:trPr>
          <w:cantSplit/>
          <w:trHeight w:val="144"/>
        </w:trPr>
        <w:tc>
          <w:tcPr>
            <w:tcW w:w="286" w:type="pct"/>
            <w:shd w:val="clear" w:color="auto" w:fill="FFFFFF" w:themeFill="background1"/>
            <w:vAlign w:val="center"/>
          </w:tcPr>
          <w:p w14:paraId="464CBF04"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948E9A1"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Any Services Ages 0—12 years—Female</w:t>
            </w:r>
          </w:p>
        </w:tc>
        <w:tc>
          <w:tcPr>
            <w:tcW w:w="312" w:type="pct"/>
            <w:shd w:val="clear" w:color="auto" w:fill="auto"/>
            <w:vAlign w:val="center"/>
          </w:tcPr>
          <w:p w14:paraId="4D376B8D"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6225E48D" w14:textId="77777777" w:rsidR="00AB379C" w:rsidRPr="002D6581" w:rsidRDefault="00AB379C" w:rsidP="007055F6">
            <w:pPr>
              <w:jc w:val="center"/>
              <w:rPr>
                <w:rFonts w:eastAsia="Times New Roman" w:cstheme="minorHAnsi"/>
                <w:lang w:bidi="ar-SA"/>
              </w:rPr>
            </w:pPr>
            <w:r w:rsidRPr="002D6581">
              <w:rPr>
                <w:rFonts w:cstheme="minorHAnsi"/>
              </w:rPr>
              <w:t>2</w:t>
            </w:r>
          </w:p>
        </w:tc>
        <w:tc>
          <w:tcPr>
            <w:tcW w:w="311" w:type="pct"/>
            <w:shd w:val="clear" w:color="000000" w:fill="FFFFFF"/>
            <w:vAlign w:val="center"/>
          </w:tcPr>
          <w:p w14:paraId="62BDD760" w14:textId="77777777" w:rsidR="00AB379C" w:rsidRPr="002D6581" w:rsidRDefault="00AB379C" w:rsidP="007055F6">
            <w:pPr>
              <w:jc w:val="center"/>
              <w:rPr>
                <w:rFonts w:eastAsia="Times New Roman" w:cstheme="minorHAnsi"/>
                <w:lang w:bidi="ar-SA"/>
              </w:rPr>
            </w:pPr>
            <w:r w:rsidRPr="002D6581">
              <w:rPr>
                <w:rFonts w:cstheme="minorHAnsi"/>
                <w:b/>
                <w:bCs/>
              </w:rPr>
              <w:t>0.02%</w:t>
            </w:r>
          </w:p>
        </w:tc>
        <w:tc>
          <w:tcPr>
            <w:tcW w:w="343" w:type="pct"/>
            <w:shd w:val="clear" w:color="000000" w:fill="FFFFFF"/>
            <w:vAlign w:val="center"/>
          </w:tcPr>
          <w:p w14:paraId="27FC7C22"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1C32DA4D"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65ED8D6B" w14:textId="77777777" w:rsidR="00AB379C" w:rsidRPr="002D6581" w:rsidRDefault="00AB379C" w:rsidP="007055F6">
            <w:pPr>
              <w:jc w:val="center"/>
              <w:rPr>
                <w:rFonts w:eastAsia="Times New Roman" w:cstheme="minorHAnsi"/>
                <w:lang w:bidi="ar-SA"/>
              </w:rPr>
            </w:pPr>
            <w:r w:rsidRPr="002D6581">
              <w:rPr>
                <w:rFonts w:cstheme="minorHAnsi"/>
              </w:rPr>
              <w:t>0.02%</w:t>
            </w:r>
          </w:p>
        </w:tc>
        <w:tc>
          <w:tcPr>
            <w:tcW w:w="406" w:type="pct"/>
            <w:shd w:val="clear" w:color="000000" w:fill="FFFFFF"/>
            <w:vAlign w:val="center"/>
          </w:tcPr>
          <w:p w14:paraId="65572CB8"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5C5B696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9E891F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A34142F"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188DF6D" w14:textId="77777777" w:rsidTr="002D6581">
        <w:trPr>
          <w:cantSplit/>
          <w:trHeight w:val="144"/>
        </w:trPr>
        <w:tc>
          <w:tcPr>
            <w:tcW w:w="286" w:type="pct"/>
            <w:shd w:val="clear" w:color="auto" w:fill="FFFFFF" w:themeFill="background1"/>
            <w:vAlign w:val="center"/>
          </w:tcPr>
          <w:p w14:paraId="65BB9842"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8CD0014"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Any Services Ages 0—12 years—Total Rate</w:t>
            </w:r>
          </w:p>
        </w:tc>
        <w:tc>
          <w:tcPr>
            <w:tcW w:w="312" w:type="pct"/>
            <w:shd w:val="clear" w:color="auto" w:fill="auto"/>
            <w:vAlign w:val="center"/>
          </w:tcPr>
          <w:p w14:paraId="1B88F2E2"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6FDA85FD" w14:textId="77777777" w:rsidR="00AB379C" w:rsidRPr="002D6581" w:rsidRDefault="00AB379C" w:rsidP="007055F6">
            <w:pPr>
              <w:jc w:val="center"/>
              <w:rPr>
                <w:rFonts w:eastAsia="Times New Roman" w:cstheme="minorHAnsi"/>
                <w:lang w:bidi="ar-SA"/>
              </w:rPr>
            </w:pPr>
            <w:r w:rsidRPr="002D6581">
              <w:rPr>
                <w:rFonts w:cstheme="minorHAnsi"/>
              </w:rPr>
              <w:t>5</w:t>
            </w:r>
          </w:p>
        </w:tc>
        <w:tc>
          <w:tcPr>
            <w:tcW w:w="311" w:type="pct"/>
            <w:shd w:val="clear" w:color="000000" w:fill="FFFFFF"/>
            <w:vAlign w:val="center"/>
          </w:tcPr>
          <w:p w14:paraId="2D533C76" w14:textId="77777777" w:rsidR="00AB379C" w:rsidRPr="002D6581" w:rsidRDefault="00AB379C" w:rsidP="007055F6">
            <w:pPr>
              <w:jc w:val="center"/>
              <w:rPr>
                <w:rFonts w:eastAsia="Times New Roman" w:cstheme="minorHAnsi"/>
                <w:lang w:bidi="ar-SA"/>
              </w:rPr>
            </w:pPr>
            <w:r w:rsidRPr="002D6581">
              <w:rPr>
                <w:rFonts w:cstheme="minorHAnsi"/>
                <w:b/>
                <w:bCs/>
              </w:rPr>
              <w:t>0.02%</w:t>
            </w:r>
          </w:p>
        </w:tc>
        <w:tc>
          <w:tcPr>
            <w:tcW w:w="343" w:type="pct"/>
            <w:shd w:val="clear" w:color="000000" w:fill="FFFFFF"/>
            <w:vAlign w:val="center"/>
          </w:tcPr>
          <w:p w14:paraId="6D4356F4"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4B6BB18C"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7D8718B4" w14:textId="77777777" w:rsidR="00AB379C" w:rsidRPr="002D6581" w:rsidRDefault="00AB379C" w:rsidP="007055F6">
            <w:pPr>
              <w:jc w:val="center"/>
              <w:rPr>
                <w:rFonts w:eastAsia="Times New Roman" w:cstheme="minorHAnsi"/>
                <w:lang w:bidi="ar-SA"/>
              </w:rPr>
            </w:pPr>
            <w:r w:rsidRPr="002D6581">
              <w:rPr>
                <w:rFonts w:cstheme="minorHAnsi"/>
              </w:rPr>
              <w:t>0.04%</w:t>
            </w:r>
          </w:p>
        </w:tc>
        <w:tc>
          <w:tcPr>
            <w:tcW w:w="406" w:type="pct"/>
            <w:shd w:val="clear" w:color="000000" w:fill="FFFFFF"/>
            <w:vAlign w:val="center"/>
          </w:tcPr>
          <w:p w14:paraId="42CBB138"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B5A86B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AEDE38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33DB657"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5594D76" w14:textId="77777777" w:rsidTr="002D6581">
        <w:trPr>
          <w:cantSplit/>
          <w:trHeight w:val="144"/>
        </w:trPr>
        <w:tc>
          <w:tcPr>
            <w:tcW w:w="286" w:type="pct"/>
            <w:shd w:val="clear" w:color="auto" w:fill="FFFFFF" w:themeFill="background1"/>
            <w:vAlign w:val="center"/>
          </w:tcPr>
          <w:p w14:paraId="3AF03EC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2DA60F06"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Any Services Ages 13—17 years—Male</w:t>
            </w:r>
          </w:p>
        </w:tc>
        <w:tc>
          <w:tcPr>
            <w:tcW w:w="312" w:type="pct"/>
            <w:shd w:val="clear" w:color="auto" w:fill="auto"/>
            <w:vAlign w:val="center"/>
          </w:tcPr>
          <w:p w14:paraId="569B16C5"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16C5693F" w14:textId="77777777" w:rsidR="00AB379C" w:rsidRPr="002D6581" w:rsidRDefault="00AB379C" w:rsidP="007055F6">
            <w:pPr>
              <w:jc w:val="center"/>
              <w:rPr>
                <w:rFonts w:eastAsia="Times New Roman" w:cstheme="minorHAnsi"/>
                <w:lang w:bidi="ar-SA"/>
              </w:rPr>
            </w:pPr>
            <w:r w:rsidRPr="002D6581">
              <w:rPr>
                <w:rFonts w:cstheme="minorHAnsi"/>
              </w:rPr>
              <w:t>61</w:t>
            </w:r>
          </w:p>
        </w:tc>
        <w:tc>
          <w:tcPr>
            <w:tcW w:w="311" w:type="pct"/>
            <w:shd w:val="clear" w:color="000000" w:fill="FFFFFF"/>
            <w:vAlign w:val="center"/>
          </w:tcPr>
          <w:p w14:paraId="2E635C05" w14:textId="77777777" w:rsidR="00AB379C" w:rsidRPr="002D6581" w:rsidRDefault="00AB379C" w:rsidP="007055F6">
            <w:pPr>
              <w:jc w:val="center"/>
              <w:rPr>
                <w:rFonts w:eastAsia="Times New Roman" w:cstheme="minorHAnsi"/>
                <w:lang w:bidi="ar-SA"/>
              </w:rPr>
            </w:pPr>
            <w:r w:rsidRPr="002D6581">
              <w:rPr>
                <w:rFonts w:cstheme="minorHAnsi"/>
                <w:b/>
                <w:bCs/>
              </w:rPr>
              <w:t>1.15%</w:t>
            </w:r>
          </w:p>
        </w:tc>
        <w:tc>
          <w:tcPr>
            <w:tcW w:w="343" w:type="pct"/>
            <w:shd w:val="clear" w:color="000000" w:fill="FFFFFF"/>
            <w:vAlign w:val="center"/>
          </w:tcPr>
          <w:p w14:paraId="34CE0642" w14:textId="77777777" w:rsidR="00AB379C" w:rsidRPr="002D6581" w:rsidRDefault="00AB379C" w:rsidP="007055F6">
            <w:pPr>
              <w:jc w:val="center"/>
              <w:rPr>
                <w:rFonts w:eastAsia="Times New Roman" w:cstheme="minorHAnsi"/>
                <w:lang w:bidi="ar-SA"/>
              </w:rPr>
            </w:pPr>
            <w:r w:rsidRPr="002D6581">
              <w:rPr>
                <w:rFonts w:cstheme="minorHAnsi"/>
              </w:rPr>
              <w:t>1.1%</w:t>
            </w:r>
          </w:p>
        </w:tc>
        <w:tc>
          <w:tcPr>
            <w:tcW w:w="375" w:type="pct"/>
            <w:shd w:val="clear" w:color="000000" w:fill="FFFFFF"/>
            <w:vAlign w:val="center"/>
          </w:tcPr>
          <w:p w14:paraId="5ED2CEAB" w14:textId="77777777" w:rsidR="00AB379C" w:rsidRPr="002D6581" w:rsidRDefault="00AB379C" w:rsidP="007055F6">
            <w:pPr>
              <w:jc w:val="center"/>
              <w:rPr>
                <w:rFonts w:eastAsia="Times New Roman" w:cstheme="minorHAnsi"/>
                <w:lang w:bidi="ar-SA"/>
              </w:rPr>
            </w:pPr>
            <w:r w:rsidRPr="002D6581">
              <w:rPr>
                <w:rFonts w:cstheme="minorHAnsi"/>
              </w:rPr>
              <w:t>1.2%</w:t>
            </w:r>
          </w:p>
        </w:tc>
        <w:tc>
          <w:tcPr>
            <w:tcW w:w="405" w:type="pct"/>
            <w:shd w:val="clear" w:color="000000" w:fill="FFFFFF"/>
            <w:vAlign w:val="center"/>
          </w:tcPr>
          <w:p w14:paraId="584F54E7" w14:textId="77777777" w:rsidR="00AB379C" w:rsidRPr="002D6581" w:rsidRDefault="00AB379C" w:rsidP="007055F6">
            <w:pPr>
              <w:jc w:val="center"/>
              <w:rPr>
                <w:rFonts w:eastAsia="Times New Roman" w:cstheme="minorHAnsi"/>
                <w:lang w:bidi="ar-SA"/>
              </w:rPr>
            </w:pPr>
            <w:r w:rsidRPr="002D6581">
              <w:rPr>
                <w:rFonts w:cstheme="minorHAnsi"/>
              </w:rPr>
              <w:t>1.15%</w:t>
            </w:r>
          </w:p>
        </w:tc>
        <w:tc>
          <w:tcPr>
            <w:tcW w:w="406" w:type="pct"/>
            <w:shd w:val="clear" w:color="000000" w:fill="FFFFFF"/>
            <w:vAlign w:val="center"/>
          </w:tcPr>
          <w:p w14:paraId="76791980"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ED43FC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4FA0A8D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17AF6C2"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5D3F35E0" w14:textId="77777777" w:rsidTr="002D6581">
        <w:trPr>
          <w:cantSplit/>
          <w:trHeight w:val="144"/>
        </w:trPr>
        <w:tc>
          <w:tcPr>
            <w:tcW w:w="286" w:type="pct"/>
            <w:shd w:val="clear" w:color="auto" w:fill="FFFFFF" w:themeFill="background1"/>
            <w:vAlign w:val="center"/>
          </w:tcPr>
          <w:p w14:paraId="0DFD91AB"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3CA12E1"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Any Services Ages 13—17 years—Female</w:t>
            </w:r>
          </w:p>
        </w:tc>
        <w:tc>
          <w:tcPr>
            <w:tcW w:w="312" w:type="pct"/>
            <w:shd w:val="clear" w:color="auto" w:fill="auto"/>
            <w:vAlign w:val="center"/>
          </w:tcPr>
          <w:p w14:paraId="0A431FB4"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4C23E753" w14:textId="77777777" w:rsidR="00AB379C" w:rsidRPr="002D6581" w:rsidRDefault="00AB379C" w:rsidP="007055F6">
            <w:pPr>
              <w:jc w:val="center"/>
              <w:rPr>
                <w:rFonts w:eastAsia="Times New Roman" w:cstheme="minorHAnsi"/>
                <w:lang w:bidi="ar-SA"/>
              </w:rPr>
            </w:pPr>
            <w:r w:rsidRPr="002D6581">
              <w:rPr>
                <w:rFonts w:cstheme="minorHAnsi"/>
              </w:rPr>
              <w:t>63</w:t>
            </w:r>
          </w:p>
        </w:tc>
        <w:tc>
          <w:tcPr>
            <w:tcW w:w="311" w:type="pct"/>
            <w:shd w:val="clear" w:color="000000" w:fill="FFFFFF"/>
            <w:vAlign w:val="center"/>
          </w:tcPr>
          <w:p w14:paraId="186E3811" w14:textId="77777777" w:rsidR="00AB379C" w:rsidRPr="002D6581" w:rsidRDefault="00AB379C" w:rsidP="007055F6">
            <w:pPr>
              <w:jc w:val="center"/>
              <w:rPr>
                <w:rFonts w:eastAsia="Times New Roman" w:cstheme="minorHAnsi"/>
                <w:lang w:bidi="ar-SA"/>
              </w:rPr>
            </w:pPr>
            <w:r w:rsidRPr="002D6581">
              <w:rPr>
                <w:rFonts w:cstheme="minorHAnsi"/>
                <w:b/>
                <w:bCs/>
              </w:rPr>
              <w:t>1.18%</w:t>
            </w:r>
          </w:p>
        </w:tc>
        <w:tc>
          <w:tcPr>
            <w:tcW w:w="343" w:type="pct"/>
            <w:shd w:val="clear" w:color="000000" w:fill="FFFFFF"/>
            <w:vAlign w:val="center"/>
          </w:tcPr>
          <w:p w14:paraId="5769A0A4" w14:textId="77777777" w:rsidR="00AB379C" w:rsidRPr="002D6581" w:rsidRDefault="00AB379C" w:rsidP="007055F6">
            <w:pPr>
              <w:jc w:val="center"/>
              <w:rPr>
                <w:rFonts w:eastAsia="Times New Roman" w:cstheme="minorHAnsi"/>
                <w:lang w:bidi="ar-SA"/>
              </w:rPr>
            </w:pPr>
            <w:r w:rsidRPr="002D6581">
              <w:rPr>
                <w:rFonts w:cstheme="minorHAnsi"/>
              </w:rPr>
              <w:t>1.1%</w:t>
            </w:r>
          </w:p>
        </w:tc>
        <w:tc>
          <w:tcPr>
            <w:tcW w:w="375" w:type="pct"/>
            <w:shd w:val="clear" w:color="000000" w:fill="FFFFFF"/>
            <w:vAlign w:val="center"/>
          </w:tcPr>
          <w:p w14:paraId="0A44A3D3" w14:textId="77777777" w:rsidR="00AB379C" w:rsidRPr="002D6581" w:rsidRDefault="00AB379C" w:rsidP="007055F6">
            <w:pPr>
              <w:jc w:val="center"/>
              <w:rPr>
                <w:rFonts w:eastAsia="Times New Roman" w:cstheme="minorHAnsi"/>
                <w:lang w:bidi="ar-SA"/>
              </w:rPr>
            </w:pPr>
            <w:r w:rsidRPr="002D6581">
              <w:rPr>
                <w:rFonts w:cstheme="minorHAnsi"/>
              </w:rPr>
              <w:t>1.3%</w:t>
            </w:r>
          </w:p>
        </w:tc>
        <w:tc>
          <w:tcPr>
            <w:tcW w:w="405" w:type="pct"/>
            <w:shd w:val="clear" w:color="000000" w:fill="FFFFFF"/>
            <w:vAlign w:val="center"/>
          </w:tcPr>
          <w:p w14:paraId="064D8CE1" w14:textId="77777777" w:rsidR="00AB379C" w:rsidRPr="002D6581" w:rsidRDefault="00AB379C" w:rsidP="007055F6">
            <w:pPr>
              <w:jc w:val="center"/>
              <w:rPr>
                <w:rFonts w:eastAsia="Times New Roman" w:cstheme="minorHAnsi"/>
                <w:lang w:bidi="ar-SA"/>
              </w:rPr>
            </w:pPr>
            <w:r w:rsidRPr="002D6581">
              <w:rPr>
                <w:rFonts w:cstheme="minorHAnsi"/>
              </w:rPr>
              <w:t>1.00%</w:t>
            </w:r>
          </w:p>
        </w:tc>
        <w:tc>
          <w:tcPr>
            <w:tcW w:w="406" w:type="pct"/>
            <w:shd w:val="clear" w:color="000000" w:fill="FFFFFF"/>
            <w:vAlign w:val="center"/>
          </w:tcPr>
          <w:p w14:paraId="68224231"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552435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FED5B6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FD79A1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DB727AF" w14:textId="77777777" w:rsidTr="002D6581">
        <w:trPr>
          <w:cantSplit/>
          <w:trHeight w:val="144"/>
        </w:trPr>
        <w:tc>
          <w:tcPr>
            <w:tcW w:w="286" w:type="pct"/>
            <w:shd w:val="clear" w:color="auto" w:fill="FFFFFF" w:themeFill="background1"/>
            <w:vAlign w:val="center"/>
          </w:tcPr>
          <w:p w14:paraId="5D02C431"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E2D6244"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Any Services Ages 13—17 years—Total Rate</w:t>
            </w:r>
          </w:p>
        </w:tc>
        <w:tc>
          <w:tcPr>
            <w:tcW w:w="312" w:type="pct"/>
            <w:shd w:val="clear" w:color="auto" w:fill="auto"/>
            <w:vAlign w:val="center"/>
          </w:tcPr>
          <w:p w14:paraId="3E1FBC12"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627ED18F" w14:textId="77777777" w:rsidR="00AB379C" w:rsidRPr="002D6581" w:rsidRDefault="00AB379C" w:rsidP="007055F6">
            <w:pPr>
              <w:jc w:val="center"/>
              <w:rPr>
                <w:rFonts w:eastAsia="Times New Roman" w:cstheme="minorHAnsi"/>
                <w:lang w:bidi="ar-SA"/>
              </w:rPr>
            </w:pPr>
            <w:r w:rsidRPr="002D6581">
              <w:rPr>
                <w:rFonts w:cstheme="minorHAnsi"/>
              </w:rPr>
              <w:t>124</w:t>
            </w:r>
          </w:p>
        </w:tc>
        <w:tc>
          <w:tcPr>
            <w:tcW w:w="311" w:type="pct"/>
            <w:shd w:val="clear" w:color="000000" w:fill="FFFFFF"/>
            <w:vAlign w:val="center"/>
          </w:tcPr>
          <w:p w14:paraId="363A3EAE" w14:textId="77777777" w:rsidR="00AB379C" w:rsidRPr="002D6581" w:rsidRDefault="00AB379C" w:rsidP="007055F6">
            <w:pPr>
              <w:jc w:val="center"/>
              <w:rPr>
                <w:rFonts w:eastAsia="Times New Roman" w:cstheme="minorHAnsi"/>
                <w:lang w:bidi="ar-SA"/>
              </w:rPr>
            </w:pPr>
            <w:r w:rsidRPr="002D6581">
              <w:rPr>
                <w:rFonts w:cstheme="minorHAnsi"/>
                <w:b/>
                <w:bCs/>
              </w:rPr>
              <w:t>1.16%</w:t>
            </w:r>
          </w:p>
        </w:tc>
        <w:tc>
          <w:tcPr>
            <w:tcW w:w="343" w:type="pct"/>
            <w:shd w:val="clear" w:color="000000" w:fill="FFFFFF"/>
            <w:vAlign w:val="center"/>
          </w:tcPr>
          <w:p w14:paraId="738369FB" w14:textId="77777777" w:rsidR="00AB379C" w:rsidRPr="002D6581" w:rsidRDefault="00AB379C" w:rsidP="007055F6">
            <w:pPr>
              <w:jc w:val="center"/>
              <w:rPr>
                <w:rFonts w:eastAsia="Times New Roman" w:cstheme="minorHAnsi"/>
                <w:lang w:bidi="ar-SA"/>
              </w:rPr>
            </w:pPr>
            <w:r w:rsidRPr="002D6581">
              <w:rPr>
                <w:rFonts w:cstheme="minorHAnsi"/>
              </w:rPr>
              <w:t>1.1%</w:t>
            </w:r>
          </w:p>
        </w:tc>
        <w:tc>
          <w:tcPr>
            <w:tcW w:w="375" w:type="pct"/>
            <w:shd w:val="clear" w:color="000000" w:fill="FFFFFF"/>
            <w:vAlign w:val="center"/>
          </w:tcPr>
          <w:p w14:paraId="1385BB0C" w14:textId="77777777" w:rsidR="00AB379C" w:rsidRPr="002D6581" w:rsidRDefault="00AB379C" w:rsidP="007055F6">
            <w:pPr>
              <w:jc w:val="center"/>
              <w:rPr>
                <w:rFonts w:eastAsia="Times New Roman" w:cstheme="minorHAnsi"/>
                <w:lang w:bidi="ar-SA"/>
              </w:rPr>
            </w:pPr>
            <w:r w:rsidRPr="002D6581">
              <w:rPr>
                <w:rFonts w:cstheme="minorHAnsi"/>
              </w:rPr>
              <w:t>1.2%</w:t>
            </w:r>
          </w:p>
        </w:tc>
        <w:tc>
          <w:tcPr>
            <w:tcW w:w="405" w:type="pct"/>
            <w:shd w:val="clear" w:color="000000" w:fill="FFFFFF"/>
            <w:vAlign w:val="center"/>
          </w:tcPr>
          <w:p w14:paraId="0C656E64" w14:textId="77777777" w:rsidR="00AB379C" w:rsidRPr="002D6581" w:rsidRDefault="00AB379C" w:rsidP="007055F6">
            <w:pPr>
              <w:jc w:val="center"/>
              <w:rPr>
                <w:rFonts w:eastAsia="Times New Roman" w:cstheme="minorHAnsi"/>
                <w:lang w:bidi="ar-SA"/>
              </w:rPr>
            </w:pPr>
            <w:r w:rsidRPr="002D6581">
              <w:rPr>
                <w:rFonts w:cstheme="minorHAnsi"/>
              </w:rPr>
              <w:t>1.07%</w:t>
            </w:r>
          </w:p>
        </w:tc>
        <w:tc>
          <w:tcPr>
            <w:tcW w:w="406" w:type="pct"/>
            <w:shd w:val="clear" w:color="000000" w:fill="FFFFFF"/>
            <w:vAlign w:val="center"/>
          </w:tcPr>
          <w:p w14:paraId="2A489A31"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3E50158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157B49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3CB6D932"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21C23A5" w14:textId="77777777" w:rsidTr="002D6581">
        <w:trPr>
          <w:cantSplit/>
          <w:trHeight w:val="144"/>
        </w:trPr>
        <w:tc>
          <w:tcPr>
            <w:tcW w:w="286" w:type="pct"/>
            <w:shd w:val="clear" w:color="auto" w:fill="FFFFFF" w:themeFill="background1"/>
            <w:vAlign w:val="center"/>
          </w:tcPr>
          <w:p w14:paraId="067A3A39"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A18416D"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Inpatient Ages 0—12 years—Male</w:t>
            </w:r>
          </w:p>
        </w:tc>
        <w:tc>
          <w:tcPr>
            <w:tcW w:w="312" w:type="pct"/>
            <w:shd w:val="clear" w:color="auto" w:fill="auto"/>
            <w:vAlign w:val="center"/>
          </w:tcPr>
          <w:p w14:paraId="2F92A639"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27FFB851" w14:textId="77777777" w:rsidR="00AB379C" w:rsidRPr="002D6581" w:rsidRDefault="00AB379C" w:rsidP="007055F6">
            <w:pPr>
              <w:jc w:val="center"/>
              <w:rPr>
                <w:rFonts w:eastAsia="Times New Roman" w:cstheme="minorHAnsi"/>
                <w:lang w:bidi="ar-SA"/>
              </w:rPr>
            </w:pPr>
            <w:r w:rsidRPr="002D6581">
              <w:rPr>
                <w:rFonts w:cstheme="minorHAnsi"/>
              </w:rPr>
              <w:t>1</w:t>
            </w:r>
          </w:p>
        </w:tc>
        <w:tc>
          <w:tcPr>
            <w:tcW w:w="311" w:type="pct"/>
            <w:shd w:val="clear" w:color="000000" w:fill="FFFFFF"/>
            <w:vAlign w:val="center"/>
          </w:tcPr>
          <w:p w14:paraId="184ECC93" w14:textId="77777777" w:rsidR="00AB379C" w:rsidRPr="002D6581" w:rsidRDefault="00AB379C" w:rsidP="007055F6">
            <w:pPr>
              <w:jc w:val="center"/>
              <w:rPr>
                <w:rFonts w:eastAsia="Times New Roman" w:cstheme="minorHAnsi"/>
                <w:lang w:bidi="ar-SA"/>
              </w:rPr>
            </w:pPr>
            <w:r w:rsidRPr="002D6581">
              <w:rPr>
                <w:rFonts w:cstheme="minorHAnsi"/>
                <w:b/>
                <w:bCs/>
              </w:rPr>
              <w:t>0.01%</w:t>
            </w:r>
          </w:p>
        </w:tc>
        <w:tc>
          <w:tcPr>
            <w:tcW w:w="343" w:type="pct"/>
            <w:shd w:val="clear" w:color="000000" w:fill="FFFFFF"/>
            <w:vAlign w:val="center"/>
          </w:tcPr>
          <w:p w14:paraId="220AF261"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190137F3"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5ECC2E68" w14:textId="77777777" w:rsidR="00AB379C" w:rsidRPr="002D6581" w:rsidRDefault="00AB379C" w:rsidP="007055F6">
            <w:pPr>
              <w:jc w:val="center"/>
              <w:rPr>
                <w:rFonts w:eastAsia="Times New Roman" w:cstheme="minorHAnsi"/>
                <w:lang w:bidi="ar-SA"/>
              </w:rPr>
            </w:pPr>
            <w:r w:rsidRPr="002D6581">
              <w:rPr>
                <w:rFonts w:cstheme="minorHAnsi"/>
              </w:rPr>
              <w:t>0.02%</w:t>
            </w:r>
          </w:p>
        </w:tc>
        <w:tc>
          <w:tcPr>
            <w:tcW w:w="406" w:type="pct"/>
            <w:shd w:val="clear" w:color="000000" w:fill="FFFFFF"/>
            <w:vAlign w:val="center"/>
          </w:tcPr>
          <w:p w14:paraId="5A1D3069"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CD703D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4FBA09F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F1D4CE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145ACDF" w14:textId="77777777" w:rsidTr="002D6581">
        <w:trPr>
          <w:cantSplit/>
          <w:trHeight w:val="144"/>
        </w:trPr>
        <w:tc>
          <w:tcPr>
            <w:tcW w:w="286" w:type="pct"/>
            <w:shd w:val="clear" w:color="auto" w:fill="FFFFFF" w:themeFill="background1"/>
            <w:vAlign w:val="center"/>
          </w:tcPr>
          <w:p w14:paraId="5C902FBB"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2283FB04"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Inpatient Ages 0—12 years—Female</w:t>
            </w:r>
          </w:p>
        </w:tc>
        <w:tc>
          <w:tcPr>
            <w:tcW w:w="312" w:type="pct"/>
            <w:shd w:val="clear" w:color="auto" w:fill="auto"/>
            <w:vAlign w:val="center"/>
          </w:tcPr>
          <w:p w14:paraId="3C419960"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3BA5D84F"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64681FC5" w14:textId="77777777" w:rsidR="00AB379C" w:rsidRPr="002D6581" w:rsidRDefault="00AB379C" w:rsidP="007055F6">
            <w:pPr>
              <w:jc w:val="center"/>
              <w:rPr>
                <w:rFonts w:eastAsia="Times New Roman" w:cstheme="minorHAnsi"/>
                <w:lang w:bidi="ar-SA"/>
              </w:rPr>
            </w:pPr>
            <w:r w:rsidRPr="002D6581">
              <w:rPr>
                <w:rFonts w:cstheme="minorHAnsi"/>
                <w:b/>
                <w:bCs/>
              </w:rPr>
              <w:t>0.00%</w:t>
            </w:r>
          </w:p>
        </w:tc>
        <w:tc>
          <w:tcPr>
            <w:tcW w:w="343" w:type="pct"/>
            <w:shd w:val="clear" w:color="000000" w:fill="FFFFFF"/>
            <w:vAlign w:val="center"/>
          </w:tcPr>
          <w:p w14:paraId="0997B6F0"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1C51DE05"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0BBF2E93"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406A7F31"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509E40B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2254BA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BD40EB9"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B9D55CE" w14:textId="77777777" w:rsidTr="002D6581">
        <w:trPr>
          <w:cantSplit/>
          <w:trHeight w:val="144"/>
        </w:trPr>
        <w:tc>
          <w:tcPr>
            <w:tcW w:w="286" w:type="pct"/>
            <w:shd w:val="clear" w:color="auto" w:fill="FFFFFF" w:themeFill="background1"/>
            <w:vAlign w:val="center"/>
          </w:tcPr>
          <w:p w14:paraId="09059C70"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74F3BB8"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Inpatient Ages 0—12 years—Total Rate</w:t>
            </w:r>
          </w:p>
        </w:tc>
        <w:tc>
          <w:tcPr>
            <w:tcW w:w="312" w:type="pct"/>
            <w:shd w:val="clear" w:color="auto" w:fill="auto"/>
            <w:vAlign w:val="center"/>
          </w:tcPr>
          <w:p w14:paraId="75B2E32C"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6AC20D50" w14:textId="77777777" w:rsidR="00AB379C" w:rsidRPr="002D6581" w:rsidRDefault="00AB379C" w:rsidP="007055F6">
            <w:pPr>
              <w:jc w:val="center"/>
              <w:rPr>
                <w:rFonts w:eastAsia="Times New Roman" w:cstheme="minorHAnsi"/>
                <w:lang w:bidi="ar-SA"/>
              </w:rPr>
            </w:pPr>
            <w:r w:rsidRPr="002D6581">
              <w:rPr>
                <w:rFonts w:cstheme="minorHAnsi"/>
              </w:rPr>
              <w:t>1</w:t>
            </w:r>
          </w:p>
        </w:tc>
        <w:tc>
          <w:tcPr>
            <w:tcW w:w="311" w:type="pct"/>
            <w:shd w:val="clear" w:color="000000" w:fill="FFFFFF"/>
            <w:vAlign w:val="center"/>
          </w:tcPr>
          <w:p w14:paraId="3185997E" w14:textId="77777777" w:rsidR="00AB379C" w:rsidRPr="002D6581" w:rsidRDefault="00AB379C" w:rsidP="007055F6">
            <w:pPr>
              <w:jc w:val="center"/>
              <w:rPr>
                <w:rFonts w:eastAsia="Times New Roman" w:cstheme="minorHAnsi"/>
                <w:lang w:bidi="ar-SA"/>
              </w:rPr>
            </w:pPr>
            <w:r w:rsidRPr="002D6581">
              <w:rPr>
                <w:rFonts w:cstheme="minorHAnsi"/>
                <w:b/>
                <w:bCs/>
              </w:rPr>
              <w:t>0.00%</w:t>
            </w:r>
          </w:p>
        </w:tc>
        <w:tc>
          <w:tcPr>
            <w:tcW w:w="343" w:type="pct"/>
            <w:shd w:val="clear" w:color="000000" w:fill="FFFFFF"/>
            <w:vAlign w:val="center"/>
          </w:tcPr>
          <w:p w14:paraId="6D5E5209"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567E0640"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3BC29D24" w14:textId="77777777" w:rsidR="00AB379C" w:rsidRPr="002D6581" w:rsidRDefault="00AB379C" w:rsidP="007055F6">
            <w:pPr>
              <w:jc w:val="center"/>
              <w:rPr>
                <w:rFonts w:eastAsia="Times New Roman" w:cstheme="minorHAnsi"/>
                <w:lang w:bidi="ar-SA"/>
              </w:rPr>
            </w:pPr>
            <w:r w:rsidRPr="002D6581">
              <w:rPr>
                <w:rFonts w:cstheme="minorHAnsi"/>
              </w:rPr>
              <w:t>0.01%</w:t>
            </w:r>
          </w:p>
        </w:tc>
        <w:tc>
          <w:tcPr>
            <w:tcW w:w="406" w:type="pct"/>
            <w:shd w:val="clear" w:color="000000" w:fill="FFFFFF"/>
            <w:vAlign w:val="center"/>
          </w:tcPr>
          <w:p w14:paraId="34134A64"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6319AFC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B7929C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24491E2"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BF787B1" w14:textId="77777777" w:rsidTr="002D6581">
        <w:trPr>
          <w:cantSplit/>
          <w:trHeight w:val="144"/>
        </w:trPr>
        <w:tc>
          <w:tcPr>
            <w:tcW w:w="286" w:type="pct"/>
            <w:shd w:val="clear" w:color="auto" w:fill="FFFFFF" w:themeFill="background1"/>
            <w:vAlign w:val="center"/>
          </w:tcPr>
          <w:p w14:paraId="1DF19D59"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92E2D2E"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Inpatient Ages 13—17 years—Male</w:t>
            </w:r>
          </w:p>
        </w:tc>
        <w:tc>
          <w:tcPr>
            <w:tcW w:w="312" w:type="pct"/>
            <w:shd w:val="clear" w:color="auto" w:fill="auto"/>
            <w:vAlign w:val="center"/>
          </w:tcPr>
          <w:p w14:paraId="5B883359"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1326BDEB" w14:textId="77777777" w:rsidR="00AB379C" w:rsidRPr="002D6581" w:rsidRDefault="00AB379C" w:rsidP="007055F6">
            <w:pPr>
              <w:jc w:val="center"/>
              <w:rPr>
                <w:rFonts w:eastAsia="Times New Roman" w:cstheme="minorHAnsi"/>
                <w:lang w:bidi="ar-SA"/>
              </w:rPr>
            </w:pPr>
            <w:r w:rsidRPr="002D6581">
              <w:rPr>
                <w:rFonts w:cstheme="minorHAnsi"/>
              </w:rPr>
              <w:t>12</w:t>
            </w:r>
          </w:p>
        </w:tc>
        <w:tc>
          <w:tcPr>
            <w:tcW w:w="311" w:type="pct"/>
            <w:shd w:val="clear" w:color="000000" w:fill="FFFFFF"/>
            <w:vAlign w:val="center"/>
          </w:tcPr>
          <w:p w14:paraId="50509904" w14:textId="77777777" w:rsidR="00AB379C" w:rsidRPr="002D6581" w:rsidRDefault="00AB379C" w:rsidP="007055F6">
            <w:pPr>
              <w:jc w:val="center"/>
              <w:rPr>
                <w:rFonts w:eastAsia="Times New Roman" w:cstheme="minorHAnsi"/>
                <w:lang w:bidi="ar-SA"/>
              </w:rPr>
            </w:pPr>
            <w:r w:rsidRPr="002D6581">
              <w:rPr>
                <w:rFonts w:cstheme="minorHAnsi"/>
                <w:b/>
                <w:bCs/>
              </w:rPr>
              <w:t>0.23%</w:t>
            </w:r>
          </w:p>
        </w:tc>
        <w:tc>
          <w:tcPr>
            <w:tcW w:w="343" w:type="pct"/>
            <w:shd w:val="clear" w:color="000000" w:fill="FFFFFF"/>
            <w:vAlign w:val="center"/>
          </w:tcPr>
          <w:p w14:paraId="3F0B1495"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375" w:type="pct"/>
            <w:shd w:val="clear" w:color="000000" w:fill="FFFFFF"/>
            <w:vAlign w:val="center"/>
          </w:tcPr>
          <w:p w14:paraId="272161B6" w14:textId="77777777" w:rsidR="00AB379C" w:rsidRPr="002D6581" w:rsidRDefault="00AB379C" w:rsidP="007055F6">
            <w:pPr>
              <w:jc w:val="center"/>
              <w:rPr>
                <w:rFonts w:eastAsia="Times New Roman" w:cstheme="minorHAnsi"/>
                <w:lang w:bidi="ar-SA"/>
              </w:rPr>
            </w:pPr>
            <w:r w:rsidRPr="002D6581">
              <w:rPr>
                <w:rFonts w:cstheme="minorHAnsi"/>
              </w:rPr>
              <w:t>0.3%</w:t>
            </w:r>
          </w:p>
        </w:tc>
        <w:tc>
          <w:tcPr>
            <w:tcW w:w="405" w:type="pct"/>
            <w:shd w:val="clear" w:color="000000" w:fill="FFFFFF"/>
            <w:vAlign w:val="center"/>
          </w:tcPr>
          <w:p w14:paraId="46AE44D4" w14:textId="77777777" w:rsidR="00AB379C" w:rsidRPr="002D6581" w:rsidRDefault="00AB379C" w:rsidP="007055F6">
            <w:pPr>
              <w:jc w:val="center"/>
              <w:rPr>
                <w:rFonts w:eastAsia="Times New Roman" w:cstheme="minorHAnsi"/>
                <w:lang w:bidi="ar-SA"/>
              </w:rPr>
            </w:pPr>
            <w:r w:rsidRPr="002D6581">
              <w:rPr>
                <w:rFonts w:cstheme="minorHAnsi"/>
              </w:rPr>
              <w:t>0.33%</w:t>
            </w:r>
          </w:p>
        </w:tc>
        <w:tc>
          <w:tcPr>
            <w:tcW w:w="406" w:type="pct"/>
            <w:shd w:val="clear" w:color="000000" w:fill="FFFFFF"/>
            <w:vAlign w:val="center"/>
          </w:tcPr>
          <w:p w14:paraId="26935E52"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7E96397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426931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36E5E10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CC6AC28" w14:textId="77777777" w:rsidTr="002D6581">
        <w:trPr>
          <w:cantSplit/>
          <w:trHeight w:val="144"/>
        </w:trPr>
        <w:tc>
          <w:tcPr>
            <w:tcW w:w="286" w:type="pct"/>
            <w:shd w:val="clear" w:color="auto" w:fill="FFFFFF" w:themeFill="background1"/>
            <w:vAlign w:val="center"/>
          </w:tcPr>
          <w:p w14:paraId="521D4E3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94E87AB"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Inpatient Ages 13—17 years—Female</w:t>
            </w:r>
          </w:p>
        </w:tc>
        <w:tc>
          <w:tcPr>
            <w:tcW w:w="312" w:type="pct"/>
            <w:shd w:val="clear" w:color="auto" w:fill="auto"/>
            <w:vAlign w:val="center"/>
          </w:tcPr>
          <w:p w14:paraId="64B79657"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720F8508" w14:textId="77777777" w:rsidR="00AB379C" w:rsidRPr="002D6581" w:rsidRDefault="00AB379C" w:rsidP="007055F6">
            <w:pPr>
              <w:jc w:val="center"/>
              <w:rPr>
                <w:rFonts w:eastAsia="Times New Roman" w:cstheme="minorHAnsi"/>
                <w:lang w:bidi="ar-SA"/>
              </w:rPr>
            </w:pPr>
            <w:r w:rsidRPr="002D6581">
              <w:rPr>
                <w:rFonts w:cstheme="minorHAnsi"/>
              </w:rPr>
              <w:t>20</w:t>
            </w:r>
          </w:p>
        </w:tc>
        <w:tc>
          <w:tcPr>
            <w:tcW w:w="311" w:type="pct"/>
            <w:shd w:val="clear" w:color="000000" w:fill="FFFFFF"/>
            <w:vAlign w:val="center"/>
          </w:tcPr>
          <w:p w14:paraId="586F86A8" w14:textId="77777777" w:rsidR="00AB379C" w:rsidRPr="002D6581" w:rsidRDefault="00AB379C" w:rsidP="007055F6">
            <w:pPr>
              <w:jc w:val="center"/>
              <w:rPr>
                <w:rFonts w:eastAsia="Times New Roman" w:cstheme="minorHAnsi"/>
                <w:lang w:bidi="ar-SA"/>
              </w:rPr>
            </w:pPr>
            <w:r w:rsidRPr="002D6581">
              <w:rPr>
                <w:rFonts w:cstheme="minorHAnsi"/>
                <w:b/>
                <w:bCs/>
              </w:rPr>
              <w:t>0.37%</w:t>
            </w:r>
          </w:p>
        </w:tc>
        <w:tc>
          <w:tcPr>
            <w:tcW w:w="343" w:type="pct"/>
            <w:shd w:val="clear" w:color="000000" w:fill="FFFFFF"/>
            <w:vAlign w:val="center"/>
          </w:tcPr>
          <w:p w14:paraId="498DB385" w14:textId="77777777" w:rsidR="00AB379C" w:rsidRPr="002D6581" w:rsidRDefault="00AB379C" w:rsidP="007055F6">
            <w:pPr>
              <w:jc w:val="center"/>
              <w:rPr>
                <w:rFonts w:eastAsia="Times New Roman" w:cstheme="minorHAnsi"/>
                <w:lang w:bidi="ar-SA"/>
              </w:rPr>
            </w:pPr>
            <w:r w:rsidRPr="002D6581">
              <w:rPr>
                <w:rFonts w:cstheme="minorHAnsi"/>
              </w:rPr>
              <w:t>0.3%</w:t>
            </w:r>
          </w:p>
        </w:tc>
        <w:tc>
          <w:tcPr>
            <w:tcW w:w="375" w:type="pct"/>
            <w:shd w:val="clear" w:color="000000" w:fill="FFFFFF"/>
            <w:vAlign w:val="center"/>
          </w:tcPr>
          <w:p w14:paraId="5C2CE303" w14:textId="77777777" w:rsidR="00AB379C" w:rsidRPr="002D6581" w:rsidRDefault="00AB379C" w:rsidP="007055F6">
            <w:pPr>
              <w:jc w:val="center"/>
              <w:rPr>
                <w:rFonts w:eastAsia="Times New Roman" w:cstheme="minorHAnsi"/>
                <w:lang w:bidi="ar-SA"/>
              </w:rPr>
            </w:pPr>
            <w:r w:rsidRPr="002D6581">
              <w:rPr>
                <w:rFonts w:cstheme="minorHAnsi"/>
              </w:rPr>
              <w:t>0.4%</w:t>
            </w:r>
          </w:p>
        </w:tc>
        <w:tc>
          <w:tcPr>
            <w:tcW w:w="405" w:type="pct"/>
            <w:shd w:val="clear" w:color="000000" w:fill="FFFFFF"/>
            <w:vAlign w:val="center"/>
          </w:tcPr>
          <w:p w14:paraId="410DC0EF" w14:textId="77777777" w:rsidR="00AB379C" w:rsidRPr="002D6581" w:rsidRDefault="00AB379C" w:rsidP="007055F6">
            <w:pPr>
              <w:jc w:val="center"/>
              <w:rPr>
                <w:rFonts w:eastAsia="Times New Roman" w:cstheme="minorHAnsi"/>
                <w:lang w:bidi="ar-SA"/>
              </w:rPr>
            </w:pPr>
            <w:r w:rsidRPr="002D6581">
              <w:rPr>
                <w:rFonts w:cstheme="minorHAnsi"/>
              </w:rPr>
              <w:t>0.29%</w:t>
            </w:r>
          </w:p>
        </w:tc>
        <w:tc>
          <w:tcPr>
            <w:tcW w:w="406" w:type="pct"/>
            <w:shd w:val="clear" w:color="000000" w:fill="FFFFFF"/>
            <w:vAlign w:val="center"/>
          </w:tcPr>
          <w:p w14:paraId="47AF584E"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CDB8D1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DC1772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2045F3F"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92B940F" w14:textId="77777777" w:rsidTr="002D6581">
        <w:trPr>
          <w:cantSplit/>
          <w:trHeight w:val="144"/>
        </w:trPr>
        <w:tc>
          <w:tcPr>
            <w:tcW w:w="286" w:type="pct"/>
            <w:shd w:val="clear" w:color="auto" w:fill="FFFFFF" w:themeFill="background1"/>
            <w:vAlign w:val="center"/>
          </w:tcPr>
          <w:p w14:paraId="6CC7642E"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85B2DF9"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Inpatient Ages 13—17 years—Total Rate</w:t>
            </w:r>
          </w:p>
        </w:tc>
        <w:tc>
          <w:tcPr>
            <w:tcW w:w="312" w:type="pct"/>
            <w:shd w:val="clear" w:color="auto" w:fill="auto"/>
            <w:vAlign w:val="center"/>
          </w:tcPr>
          <w:p w14:paraId="1CFF8DA3"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12E97A70" w14:textId="77777777" w:rsidR="00AB379C" w:rsidRPr="002D6581" w:rsidRDefault="00AB379C" w:rsidP="007055F6">
            <w:pPr>
              <w:jc w:val="center"/>
              <w:rPr>
                <w:rFonts w:eastAsia="Times New Roman" w:cstheme="minorHAnsi"/>
                <w:lang w:bidi="ar-SA"/>
              </w:rPr>
            </w:pPr>
            <w:r w:rsidRPr="002D6581">
              <w:rPr>
                <w:rFonts w:cstheme="minorHAnsi"/>
              </w:rPr>
              <w:t>32</w:t>
            </w:r>
          </w:p>
        </w:tc>
        <w:tc>
          <w:tcPr>
            <w:tcW w:w="311" w:type="pct"/>
            <w:shd w:val="clear" w:color="000000" w:fill="FFFFFF"/>
            <w:vAlign w:val="center"/>
          </w:tcPr>
          <w:p w14:paraId="220AD476" w14:textId="77777777" w:rsidR="00AB379C" w:rsidRPr="002D6581" w:rsidRDefault="00AB379C" w:rsidP="007055F6">
            <w:pPr>
              <w:jc w:val="center"/>
              <w:rPr>
                <w:rFonts w:eastAsia="Times New Roman" w:cstheme="minorHAnsi"/>
                <w:lang w:bidi="ar-SA"/>
              </w:rPr>
            </w:pPr>
            <w:r w:rsidRPr="002D6581">
              <w:rPr>
                <w:rFonts w:cstheme="minorHAnsi"/>
                <w:b/>
                <w:bCs/>
              </w:rPr>
              <w:t>0.30%</w:t>
            </w:r>
          </w:p>
        </w:tc>
        <w:tc>
          <w:tcPr>
            <w:tcW w:w="343" w:type="pct"/>
            <w:shd w:val="clear" w:color="000000" w:fill="FFFFFF"/>
            <w:vAlign w:val="center"/>
          </w:tcPr>
          <w:p w14:paraId="14856812" w14:textId="77777777" w:rsidR="00AB379C" w:rsidRPr="002D6581" w:rsidRDefault="00AB379C" w:rsidP="007055F6">
            <w:pPr>
              <w:jc w:val="center"/>
              <w:rPr>
                <w:rFonts w:eastAsia="Times New Roman" w:cstheme="minorHAnsi"/>
                <w:lang w:bidi="ar-SA"/>
              </w:rPr>
            </w:pPr>
            <w:r w:rsidRPr="002D6581">
              <w:rPr>
                <w:rFonts w:cstheme="minorHAnsi"/>
              </w:rPr>
              <w:t>0.3%</w:t>
            </w:r>
          </w:p>
        </w:tc>
        <w:tc>
          <w:tcPr>
            <w:tcW w:w="375" w:type="pct"/>
            <w:shd w:val="clear" w:color="000000" w:fill="FFFFFF"/>
            <w:vAlign w:val="center"/>
          </w:tcPr>
          <w:p w14:paraId="5CF62CAA" w14:textId="77777777" w:rsidR="00AB379C" w:rsidRPr="002D6581" w:rsidRDefault="00AB379C" w:rsidP="007055F6">
            <w:pPr>
              <w:jc w:val="center"/>
              <w:rPr>
                <w:rFonts w:eastAsia="Times New Roman" w:cstheme="minorHAnsi"/>
                <w:lang w:bidi="ar-SA"/>
              </w:rPr>
            </w:pPr>
            <w:r w:rsidRPr="002D6581">
              <w:rPr>
                <w:rFonts w:cstheme="minorHAnsi"/>
              </w:rPr>
              <w:t>0.3%</w:t>
            </w:r>
          </w:p>
        </w:tc>
        <w:tc>
          <w:tcPr>
            <w:tcW w:w="405" w:type="pct"/>
            <w:shd w:val="clear" w:color="000000" w:fill="FFFFFF"/>
            <w:vAlign w:val="center"/>
          </w:tcPr>
          <w:p w14:paraId="6B1C6373" w14:textId="77777777" w:rsidR="00AB379C" w:rsidRPr="002D6581" w:rsidRDefault="00AB379C" w:rsidP="007055F6">
            <w:pPr>
              <w:jc w:val="center"/>
              <w:rPr>
                <w:rFonts w:eastAsia="Times New Roman" w:cstheme="minorHAnsi"/>
                <w:lang w:bidi="ar-SA"/>
              </w:rPr>
            </w:pPr>
            <w:r w:rsidRPr="002D6581">
              <w:rPr>
                <w:rFonts w:cstheme="minorHAnsi"/>
              </w:rPr>
              <w:t>0.31%</w:t>
            </w:r>
          </w:p>
        </w:tc>
        <w:tc>
          <w:tcPr>
            <w:tcW w:w="406" w:type="pct"/>
            <w:shd w:val="clear" w:color="000000" w:fill="FFFFFF"/>
            <w:vAlign w:val="center"/>
          </w:tcPr>
          <w:p w14:paraId="3B202FFC"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5CDD9E1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D073731"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8DD344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91B8518" w14:textId="77777777" w:rsidTr="002D6581">
        <w:trPr>
          <w:cantSplit/>
          <w:trHeight w:val="144"/>
        </w:trPr>
        <w:tc>
          <w:tcPr>
            <w:tcW w:w="286" w:type="pct"/>
            <w:shd w:val="clear" w:color="auto" w:fill="FFFFFF" w:themeFill="background1"/>
            <w:vAlign w:val="center"/>
          </w:tcPr>
          <w:p w14:paraId="57DBDE7C"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lastRenderedPageBreak/>
              <w:t>HEDIS</w:t>
            </w:r>
          </w:p>
        </w:tc>
        <w:tc>
          <w:tcPr>
            <w:tcW w:w="1060" w:type="pct"/>
            <w:shd w:val="clear" w:color="auto" w:fill="FFFFFF" w:themeFill="background1"/>
            <w:vAlign w:val="center"/>
          </w:tcPr>
          <w:p w14:paraId="28F32F7D"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Intensive Outpatient/Partial Hospitalization Ages 0—12 years—Male</w:t>
            </w:r>
          </w:p>
        </w:tc>
        <w:tc>
          <w:tcPr>
            <w:tcW w:w="312" w:type="pct"/>
            <w:shd w:val="clear" w:color="auto" w:fill="auto"/>
            <w:vAlign w:val="center"/>
          </w:tcPr>
          <w:p w14:paraId="14718C3B"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631D614A"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792A3403" w14:textId="77777777" w:rsidR="00AB379C" w:rsidRPr="002D6581" w:rsidRDefault="00AB379C" w:rsidP="007055F6">
            <w:pPr>
              <w:jc w:val="center"/>
              <w:rPr>
                <w:rFonts w:eastAsia="Times New Roman" w:cstheme="minorHAnsi"/>
                <w:lang w:bidi="ar-SA"/>
              </w:rPr>
            </w:pPr>
            <w:r w:rsidRPr="002D6581">
              <w:rPr>
                <w:rFonts w:cstheme="minorHAnsi"/>
                <w:b/>
                <w:bCs/>
              </w:rPr>
              <w:t>0.00%</w:t>
            </w:r>
          </w:p>
        </w:tc>
        <w:tc>
          <w:tcPr>
            <w:tcW w:w="343" w:type="pct"/>
            <w:shd w:val="clear" w:color="000000" w:fill="FFFFFF"/>
            <w:vAlign w:val="center"/>
          </w:tcPr>
          <w:p w14:paraId="631A5904"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04D5C719"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1843B8FD"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791C9082"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57E0B9D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3458B0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DF347EF"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D5CC553" w14:textId="77777777" w:rsidTr="002D6581">
        <w:trPr>
          <w:cantSplit/>
          <w:trHeight w:val="144"/>
        </w:trPr>
        <w:tc>
          <w:tcPr>
            <w:tcW w:w="286" w:type="pct"/>
            <w:shd w:val="clear" w:color="auto" w:fill="FFFFFF" w:themeFill="background1"/>
            <w:vAlign w:val="center"/>
          </w:tcPr>
          <w:p w14:paraId="2FCDF1D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AC486C7"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Intensive Outpatient/Partial Hospitalization Ages 0—12 years—Female</w:t>
            </w:r>
          </w:p>
        </w:tc>
        <w:tc>
          <w:tcPr>
            <w:tcW w:w="312" w:type="pct"/>
            <w:shd w:val="clear" w:color="auto" w:fill="auto"/>
            <w:vAlign w:val="center"/>
          </w:tcPr>
          <w:p w14:paraId="30732B74"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4D56CC98"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15F3B9B0" w14:textId="77777777" w:rsidR="00AB379C" w:rsidRPr="002D6581" w:rsidRDefault="00AB379C" w:rsidP="007055F6">
            <w:pPr>
              <w:jc w:val="center"/>
              <w:rPr>
                <w:rFonts w:eastAsia="Times New Roman" w:cstheme="minorHAnsi"/>
                <w:lang w:bidi="ar-SA"/>
              </w:rPr>
            </w:pPr>
            <w:r w:rsidRPr="002D6581">
              <w:rPr>
                <w:rFonts w:cstheme="minorHAnsi"/>
                <w:b/>
                <w:bCs/>
              </w:rPr>
              <w:t>0.00%</w:t>
            </w:r>
          </w:p>
        </w:tc>
        <w:tc>
          <w:tcPr>
            <w:tcW w:w="343" w:type="pct"/>
            <w:shd w:val="clear" w:color="000000" w:fill="FFFFFF"/>
            <w:vAlign w:val="center"/>
          </w:tcPr>
          <w:p w14:paraId="42275FF1"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7B987391"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22968BC5"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047CD56B"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44141CF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2A851A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E513B4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F6C12B6" w14:textId="77777777" w:rsidTr="002D6581">
        <w:trPr>
          <w:cantSplit/>
          <w:trHeight w:val="144"/>
        </w:trPr>
        <w:tc>
          <w:tcPr>
            <w:tcW w:w="286" w:type="pct"/>
            <w:shd w:val="clear" w:color="auto" w:fill="FFFFFF" w:themeFill="background1"/>
            <w:vAlign w:val="center"/>
          </w:tcPr>
          <w:p w14:paraId="5B0ADE83"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B072DDE"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Intensive Outpatient/Partial Hospitalization Ages 0—12 years—Total Rate</w:t>
            </w:r>
          </w:p>
        </w:tc>
        <w:tc>
          <w:tcPr>
            <w:tcW w:w="312" w:type="pct"/>
            <w:shd w:val="clear" w:color="auto" w:fill="auto"/>
            <w:vAlign w:val="center"/>
          </w:tcPr>
          <w:p w14:paraId="6D77752A"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1AD6AC18"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3894D47C" w14:textId="77777777" w:rsidR="00AB379C" w:rsidRPr="002D6581" w:rsidRDefault="00AB379C" w:rsidP="007055F6">
            <w:pPr>
              <w:jc w:val="center"/>
              <w:rPr>
                <w:rFonts w:eastAsia="Times New Roman" w:cstheme="minorHAnsi"/>
                <w:lang w:bidi="ar-SA"/>
              </w:rPr>
            </w:pPr>
            <w:r w:rsidRPr="002D6581">
              <w:rPr>
                <w:rFonts w:cstheme="minorHAnsi"/>
                <w:b/>
                <w:bCs/>
              </w:rPr>
              <w:t>0.00%</w:t>
            </w:r>
          </w:p>
        </w:tc>
        <w:tc>
          <w:tcPr>
            <w:tcW w:w="343" w:type="pct"/>
            <w:shd w:val="clear" w:color="000000" w:fill="FFFFFF"/>
            <w:vAlign w:val="center"/>
          </w:tcPr>
          <w:p w14:paraId="40A862A0"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16DC7C34"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239595D5"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3CA1D609"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279CDFF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48484E7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18F6CEE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EBC012E" w14:textId="77777777" w:rsidTr="002D6581">
        <w:trPr>
          <w:cantSplit/>
          <w:trHeight w:val="144"/>
        </w:trPr>
        <w:tc>
          <w:tcPr>
            <w:tcW w:w="286" w:type="pct"/>
            <w:shd w:val="clear" w:color="auto" w:fill="FFFFFF" w:themeFill="background1"/>
            <w:vAlign w:val="center"/>
          </w:tcPr>
          <w:p w14:paraId="0016C310"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445E25B"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Intensive Outpatient/Partial Hospitalization Ages 13—17 years—Male</w:t>
            </w:r>
          </w:p>
        </w:tc>
        <w:tc>
          <w:tcPr>
            <w:tcW w:w="312" w:type="pct"/>
            <w:shd w:val="clear" w:color="auto" w:fill="auto"/>
            <w:vAlign w:val="center"/>
          </w:tcPr>
          <w:p w14:paraId="0809709D"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6D31F6F7" w14:textId="77777777" w:rsidR="00AB379C" w:rsidRPr="002D6581" w:rsidRDefault="00AB379C" w:rsidP="007055F6">
            <w:pPr>
              <w:jc w:val="center"/>
              <w:rPr>
                <w:rFonts w:eastAsia="Times New Roman" w:cstheme="minorHAnsi"/>
                <w:lang w:bidi="ar-SA"/>
              </w:rPr>
            </w:pPr>
            <w:r w:rsidRPr="002D6581">
              <w:rPr>
                <w:rFonts w:cstheme="minorHAnsi"/>
              </w:rPr>
              <w:t>3</w:t>
            </w:r>
          </w:p>
        </w:tc>
        <w:tc>
          <w:tcPr>
            <w:tcW w:w="311" w:type="pct"/>
            <w:shd w:val="clear" w:color="000000" w:fill="FFFFFF"/>
            <w:vAlign w:val="center"/>
          </w:tcPr>
          <w:p w14:paraId="30DC57C3" w14:textId="77777777" w:rsidR="00AB379C" w:rsidRPr="002D6581" w:rsidRDefault="00AB379C" w:rsidP="007055F6">
            <w:pPr>
              <w:jc w:val="center"/>
              <w:rPr>
                <w:rFonts w:eastAsia="Times New Roman" w:cstheme="minorHAnsi"/>
                <w:lang w:bidi="ar-SA"/>
              </w:rPr>
            </w:pPr>
            <w:r w:rsidRPr="002D6581">
              <w:rPr>
                <w:rFonts w:cstheme="minorHAnsi"/>
                <w:b/>
                <w:bCs/>
              </w:rPr>
              <w:t>0.06%</w:t>
            </w:r>
          </w:p>
        </w:tc>
        <w:tc>
          <w:tcPr>
            <w:tcW w:w="343" w:type="pct"/>
            <w:shd w:val="clear" w:color="000000" w:fill="FFFFFF"/>
            <w:vAlign w:val="center"/>
          </w:tcPr>
          <w:p w14:paraId="101FA930"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29AA45A5"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405" w:type="pct"/>
            <w:shd w:val="clear" w:color="000000" w:fill="FFFFFF"/>
            <w:vAlign w:val="center"/>
          </w:tcPr>
          <w:p w14:paraId="043E8F0E" w14:textId="77777777" w:rsidR="00AB379C" w:rsidRPr="002D6581" w:rsidRDefault="00AB379C" w:rsidP="007055F6">
            <w:pPr>
              <w:jc w:val="center"/>
              <w:rPr>
                <w:rFonts w:eastAsia="Times New Roman" w:cstheme="minorHAnsi"/>
                <w:lang w:bidi="ar-SA"/>
              </w:rPr>
            </w:pPr>
            <w:r w:rsidRPr="002D6581">
              <w:rPr>
                <w:rFonts w:cstheme="minorHAnsi"/>
              </w:rPr>
              <w:t>0.03%</w:t>
            </w:r>
          </w:p>
        </w:tc>
        <w:tc>
          <w:tcPr>
            <w:tcW w:w="406" w:type="pct"/>
            <w:shd w:val="clear" w:color="000000" w:fill="FFFFFF"/>
            <w:vAlign w:val="center"/>
          </w:tcPr>
          <w:p w14:paraId="6F02C3D4"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581FA19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087D8C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69434D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B43F8E4" w14:textId="77777777" w:rsidTr="002D6581">
        <w:trPr>
          <w:cantSplit/>
          <w:trHeight w:val="144"/>
        </w:trPr>
        <w:tc>
          <w:tcPr>
            <w:tcW w:w="286" w:type="pct"/>
            <w:shd w:val="clear" w:color="auto" w:fill="FFFFFF" w:themeFill="background1"/>
            <w:vAlign w:val="center"/>
          </w:tcPr>
          <w:p w14:paraId="0D864331"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72CC5D7A"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Intensive Outpatient/Partial Hospitalization Ages 13—17 years—Female</w:t>
            </w:r>
          </w:p>
        </w:tc>
        <w:tc>
          <w:tcPr>
            <w:tcW w:w="312" w:type="pct"/>
            <w:shd w:val="clear" w:color="auto" w:fill="auto"/>
            <w:vAlign w:val="center"/>
          </w:tcPr>
          <w:p w14:paraId="252B17BE"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013AA8C6" w14:textId="77777777" w:rsidR="00AB379C" w:rsidRPr="002D6581" w:rsidRDefault="00AB379C" w:rsidP="007055F6">
            <w:pPr>
              <w:jc w:val="center"/>
              <w:rPr>
                <w:rFonts w:eastAsia="Times New Roman" w:cstheme="minorHAnsi"/>
                <w:lang w:bidi="ar-SA"/>
              </w:rPr>
            </w:pPr>
            <w:r w:rsidRPr="002D6581">
              <w:rPr>
                <w:rFonts w:cstheme="minorHAnsi"/>
              </w:rPr>
              <w:t>2</w:t>
            </w:r>
          </w:p>
        </w:tc>
        <w:tc>
          <w:tcPr>
            <w:tcW w:w="311" w:type="pct"/>
            <w:shd w:val="clear" w:color="000000" w:fill="FFFFFF"/>
            <w:vAlign w:val="center"/>
          </w:tcPr>
          <w:p w14:paraId="426951C0" w14:textId="77777777" w:rsidR="00AB379C" w:rsidRPr="002D6581" w:rsidRDefault="00AB379C" w:rsidP="007055F6">
            <w:pPr>
              <w:jc w:val="center"/>
              <w:rPr>
                <w:rFonts w:eastAsia="Times New Roman" w:cstheme="minorHAnsi"/>
                <w:lang w:bidi="ar-SA"/>
              </w:rPr>
            </w:pPr>
            <w:r w:rsidRPr="002D6581">
              <w:rPr>
                <w:rFonts w:cstheme="minorHAnsi"/>
                <w:b/>
                <w:bCs/>
              </w:rPr>
              <w:t>0.04%</w:t>
            </w:r>
          </w:p>
        </w:tc>
        <w:tc>
          <w:tcPr>
            <w:tcW w:w="343" w:type="pct"/>
            <w:shd w:val="clear" w:color="000000" w:fill="FFFFFF"/>
            <w:vAlign w:val="center"/>
          </w:tcPr>
          <w:p w14:paraId="5D7217D4"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7D090697"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405" w:type="pct"/>
            <w:shd w:val="clear" w:color="000000" w:fill="FFFFFF"/>
            <w:vAlign w:val="center"/>
          </w:tcPr>
          <w:p w14:paraId="5E4EC23E" w14:textId="77777777" w:rsidR="00AB379C" w:rsidRPr="002D6581" w:rsidRDefault="00AB379C" w:rsidP="007055F6">
            <w:pPr>
              <w:jc w:val="center"/>
              <w:rPr>
                <w:rFonts w:eastAsia="Times New Roman" w:cstheme="minorHAnsi"/>
                <w:lang w:bidi="ar-SA"/>
              </w:rPr>
            </w:pPr>
            <w:r w:rsidRPr="002D6581">
              <w:rPr>
                <w:rFonts w:cstheme="minorHAnsi"/>
              </w:rPr>
              <w:t>0.07%</w:t>
            </w:r>
          </w:p>
        </w:tc>
        <w:tc>
          <w:tcPr>
            <w:tcW w:w="406" w:type="pct"/>
            <w:shd w:val="clear" w:color="000000" w:fill="FFFFFF"/>
            <w:vAlign w:val="center"/>
          </w:tcPr>
          <w:p w14:paraId="0E7EBA3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EBB775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8DE6C3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37EA86D9"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15ECE86" w14:textId="77777777" w:rsidTr="002D6581">
        <w:trPr>
          <w:cantSplit/>
          <w:trHeight w:val="144"/>
        </w:trPr>
        <w:tc>
          <w:tcPr>
            <w:tcW w:w="286" w:type="pct"/>
            <w:shd w:val="clear" w:color="auto" w:fill="FFFFFF" w:themeFill="background1"/>
            <w:vAlign w:val="center"/>
          </w:tcPr>
          <w:p w14:paraId="39B0164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35448C9"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Intensive Outpatient/Partial Hospitalization Ages 13—17 years—Total Rate</w:t>
            </w:r>
          </w:p>
        </w:tc>
        <w:tc>
          <w:tcPr>
            <w:tcW w:w="312" w:type="pct"/>
            <w:shd w:val="clear" w:color="auto" w:fill="auto"/>
            <w:vAlign w:val="center"/>
          </w:tcPr>
          <w:p w14:paraId="4379256E"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199DC1B5" w14:textId="77777777" w:rsidR="00AB379C" w:rsidRPr="002D6581" w:rsidRDefault="00AB379C" w:rsidP="007055F6">
            <w:pPr>
              <w:jc w:val="center"/>
              <w:rPr>
                <w:rFonts w:eastAsia="Times New Roman" w:cstheme="minorHAnsi"/>
                <w:lang w:bidi="ar-SA"/>
              </w:rPr>
            </w:pPr>
            <w:r w:rsidRPr="002D6581">
              <w:rPr>
                <w:rFonts w:cstheme="minorHAnsi"/>
              </w:rPr>
              <w:t>5</w:t>
            </w:r>
          </w:p>
        </w:tc>
        <w:tc>
          <w:tcPr>
            <w:tcW w:w="311" w:type="pct"/>
            <w:shd w:val="clear" w:color="000000" w:fill="FFFFFF"/>
            <w:vAlign w:val="center"/>
          </w:tcPr>
          <w:p w14:paraId="541D00F0" w14:textId="77777777" w:rsidR="00AB379C" w:rsidRPr="002D6581" w:rsidRDefault="00AB379C" w:rsidP="007055F6">
            <w:pPr>
              <w:jc w:val="center"/>
              <w:rPr>
                <w:rFonts w:eastAsia="Times New Roman" w:cstheme="minorHAnsi"/>
                <w:lang w:bidi="ar-SA"/>
              </w:rPr>
            </w:pPr>
            <w:r w:rsidRPr="002D6581">
              <w:rPr>
                <w:rFonts w:cstheme="minorHAnsi"/>
                <w:b/>
                <w:bCs/>
              </w:rPr>
              <w:t>0.05%</w:t>
            </w:r>
          </w:p>
        </w:tc>
        <w:tc>
          <w:tcPr>
            <w:tcW w:w="343" w:type="pct"/>
            <w:shd w:val="clear" w:color="000000" w:fill="FFFFFF"/>
            <w:vAlign w:val="center"/>
          </w:tcPr>
          <w:p w14:paraId="77B9DC43"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3043F7D1" w14:textId="77777777" w:rsidR="00AB379C" w:rsidRPr="002D6581" w:rsidRDefault="00AB379C" w:rsidP="007055F6">
            <w:pPr>
              <w:jc w:val="center"/>
              <w:rPr>
                <w:rFonts w:eastAsia="Times New Roman" w:cstheme="minorHAnsi"/>
                <w:lang w:bidi="ar-SA"/>
              </w:rPr>
            </w:pPr>
            <w:r w:rsidRPr="002D6581">
              <w:rPr>
                <w:rFonts w:cstheme="minorHAnsi"/>
              </w:rPr>
              <w:t>0.1%</w:t>
            </w:r>
          </w:p>
        </w:tc>
        <w:tc>
          <w:tcPr>
            <w:tcW w:w="405" w:type="pct"/>
            <w:shd w:val="clear" w:color="000000" w:fill="FFFFFF"/>
            <w:vAlign w:val="center"/>
          </w:tcPr>
          <w:p w14:paraId="3A86E1F8" w14:textId="77777777" w:rsidR="00AB379C" w:rsidRPr="002D6581" w:rsidRDefault="00AB379C" w:rsidP="007055F6">
            <w:pPr>
              <w:jc w:val="center"/>
              <w:rPr>
                <w:rFonts w:eastAsia="Times New Roman" w:cstheme="minorHAnsi"/>
                <w:lang w:bidi="ar-SA"/>
              </w:rPr>
            </w:pPr>
            <w:r w:rsidRPr="002D6581">
              <w:rPr>
                <w:rFonts w:cstheme="minorHAnsi"/>
              </w:rPr>
              <w:t>0.05%</w:t>
            </w:r>
          </w:p>
        </w:tc>
        <w:tc>
          <w:tcPr>
            <w:tcW w:w="406" w:type="pct"/>
            <w:shd w:val="clear" w:color="000000" w:fill="FFFFFF"/>
            <w:vAlign w:val="center"/>
          </w:tcPr>
          <w:p w14:paraId="6397C726"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50BFF7C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6F90D07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199B91A"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B053019" w14:textId="77777777" w:rsidTr="002D6581">
        <w:trPr>
          <w:cantSplit/>
          <w:trHeight w:val="144"/>
        </w:trPr>
        <w:tc>
          <w:tcPr>
            <w:tcW w:w="286" w:type="pct"/>
            <w:shd w:val="clear" w:color="auto" w:fill="FFFFFF" w:themeFill="background1"/>
            <w:vAlign w:val="center"/>
          </w:tcPr>
          <w:p w14:paraId="4D25A75F"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892C64C"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Outpatient Ages 0—12 years—Male</w:t>
            </w:r>
          </w:p>
        </w:tc>
        <w:tc>
          <w:tcPr>
            <w:tcW w:w="312" w:type="pct"/>
            <w:shd w:val="clear" w:color="auto" w:fill="auto"/>
            <w:vAlign w:val="center"/>
          </w:tcPr>
          <w:p w14:paraId="71CE22D4"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0C1B1B53" w14:textId="77777777" w:rsidR="00AB379C" w:rsidRPr="002D6581" w:rsidRDefault="00AB379C" w:rsidP="007055F6">
            <w:pPr>
              <w:jc w:val="center"/>
              <w:rPr>
                <w:rFonts w:eastAsia="Times New Roman" w:cstheme="minorHAnsi"/>
                <w:lang w:bidi="ar-SA"/>
              </w:rPr>
            </w:pPr>
            <w:r w:rsidRPr="002D6581">
              <w:rPr>
                <w:rFonts w:cstheme="minorHAnsi"/>
              </w:rPr>
              <w:t>2</w:t>
            </w:r>
          </w:p>
        </w:tc>
        <w:tc>
          <w:tcPr>
            <w:tcW w:w="311" w:type="pct"/>
            <w:shd w:val="clear" w:color="000000" w:fill="FFFFFF"/>
            <w:vAlign w:val="center"/>
          </w:tcPr>
          <w:p w14:paraId="06F3FFD2" w14:textId="77777777" w:rsidR="00AB379C" w:rsidRPr="002D6581" w:rsidRDefault="00AB379C" w:rsidP="007055F6">
            <w:pPr>
              <w:jc w:val="center"/>
              <w:rPr>
                <w:rFonts w:eastAsia="Times New Roman" w:cstheme="minorHAnsi"/>
                <w:lang w:bidi="ar-SA"/>
              </w:rPr>
            </w:pPr>
            <w:r w:rsidRPr="002D6581">
              <w:rPr>
                <w:rFonts w:cstheme="minorHAnsi"/>
                <w:b/>
                <w:bCs/>
              </w:rPr>
              <w:t>0.02%</w:t>
            </w:r>
          </w:p>
        </w:tc>
        <w:tc>
          <w:tcPr>
            <w:tcW w:w="343" w:type="pct"/>
            <w:shd w:val="clear" w:color="000000" w:fill="FFFFFF"/>
            <w:vAlign w:val="center"/>
          </w:tcPr>
          <w:p w14:paraId="59A9C566"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6106B70A"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59A8E46E" w14:textId="77777777" w:rsidR="00AB379C" w:rsidRPr="002D6581" w:rsidRDefault="00AB379C" w:rsidP="007055F6">
            <w:pPr>
              <w:jc w:val="center"/>
              <w:rPr>
                <w:rFonts w:eastAsia="Times New Roman" w:cstheme="minorHAnsi"/>
                <w:lang w:bidi="ar-SA"/>
              </w:rPr>
            </w:pPr>
            <w:r w:rsidRPr="002D6581">
              <w:rPr>
                <w:rFonts w:cstheme="minorHAnsi"/>
              </w:rPr>
              <w:t>0.03%</w:t>
            </w:r>
          </w:p>
        </w:tc>
        <w:tc>
          <w:tcPr>
            <w:tcW w:w="406" w:type="pct"/>
            <w:shd w:val="clear" w:color="000000" w:fill="FFFFFF"/>
            <w:vAlign w:val="center"/>
          </w:tcPr>
          <w:p w14:paraId="3F503C15"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41DCF9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06B1A528"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819A614"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75F20B8" w14:textId="77777777" w:rsidTr="002D6581">
        <w:trPr>
          <w:cantSplit/>
          <w:trHeight w:val="144"/>
        </w:trPr>
        <w:tc>
          <w:tcPr>
            <w:tcW w:w="286" w:type="pct"/>
            <w:shd w:val="clear" w:color="auto" w:fill="FFFFFF" w:themeFill="background1"/>
            <w:vAlign w:val="center"/>
          </w:tcPr>
          <w:p w14:paraId="5112F8F6"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FE5D2F3"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Outpatient Ages 0—12 years—Female</w:t>
            </w:r>
          </w:p>
        </w:tc>
        <w:tc>
          <w:tcPr>
            <w:tcW w:w="312" w:type="pct"/>
            <w:shd w:val="clear" w:color="auto" w:fill="auto"/>
            <w:vAlign w:val="center"/>
          </w:tcPr>
          <w:p w14:paraId="0EDAAF76"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768A0D04" w14:textId="77777777" w:rsidR="00AB379C" w:rsidRPr="002D6581" w:rsidRDefault="00AB379C" w:rsidP="007055F6">
            <w:pPr>
              <w:jc w:val="center"/>
              <w:rPr>
                <w:rFonts w:eastAsia="Times New Roman" w:cstheme="minorHAnsi"/>
                <w:lang w:bidi="ar-SA"/>
              </w:rPr>
            </w:pPr>
            <w:r w:rsidRPr="002D6581">
              <w:rPr>
                <w:rFonts w:cstheme="minorHAnsi"/>
              </w:rPr>
              <w:t>2</w:t>
            </w:r>
          </w:p>
        </w:tc>
        <w:tc>
          <w:tcPr>
            <w:tcW w:w="311" w:type="pct"/>
            <w:shd w:val="clear" w:color="000000" w:fill="FFFFFF"/>
            <w:vAlign w:val="center"/>
          </w:tcPr>
          <w:p w14:paraId="292259C6" w14:textId="77777777" w:rsidR="00AB379C" w:rsidRPr="002D6581" w:rsidRDefault="00AB379C" w:rsidP="007055F6">
            <w:pPr>
              <w:jc w:val="center"/>
              <w:rPr>
                <w:rFonts w:eastAsia="Times New Roman" w:cstheme="minorHAnsi"/>
                <w:lang w:bidi="ar-SA"/>
              </w:rPr>
            </w:pPr>
            <w:r w:rsidRPr="002D6581">
              <w:rPr>
                <w:rFonts w:cstheme="minorHAnsi"/>
                <w:b/>
                <w:bCs/>
              </w:rPr>
              <w:t>0.02%</w:t>
            </w:r>
          </w:p>
        </w:tc>
        <w:tc>
          <w:tcPr>
            <w:tcW w:w="343" w:type="pct"/>
            <w:shd w:val="clear" w:color="000000" w:fill="FFFFFF"/>
            <w:vAlign w:val="center"/>
          </w:tcPr>
          <w:p w14:paraId="25DADC92"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584C8622"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0AC2AFEE" w14:textId="77777777" w:rsidR="00AB379C" w:rsidRPr="002D6581" w:rsidRDefault="00AB379C" w:rsidP="007055F6">
            <w:pPr>
              <w:jc w:val="center"/>
              <w:rPr>
                <w:rFonts w:eastAsia="Times New Roman" w:cstheme="minorHAnsi"/>
                <w:lang w:bidi="ar-SA"/>
              </w:rPr>
            </w:pPr>
            <w:r w:rsidRPr="002D6581">
              <w:rPr>
                <w:rFonts w:cstheme="minorHAnsi"/>
              </w:rPr>
              <w:t>0.02%</w:t>
            </w:r>
          </w:p>
        </w:tc>
        <w:tc>
          <w:tcPr>
            <w:tcW w:w="406" w:type="pct"/>
            <w:shd w:val="clear" w:color="000000" w:fill="FFFFFF"/>
            <w:vAlign w:val="center"/>
          </w:tcPr>
          <w:p w14:paraId="69E3EE50"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683A5D6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21D6F2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E3D7930"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57642B2D" w14:textId="77777777" w:rsidTr="002D6581">
        <w:trPr>
          <w:cantSplit/>
          <w:trHeight w:val="144"/>
        </w:trPr>
        <w:tc>
          <w:tcPr>
            <w:tcW w:w="286" w:type="pct"/>
            <w:shd w:val="clear" w:color="auto" w:fill="FFFFFF" w:themeFill="background1"/>
            <w:vAlign w:val="center"/>
          </w:tcPr>
          <w:p w14:paraId="17771D78"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FB24A5A"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Outpatient Ages 0—12 years—Total Rate</w:t>
            </w:r>
          </w:p>
        </w:tc>
        <w:tc>
          <w:tcPr>
            <w:tcW w:w="312" w:type="pct"/>
            <w:shd w:val="clear" w:color="auto" w:fill="auto"/>
            <w:vAlign w:val="center"/>
          </w:tcPr>
          <w:p w14:paraId="05DB3CA9"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46B2CA54" w14:textId="77777777" w:rsidR="00AB379C" w:rsidRPr="002D6581" w:rsidRDefault="00AB379C" w:rsidP="007055F6">
            <w:pPr>
              <w:jc w:val="center"/>
              <w:rPr>
                <w:rFonts w:eastAsia="Times New Roman" w:cstheme="minorHAnsi"/>
                <w:lang w:bidi="ar-SA"/>
              </w:rPr>
            </w:pPr>
            <w:r w:rsidRPr="002D6581">
              <w:rPr>
                <w:rFonts w:cstheme="minorHAnsi"/>
              </w:rPr>
              <w:t>4</w:t>
            </w:r>
          </w:p>
        </w:tc>
        <w:tc>
          <w:tcPr>
            <w:tcW w:w="311" w:type="pct"/>
            <w:shd w:val="clear" w:color="000000" w:fill="FFFFFF"/>
            <w:vAlign w:val="center"/>
          </w:tcPr>
          <w:p w14:paraId="5408D56D" w14:textId="77777777" w:rsidR="00AB379C" w:rsidRPr="002D6581" w:rsidRDefault="00AB379C" w:rsidP="007055F6">
            <w:pPr>
              <w:jc w:val="center"/>
              <w:rPr>
                <w:rFonts w:eastAsia="Times New Roman" w:cstheme="minorHAnsi"/>
                <w:lang w:bidi="ar-SA"/>
              </w:rPr>
            </w:pPr>
            <w:r w:rsidRPr="002D6581">
              <w:rPr>
                <w:rFonts w:cstheme="minorHAnsi"/>
                <w:b/>
                <w:bCs/>
              </w:rPr>
              <w:t>0.02%</w:t>
            </w:r>
          </w:p>
        </w:tc>
        <w:tc>
          <w:tcPr>
            <w:tcW w:w="343" w:type="pct"/>
            <w:shd w:val="clear" w:color="000000" w:fill="FFFFFF"/>
            <w:vAlign w:val="center"/>
          </w:tcPr>
          <w:p w14:paraId="71F0996D"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363ADAD7"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0AEA47D8" w14:textId="77777777" w:rsidR="00AB379C" w:rsidRPr="002D6581" w:rsidRDefault="00AB379C" w:rsidP="007055F6">
            <w:pPr>
              <w:jc w:val="center"/>
              <w:rPr>
                <w:rFonts w:eastAsia="Times New Roman" w:cstheme="minorHAnsi"/>
                <w:lang w:bidi="ar-SA"/>
              </w:rPr>
            </w:pPr>
            <w:r w:rsidRPr="002D6581">
              <w:rPr>
                <w:rFonts w:cstheme="minorHAnsi"/>
              </w:rPr>
              <w:t>0.02%</w:t>
            </w:r>
          </w:p>
        </w:tc>
        <w:tc>
          <w:tcPr>
            <w:tcW w:w="406" w:type="pct"/>
            <w:shd w:val="clear" w:color="000000" w:fill="FFFFFF"/>
            <w:vAlign w:val="center"/>
          </w:tcPr>
          <w:p w14:paraId="58D2E5DC"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DC9123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5CBE9E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AD7E475"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33E2802" w14:textId="77777777" w:rsidTr="002D6581">
        <w:trPr>
          <w:cantSplit/>
          <w:trHeight w:val="144"/>
        </w:trPr>
        <w:tc>
          <w:tcPr>
            <w:tcW w:w="286" w:type="pct"/>
            <w:shd w:val="clear" w:color="auto" w:fill="FFFFFF" w:themeFill="background1"/>
            <w:vAlign w:val="center"/>
          </w:tcPr>
          <w:p w14:paraId="38D952E9"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44E8E43"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Outpatient Ages 13—17 years—Male</w:t>
            </w:r>
          </w:p>
        </w:tc>
        <w:tc>
          <w:tcPr>
            <w:tcW w:w="312" w:type="pct"/>
            <w:shd w:val="clear" w:color="auto" w:fill="auto"/>
            <w:vAlign w:val="center"/>
          </w:tcPr>
          <w:p w14:paraId="54B45D1B"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2664BA90" w14:textId="77777777" w:rsidR="00AB379C" w:rsidRPr="002D6581" w:rsidRDefault="00AB379C" w:rsidP="007055F6">
            <w:pPr>
              <w:jc w:val="center"/>
              <w:rPr>
                <w:rFonts w:eastAsia="Times New Roman" w:cstheme="minorHAnsi"/>
                <w:lang w:bidi="ar-SA"/>
              </w:rPr>
            </w:pPr>
            <w:r w:rsidRPr="002D6581">
              <w:rPr>
                <w:rFonts w:cstheme="minorHAnsi"/>
              </w:rPr>
              <w:t>29</w:t>
            </w:r>
          </w:p>
        </w:tc>
        <w:tc>
          <w:tcPr>
            <w:tcW w:w="311" w:type="pct"/>
            <w:shd w:val="clear" w:color="000000" w:fill="FFFFFF"/>
            <w:vAlign w:val="center"/>
          </w:tcPr>
          <w:p w14:paraId="0155F36B" w14:textId="77777777" w:rsidR="00AB379C" w:rsidRPr="002D6581" w:rsidRDefault="00AB379C" w:rsidP="007055F6">
            <w:pPr>
              <w:jc w:val="center"/>
              <w:rPr>
                <w:rFonts w:eastAsia="Times New Roman" w:cstheme="minorHAnsi"/>
                <w:lang w:bidi="ar-SA"/>
              </w:rPr>
            </w:pPr>
            <w:r w:rsidRPr="002D6581">
              <w:rPr>
                <w:rFonts w:cstheme="minorHAnsi"/>
                <w:b/>
                <w:bCs/>
              </w:rPr>
              <w:t>0.55%</w:t>
            </w:r>
          </w:p>
        </w:tc>
        <w:tc>
          <w:tcPr>
            <w:tcW w:w="343" w:type="pct"/>
            <w:shd w:val="clear" w:color="000000" w:fill="FFFFFF"/>
            <w:vAlign w:val="center"/>
          </w:tcPr>
          <w:p w14:paraId="5967FFD3" w14:textId="77777777" w:rsidR="00AB379C" w:rsidRPr="002D6581" w:rsidRDefault="00AB379C" w:rsidP="007055F6">
            <w:pPr>
              <w:jc w:val="center"/>
              <w:rPr>
                <w:rFonts w:eastAsia="Times New Roman" w:cstheme="minorHAnsi"/>
                <w:lang w:bidi="ar-SA"/>
              </w:rPr>
            </w:pPr>
            <w:r w:rsidRPr="002D6581">
              <w:rPr>
                <w:rFonts w:cstheme="minorHAnsi"/>
              </w:rPr>
              <w:t>0.5%</w:t>
            </w:r>
          </w:p>
        </w:tc>
        <w:tc>
          <w:tcPr>
            <w:tcW w:w="375" w:type="pct"/>
            <w:shd w:val="clear" w:color="000000" w:fill="FFFFFF"/>
            <w:vAlign w:val="center"/>
          </w:tcPr>
          <w:p w14:paraId="05CE2516" w14:textId="77777777" w:rsidR="00AB379C" w:rsidRPr="002D6581" w:rsidRDefault="00AB379C" w:rsidP="007055F6">
            <w:pPr>
              <w:jc w:val="center"/>
              <w:rPr>
                <w:rFonts w:eastAsia="Times New Roman" w:cstheme="minorHAnsi"/>
                <w:lang w:bidi="ar-SA"/>
              </w:rPr>
            </w:pPr>
            <w:r w:rsidRPr="002D6581">
              <w:rPr>
                <w:rFonts w:cstheme="minorHAnsi"/>
              </w:rPr>
              <w:t>0.6%</w:t>
            </w:r>
          </w:p>
        </w:tc>
        <w:tc>
          <w:tcPr>
            <w:tcW w:w="405" w:type="pct"/>
            <w:shd w:val="clear" w:color="000000" w:fill="FFFFFF"/>
            <w:vAlign w:val="center"/>
          </w:tcPr>
          <w:p w14:paraId="50717D5B" w14:textId="77777777" w:rsidR="00AB379C" w:rsidRPr="002D6581" w:rsidRDefault="00AB379C" w:rsidP="007055F6">
            <w:pPr>
              <w:jc w:val="center"/>
              <w:rPr>
                <w:rFonts w:eastAsia="Times New Roman" w:cstheme="minorHAnsi"/>
                <w:lang w:bidi="ar-SA"/>
              </w:rPr>
            </w:pPr>
            <w:r w:rsidRPr="002D6581">
              <w:rPr>
                <w:rFonts w:cstheme="minorHAnsi"/>
              </w:rPr>
              <w:t>0.70%</w:t>
            </w:r>
          </w:p>
        </w:tc>
        <w:tc>
          <w:tcPr>
            <w:tcW w:w="406" w:type="pct"/>
            <w:shd w:val="clear" w:color="000000" w:fill="FFFFFF"/>
            <w:vAlign w:val="center"/>
          </w:tcPr>
          <w:p w14:paraId="2CE2E706"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7C5984A"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27010D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0421C22"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B068668" w14:textId="77777777" w:rsidTr="002D6581">
        <w:trPr>
          <w:cantSplit/>
          <w:trHeight w:val="144"/>
        </w:trPr>
        <w:tc>
          <w:tcPr>
            <w:tcW w:w="286" w:type="pct"/>
            <w:shd w:val="clear" w:color="auto" w:fill="FFFFFF" w:themeFill="background1"/>
            <w:vAlign w:val="center"/>
          </w:tcPr>
          <w:p w14:paraId="72919EAE"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7815DC3"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Outpatient Ages 13—17 years—Female</w:t>
            </w:r>
          </w:p>
        </w:tc>
        <w:tc>
          <w:tcPr>
            <w:tcW w:w="312" w:type="pct"/>
            <w:shd w:val="clear" w:color="auto" w:fill="auto"/>
            <w:vAlign w:val="center"/>
          </w:tcPr>
          <w:p w14:paraId="18F6F90E"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55BD4130" w14:textId="77777777" w:rsidR="00AB379C" w:rsidRPr="002D6581" w:rsidRDefault="00AB379C" w:rsidP="007055F6">
            <w:pPr>
              <w:jc w:val="center"/>
              <w:rPr>
                <w:rFonts w:eastAsia="Times New Roman" w:cstheme="minorHAnsi"/>
                <w:lang w:bidi="ar-SA"/>
              </w:rPr>
            </w:pPr>
            <w:r w:rsidRPr="002D6581">
              <w:rPr>
                <w:rFonts w:cstheme="minorHAnsi"/>
              </w:rPr>
              <w:t>33</w:t>
            </w:r>
          </w:p>
        </w:tc>
        <w:tc>
          <w:tcPr>
            <w:tcW w:w="311" w:type="pct"/>
            <w:shd w:val="clear" w:color="000000" w:fill="FFFFFF"/>
            <w:vAlign w:val="center"/>
          </w:tcPr>
          <w:p w14:paraId="587AA3A1" w14:textId="77777777" w:rsidR="00AB379C" w:rsidRPr="002D6581" w:rsidRDefault="00AB379C" w:rsidP="007055F6">
            <w:pPr>
              <w:jc w:val="center"/>
              <w:rPr>
                <w:rFonts w:eastAsia="Times New Roman" w:cstheme="minorHAnsi"/>
                <w:lang w:bidi="ar-SA"/>
              </w:rPr>
            </w:pPr>
            <w:r w:rsidRPr="002D6581">
              <w:rPr>
                <w:rFonts w:cstheme="minorHAnsi"/>
                <w:b/>
                <w:bCs/>
              </w:rPr>
              <w:t>0.62%</w:t>
            </w:r>
          </w:p>
        </w:tc>
        <w:tc>
          <w:tcPr>
            <w:tcW w:w="343" w:type="pct"/>
            <w:shd w:val="clear" w:color="000000" w:fill="FFFFFF"/>
            <w:vAlign w:val="center"/>
          </w:tcPr>
          <w:p w14:paraId="73E4457B" w14:textId="77777777" w:rsidR="00AB379C" w:rsidRPr="002D6581" w:rsidRDefault="00AB379C" w:rsidP="007055F6">
            <w:pPr>
              <w:jc w:val="center"/>
              <w:rPr>
                <w:rFonts w:eastAsia="Times New Roman" w:cstheme="minorHAnsi"/>
                <w:lang w:bidi="ar-SA"/>
              </w:rPr>
            </w:pPr>
            <w:r w:rsidRPr="002D6581">
              <w:rPr>
                <w:rFonts w:cstheme="minorHAnsi"/>
              </w:rPr>
              <w:t>0.6%</w:t>
            </w:r>
          </w:p>
        </w:tc>
        <w:tc>
          <w:tcPr>
            <w:tcW w:w="375" w:type="pct"/>
            <w:shd w:val="clear" w:color="000000" w:fill="FFFFFF"/>
            <w:vAlign w:val="center"/>
          </w:tcPr>
          <w:p w14:paraId="174A7267" w14:textId="77777777" w:rsidR="00AB379C" w:rsidRPr="002D6581" w:rsidRDefault="00AB379C" w:rsidP="007055F6">
            <w:pPr>
              <w:jc w:val="center"/>
              <w:rPr>
                <w:rFonts w:eastAsia="Times New Roman" w:cstheme="minorHAnsi"/>
                <w:lang w:bidi="ar-SA"/>
              </w:rPr>
            </w:pPr>
            <w:r w:rsidRPr="002D6581">
              <w:rPr>
                <w:rFonts w:cstheme="minorHAnsi"/>
              </w:rPr>
              <w:t>0.7%</w:t>
            </w:r>
          </w:p>
        </w:tc>
        <w:tc>
          <w:tcPr>
            <w:tcW w:w="405" w:type="pct"/>
            <w:shd w:val="clear" w:color="000000" w:fill="FFFFFF"/>
            <w:vAlign w:val="center"/>
          </w:tcPr>
          <w:p w14:paraId="1E13907E" w14:textId="77777777" w:rsidR="00AB379C" w:rsidRPr="002D6581" w:rsidRDefault="00AB379C" w:rsidP="007055F6">
            <w:pPr>
              <w:jc w:val="center"/>
              <w:rPr>
                <w:rFonts w:eastAsia="Times New Roman" w:cstheme="minorHAnsi"/>
                <w:lang w:bidi="ar-SA"/>
              </w:rPr>
            </w:pPr>
            <w:r w:rsidRPr="002D6581">
              <w:rPr>
                <w:rFonts w:cstheme="minorHAnsi"/>
              </w:rPr>
              <w:t>0.46%</w:t>
            </w:r>
          </w:p>
        </w:tc>
        <w:tc>
          <w:tcPr>
            <w:tcW w:w="406" w:type="pct"/>
            <w:shd w:val="clear" w:color="000000" w:fill="FFFFFF"/>
            <w:vAlign w:val="center"/>
          </w:tcPr>
          <w:p w14:paraId="6F9AF8A7"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742186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DAFEDE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145BA3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3507C1C" w14:textId="77777777" w:rsidTr="002D6581">
        <w:trPr>
          <w:cantSplit/>
          <w:trHeight w:val="144"/>
        </w:trPr>
        <w:tc>
          <w:tcPr>
            <w:tcW w:w="286" w:type="pct"/>
            <w:shd w:val="clear" w:color="auto" w:fill="FFFFFF" w:themeFill="background1"/>
            <w:vAlign w:val="center"/>
          </w:tcPr>
          <w:p w14:paraId="445F323A"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316AB06"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Outpatient Ages 13—17 years—Total Rate</w:t>
            </w:r>
          </w:p>
        </w:tc>
        <w:tc>
          <w:tcPr>
            <w:tcW w:w="312" w:type="pct"/>
            <w:shd w:val="clear" w:color="auto" w:fill="auto"/>
            <w:vAlign w:val="center"/>
          </w:tcPr>
          <w:p w14:paraId="67ABB163"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40C1033F" w14:textId="77777777" w:rsidR="00AB379C" w:rsidRPr="002D6581" w:rsidRDefault="00AB379C" w:rsidP="007055F6">
            <w:pPr>
              <w:jc w:val="center"/>
              <w:rPr>
                <w:rFonts w:eastAsia="Times New Roman" w:cstheme="minorHAnsi"/>
                <w:lang w:bidi="ar-SA"/>
              </w:rPr>
            </w:pPr>
            <w:r w:rsidRPr="002D6581">
              <w:rPr>
                <w:rFonts w:cstheme="minorHAnsi"/>
              </w:rPr>
              <w:t>62</w:t>
            </w:r>
          </w:p>
        </w:tc>
        <w:tc>
          <w:tcPr>
            <w:tcW w:w="311" w:type="pct"/>
            <w:shd w:val="clear" w:color="000000" w:fill="FFFFFF"/>
            <w:vAlign w:val="center"/>
          </w:tcPr>
          <w:p w14:paraId="47A67163" w14:textId="77777777" w:rsidR="00AB379C" w:rsidRPr="002D6581" w:rsidRDefault="00AB379C" w:rsidP="007055F6">
            <w:pPr>
              <w:jc w:val="center"/>
              <w:rPr>
                <w:rFonts w:eastAsia="Times New Roman" w:cstheme="minorHAnsi"/>
                <w:lang w:bidi="ar-SA"/>
              </w:rPr>
            </w:pPr>
            <w:r w:rsidRPr="002D6581">
              <w:rPr>
                <w:rFonts w:cstheme="minorHAnsi"/>
                <w:b/>
                <w:bCs/>
              </w:rPr>
              <w:t>0.58%</w:t>
            </w:r>
          </w:p>
        </w:tc>
        <w:tc>
          <w:tcPr>
            <w:tcW w:w="343" w:type="pct"/>
            <w:shd w:val="clear" w:color="000000" w:fill="FFFFFF"/>
            <w:vAlign w:val="center"/>
          </w:tcPr>
          <w:p w14:paraId="5758B336" w14:textId="77777777" w:rsidR="00AB379C" w:rsidRPr="002D6581" w:rsidRDefault="00AB379C" w:rsidP="007055F6">
            <w:pPr>
              <w:jc w:val="center"/>
              <w:rPr>
                <w:rFonts w:eastAsia="Times New Roman" w:cstheme="minorHAnsi"/>
                <w:lang w:bidi="ar-SA"/>
              </w:rPr>
            </w:pPr>
            <w:r w:rsidRPr="002D6581">
              <w:rPr>
                <w:rFonts w:cstheme="minorHAnsi"/>
              </w:rPr>
              <w:t>0.5%</w:t>
            </w:r>
          </w:p>
        </w:tc>
        <w:tc>
          <w:tcPr>
            <w:tcW w:w="375" w:type="pct"/>
            <w:shd w:val="clear" w:color="000000" w:fill="FFFFFF"/>
            <w:vAlign w:val="center"/>
          </w:tcPr>
          <w:p w14:paraId="00E00D11" w14:textId="77777777" w:rsidR="00AB379C" w:rsidRPr="002D6581" w:rsidRDefault="00AB379C" w:rsidP="007055F6">
            <w:pPr>
              <w:jc w:val="center"/>
              <w:rPr>
                <w:rFonts w:eastAsia="Times New Roman" w:cstheme="minorHAnsi"/>
                <w:lang w:bidi="ar-SA"/>
              </w:rPr>
            </w:pPr>
            <w:r w:rsidRPr="002D6581">
              <w:rPr>
                <w:rFonts w:cstheme="minorHAnsi"/>
              </w:rPr>
              <w:t>0.6%</w:t>
            </w:r>
          </w:p>
        </w:tc>
        <w:tc>
          <w:tcPr>
            <w:tcW w:w="405" w:type="pct"/>
            <w:shd w:val="clear" w:color="000000" w:fill="FFFFFF"/>
            <w:vAlign w:val="center"/>
          </w:tcPr>
          <w:p w14:paraId="2E61EE9D" w14:textId="77777777" w:rsidR="00AB379C" w:rsidRPr="002D6581" w:rsidRDefault="00AB379C" w:rsidP="007055F6">
            <w:pPr>
              <w:jc w:val="center"/>
              <w:rPr>
                <w:rFonts w:eastAsia="Times New Roman" w:cstheme="minorHAnsi"/>
                <w:lang w:bidi="ar-SA"/>
              </w:rPr>
            </w:pPr>
            <w:r w:rsidRPr="002D6581">
              <w:rPr>
                <w:rFonts w:cstheme="minorHAnsi"/>
              </w:rPr>
              <w:t>0.58%</w:t>
            </w:r>
          </w:p>
        </w:tc>
        <w:tc>
          <w:tcPr>
            <w:tcW w:w="406" w:type="pct"/>
            <w:shd w:val="clear" w:color="000000" w:fill="FFFFFF"/>
            <w:vAlign w:val="center"/>
          </w:tcPr>
          <w:p w14:paraId="7E0BC1AB"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411B12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5C5CFF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20C7929E"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9AADD44" w14:textId="77777777" w:rsidTr="002D6581">
        <w:trPr>
          <w:cantSplit/>
          <w:trHeight w:val="144"/>
        </w:trPr>
        <w:tc>
          <w:tcPr>
            <w:tcW w:w="286" w:type="pct"/>
            <w:shd w:val="clear" w:color="auto" w:fill="FFFFFF" w:themeFill="background1"/>
            <w:vAlign w:val="center"/>
          </w:tcPr>
          <w:p w14:paraId="61B6074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1F42F99B"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ED Ages 0—12 years—Male</w:t>
            </w:r>
          </w:p>
        </w:tc>
        <w:tc>
          <w:tcPr>
            <w:tcW w:w="312" w:type="pct"/>
            <w:shd w:val="clear" w:color="auto" w:fill="auto"/>
            <w:vAlign w:val="center"/>
          </w:tcPr>
          <w:p w14:paraId="676E609C"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107D2E72"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2D6B82DD" w14:textId="77777777" w:rsidR="00AB379C" w:rsidRPr="002D6581" w:rsidRDefault="00AB379C" w:rsidP="007055F6">
            <w:pPr>
              <w:jc w:val="center"/>
              <w:rPr>
                <w:rFonts w:eastAsia="Times New Roman" w:cstheme="minorHAnsi"/>
                <w:lang w:bidi="ar-SA"/>
              </w:rPr>
            </w:pPr>
            <w:r w:rsidRPr="002D6581">
              <w:rPr>
                <w:rFonts w:cstheme="minorHAnsi"/>
                <w:b/>
                <w:bCs/>
              </w:rPr>
              <w:t>0.00%</w:t>
            </w:r>
          </w:p>
        </w:tc>
        <w:tc>
          <w:tcPr>
            <w:tcW w:w="343" w:type="pct"/>
            <w:shd w:val="clear" w:color="000000" w:fill="FFFFFF"/>
            <w:vAlign w:val="center"/>
          </w:tcPr>
          <w:p w14:paraId="10881BA6"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50996E18"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292170CD" w14:textId="77777777" w:rsidR="00AB379C" w:rsidRPr="002D6581" w:rsidRDefault="00AB379C" w:rsidP="007055F6">
            <w:pPr>
              <w:jc w:val="center"/>
              <w:rPr>
                <w:rFonts w:eastAsia="Times New Roman" w:cstheme="minorHAnsi"/>
                <w:lang w:bidi="ar-SA"/>
              </w:rPr>
            </w:pPr>
            <w:r w:rsidRPr="002D6581">
              <w:rPr>
                <w:rFonts w:cstheme="minorHAnsi"/>
              </w:rPr>
              <w:t>0.01%</w:t>
            </w:r>
          </w:p>
        </w:tc>
        <w:tc>
          <w:tcPr>
            <w:tcW w:w="406" w:type="pct"/>
            <w:shd w:val="clear" w:color="000000" w:fill="FFFFFF"/>
            <w:vAlign w:val="center"/>
          </w:tcPr>
          <w:p w14:paraId="02F13966"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7B33B81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0A2B74B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028D61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4FB4BB5" w14:textId="77777777" w:rsidTr="002D6581">
        <w:trPr>
          <w:cantSplit/>
          <w:trHeight w:val="144"/>
        </w:trPr>
        <w:tc>
          <w:tcPr>
            <w:tcW w:w="286" w:type="pct"/>
            <w:shd w:val="clear" w:color="auto" w:fill="FFFFFF" w:themeFill="background1"/>
            <w:vAlign w:val="center"/>
          </w:tcPr>
          <w:p w14:paraId="2AF7658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6FFEAE34"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ED Ages 0—12 years—Female</w:t>
            </w:r>
          </w:p>
        </w:tc>
        <w:tc>
          <w:tcPr>
            <w:tcW w:w="312" w:type="pct"/>
            <w:shd w:val="clear" w:color="auto" w:fill="auto"/>
            <w:vAlign w:val="center"/>
          </w:tcPr>
          <w:p w14:paraId="186DE9A5"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4BA91005"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2FD868AF" w14:textId="77777777" w:rsidR="00AB379C" w:rsidRPr="002D6581" w:rsidRDefault="00AB379C" w:rsidP="007055F6">
            <w:pPr>
              <w:jc w:val="center"/>
              <w:rPr>
                <w:rFonts w:eastAsia="Times New Roman" w:cstheme="minorHAnsi"/>
                <w:lang w:bidi="ar-SA"/>
              </w:rPr>
            </w:pPr>
            <w:r w:rsidRPr="002D6581">
              <w:rPr>
                <w:rFonts w:cstheme="minorHAnsi"/>
                <w:b/>
                <w:bCs/>
              </w:rPr>
              <w:t>0.00%</w:t>
            </w:r>
          </w:p>
        </w:tc>
        <w:tc>
          <w:tcPr>
            <w:tcW w:w="343" w:type="pct"/>
            <w:shd w:val="clear" w:color="000000" w:fill="FFFFFF"/>
            <w:vAlign w:val="center"/>
          </w:tcPr>
          <w:p w14:paraId="1C34C563"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2F852934"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228A793F"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355A390F" w14:textId="77777777" w:rsidR="00AB379C" w:rsidRPr="002D6581" w:rsidRDefault="00AB379C" w:rsidP="007055F6">
            <w:pPr>
              <w:jc w:val="center"/>
              <w:rPr>
                <w:rFonts w:eastAsia="Times New Roman" w:cstheme="minorHAnsi"/>
                <w:lang w:bidi="ar-SA"/>
              </w:rPr>
            </w:pPr>
            <w:r w:rsidRPr="002D6581">
              <w:rPr>
                <w:rFonts w:cstheme="minorHAnsi"/>
              </w:rPr>
              <w:t>N/A</w:t>
            </w:r>
          </w:p>
        </w:tc>
        <w:tc>
          <w:tcPr>
            <w:tcW w:w="343" w:type="pct"/>
            <w:shd w:val="clear" w:color="auto" w:fill="D9D9D9" w:themeFill="background1" w:themeFillShade="D9"/>
            <w:vAlign w:val="center"/>
          </w:tcPr>
          <w:p w14:paraId="614BBFC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320817A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7B7FE82F"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9CFC295" w14:textId="77777777" w:rsidTr="002D6581">
        <w:trPr>
          <w:cantSplit/>
          <w:trHeight w:val="144"/>
        </w:trPr>
        <w:tc>
          <w:tcPr>
            <w:tcW w:w="286" w:type="pct"/>
            <w:shd w:val="clear" w:color="auto" w:fill="FFFFFF" w:themeFill="background1"/>
            <w:vAlign w:val="center"/>
          </w:tcPr>
          <w:p w14:paraId="679449A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EDB537B"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ED Ages 0—12 years—Total Rate</w:t>
            </w:r>
          </w:p>
        </w:tc>
        <w:tc>
          <w:tcPr>
            <w:tcW w:w="312" w:type="pct"/>
            <w:shd w:val="clear" w:color="auto" w:fill="auto"/>
            <w:vAlign w:val="center"/>
          </w:tcPr>
          <w:p w14:paraId="7F1E6328"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4BCEEEB1"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5CA7CB33" w14:textId="77777777" w:rsidR="00AB379C" w:rsidRPr="002D6581" w:rsidRDefault="00AB379C" w:rsidP="007055F6">
            <w:pPr>
              <w:jc w:val="center"/>
              <w:rPr>
                <w:rFonts w:eastAsia="Times New Roman" w:cstheme="minorHAnsi"/>
                <w:lang w:bidi="ar-SA"/>
              </w:rPr>
            </w:pPr>
            <w:r w:rsidRPr="002D6581">
              <w:rPr>
                <w:rFonts w:cstheme="minorHAnsi"/>
                <w:b/>
                <w:bCs/>
              </w:rPr>
              <w:t>0.00%</w:t>
            </w:r>
          </w:p>
        </w:tc>
        <w:tc>
          <w:tcPr>
            <w:tcW w:w="343" w:type="pct"/>
            <w:shd w:val="clear" w:color="000000" w:fill="FFFFFF"/>
            <w:vAlign w:val="center"/>
          </w:tcPr>
          <w:p w14:paraId="2C2B47A2"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1367DF1B"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12E6CCB4" w14:textId="77777777" w:rsidR="00AB379C" w:rsidRPr="002D6581" w:rsidRDefault="00AB379C" w:rsidP="007055F6">
            <w:pPr>
              <w:jc w:val="center"/>
              <w:rPr>
                <w:rFonts w:eastAsia="Times New Roman" w:cstheme="minorHAnsi"/>
                <w:lang w:bidi="ar-SA"/>
              </w:rPr>
            </w:pPr>
            <w:r w:rsidRPr="002D6581">
              <w:rPr>
                <w:rFonts w:cstheme="minorHAnsi"/>
              </w:rPr>
              <w:t>0.00%</w:t>
            </w:r>
          </w:p>
        </w:tc>
        <w:tc>
          <w:tcPr>
            <w:tcW w:w="406" w:type="pct"/>
            <w:shd w:val="clear" w:color="000000" w:fill="FFFFFF"/>
            <w:vAlign w:val="center"/>
          </w:tcPr>
          <w:p w14:paraId="3B47CA37" w14:textId="77777777" w:rsidR="00AB379C" w:rsidRPr="002D6581" w:rsidRDefault="00AB379C" w:rsidP="007055F6">
            <w:pPr>
              <w:jc w:val="center"/>
              <w:rPr>
                <w:rFonts w:eastAsia="Times New Roman" w:cstheme="minorHAnsi"/>
                <w:lang w:bidi="ar-SA"/>
              </w:rPr>
            </w:pPr>
            <w:proofErr w:type="spellStart"/>
            <w:r w:rsidRPr="002D6581">
              <w:rPr>
                <w:rFonts w:cstheme="minorHAnsi"/>
              </w:rPr>
              <w:t>n.s</w:t>
            </w:r>
            <w:proofErr w:type="spellEnd"/>
            <w:r w:rsidRPr="002D6581">
              <w:rPr>
                <w:rFonts w:cstheme="minorHAnsi"/>
              </w:rPr>
              <w:t>.</w:t>
            </w:r>
          </w:p>
        </w:tc>
        <w:tc>
          <w:tcPr>
            <w:tcW w:w="343" w:type="pct"/>
            <w:shd w:val="clear" w:color="auto" w:fill="D9D9D9" w:themeFill="background1" w:themeFillShade="D9"/>
            <w:vAlign w:val="center"/>
          </w:tcPr>
          <w:p w14:paraId="4C257BF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5129B36"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5D93B96"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DBDAD14" w14:textId="77777777" w:rsidTr="002D6581">
        <w:trPr>
          <w:cantSplit/>
          <w:trHeight w:val="144"/>
        </w:trPr>
        <w:tc>
          <w:tcPr>
            <w:tcW w:w="286" w:type="pct"/>
            <w:shd w:val="clear" w:color="auto" w:fill="FFFFFF" w:themeFill="background1"/>
            <w:vAlign w:val="center"/>
          </w:tcPr>
          <w:p w14:paraId="7268A6D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lastRenderedPageBreak/>
              <w:t>HEDIS</w:t>
            </w:r>
          </w:p>
        </w:tc>
        <w:tc>
          <w:tcPr>
            <w:tcW w:w="1060" w:type="pct"/>
            <w:shd w:val="clear" w:color="auto" w:fill="FFFFFF" w:themeFill="background1"/>
            <w:vAlign w:val="center"/>
          </w:tcPr>
          <w:p w14:paraId="33D588B5"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ED Ages 13—17 years—Male</w:t>
            </w:r>
          </w:p>
        </w:tc>
        <w:tc>
          <w:tcPr>
            <w:tcW w:w="312" w:type="pct"/>
            <w:shd w:val="clear" w:color="auto" w:fill="auto"/>
            <w:vAlign w:val="center"/>
          </w:tcPr>
          <w:p w14:paraId="21EA524F"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35647046" w14:textId="77777777" w:rsidR="00AB379C" w:rsidRPr="002D6581" w:rsidRDefault="00AB379C" w:rsidP="007055F6">
            <w:pPr>
              <w:jc w:val="center"/>
              <w:rPr>
                <w:rFonts w:eastAsia="Times New Roman" w:cstheme="minorHAnsi"/>
                <w:lang w:bidi="ar-SA"/>
              </w:rPr>
            </w:pPr>
            <w:r w:rsidRPr="002D6581">
              <w:rPr>
                <w:rFonts w:cstheme="minorHAnsi"/>
              </w:rPr>
              <w:t>17</w:t>
            </w:r>
          </w:p>
        </w:tc>
        <w:tc>
          <w:tcPr>
            <w:tcW w:w="311" w:type="pct"/>
            <w:shd w:val="clear" w:color="000000" w:fill="FFFFFF"/>
            <w:vAlign w:val="center"/>
          </w:tcPr>
          <w:p w14:paraId="69340385" w14:textId="77777777" w:rsidR="00AB379C" w:rsidRPr="002D6581" w:rsidRDefault="00AB379C" w:rsidP="007055F6">
            <w:pPr>
              <w:jc w:val="center"/>
              <w:rPr>
                <w:rFonts w:eastAsia="Times New Roman" w:cstheme="minorHAnsi"/>
                <w:lang w:bidi="ar-SA"/>
              </w:rPr>
            </w:pPr>
            <w:r w:rsidRPr="002D6581">
              <w:rPr>
                <w:rFonts w:cstheme="minorHAnsi"/>
                <w:b/>
                <w:bCs/>
              </w:rPr>
              <w:t>0.32%</w:t>
            </w:r>
          </w:p>
        </w:tc>
        <w:tc>
          <w:tcPr>
            <w:tcW w:w="343" w:type="pct"/>
            <w:shd w:val="clear" w:color="000000" w:fill="FFFFFF"/>
            <w:vAlign w:val="center"/>
          </w:tcPr>
          <w:p w14:paraId="0B77FA35" w14:textId="77777777" w:rsidR="00AB379C" w:rsidRPr="002D6581" w:rsidRDefault="00AB379C" w:rsidP="007055F6">
            <w:pPr>
              <w:jc w:val="center"/>
              <w:rPr>
                <w:rFonts w:eastAsia="Times New Roman" w:cstheme="minorHAnsi"/>
                <w:lang w:bidi="ar-SA"/>
              </w:rPr>
            </w:pPr>
            <w:r w:rsidRPr="002D6581">
              <w:rPr>
                <w:rFonts w:cstheme="minorHAnsi"/>
              </w:rPr>
              <w:t>0.3%</w:t>
            </w:r>
          </w:p>
        </w:tc>
        <w:tc>
          <w:tcPr>
            <w:tcW w:w="375" w:type="pct"/>
            <w:shd w:val="clear" w:color="000000" w:fill="FFFFFF"/>
            <w:vAlign w:val="center"/>
          </w:tcPr>
          <w:p w14:paraId="14C68485" w14:textId="77777777" w:rsidR="00AB379C" w:rsidRPr="002D6581" w:rsidRDefault="00AB379C" w:rsidP="007055F6">
            <w:pPr>
              <w:jc w:val="center"/>
              <w:rPr>
                <w:rFonts w:eastAsia="Times New Roman" w:cstheme="minorHAnsi"/>
                <w:lang w:bidi="ar-SA"/>
              </w:rPr>
            </w:pPr>
            <w:r w:rsidRPr="002D6581">
              <w:rPr>
                <w:rFonts w:cstheme="minorHAnsi"/>
              </w:rPr>
              <w:t>0.4%</w:t>
            </w:r>
          </w:p>
        </w:tc>
        <w:tc>
          <w:tcPr>
            <w:tcW w:w="405" w:type="pct"/>
            <w:shd w:val="clear" w:color="000000" w:fill="FFFFFF"/>
            <w:vAlign w:val="center"/>
          </w:tcPr>
          <w:p w14:paraId="1ED69DD0" w14:textId="77777777" w:rsidR="00AB379C" w:rsidRPr="002D6581" w:rsidRDefault="00AB379C" w:rsidP="007055F6">
            <w:pPr>
              <w:jc w:val="center"/>
              <w:rPr>
                <w:rFonts w:eastAsia="Times New Roman" w:cstheme="minorHAnsi"/>
                <w:lang w:bidi="ar-SA"/>
              </w:rPr>
            </w:pPr>
            <w:r w:rsidRPr="002D6581">
              <w:rPr>
                <w:rFonts w:cstheme="minorHAnsi"/>
              </w:rPr>
              <w:t>0.21%</w:t>
            </w:r>
          </w:p>
        </w:tc>
        <w:tc>
          <w:tcPr>
            <w:tcW w:w="406" w:type="pct"/>
            <w:shd w:val="clear" w:color="000000" w:fill="FFFFFF"/>
            <w:vAlign w:val="center"/>
          </w:tcPr>
          <w:p w14:paraId="2A70F095"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49CA4A9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09B464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FE34AEA"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19D428BA" w14:textId="77777777" w:rsidTr="002D6581">
        <w:trPr>
          <w:cantSplit/>
          <w:trHeight w:val="144"/>
        </w:trPr>
        <w:tc>
          <w:tcPr>
            <w:tcW w:w="286" w:type="pct"/>
            <w:shd w:val="clear" w:color="auto" w:fill="FFFFFF" w:themeFill="background1"/>
            <w:vAlign w:val="center"/>
          </w:tcPr>
          <w:p w14:paraId="10A5A957"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E5E369D"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ED Ages 13—17 years—Female</w:t>
            </w:r>
          </w:p>
        </w:tc>
        <w:tc>
          <w:tcPr>
            <w:tcW w:w="312" w:type="pct"/>
            <w:shd w:val="clear" w:color="auto" w:fill="auto"/>
            <w:vAlign w:val="center"/>
          </w:tcPr>
          <w:p w14:paraId="3F61EDDE"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2AEF2668" w14:textId="77777777" w:rsidR="00AB379C" w:rsidRPr="002D6581" w:rsidRDefault="00AB379C" w:rsidP="007055F6">
            <w:pPr>
              <w:jc w:val="center"/>
              <w:rPr>
                <w:rFonts w:eastAsia="Times New Roman" w:cstheme="minorHAnsi"/>
                <w:lang w:bidi="ar-SA"/>
              </w:rPr>
            </w:pPr>
            <w:r w:rsidRPr="002D6581">
              <w:rPr>
                <w:rFonts w:cstheme="minorHAnsi"/>
              </w:rPr>
              <w:t>12</w:t>
            </w:r>
          </w:p>
        </w:tc>
        <w:tc>
          <w:tcPr>
            <w:tcW w:w="311" w:type="pct"/>
            <w:shd w:val="clear" w:color="000000" w:fill="FFFFFF"/>
            <w:vAlign w:val="center"/>
          </w:tcPr>
          <w:p w14:paraId="33A12592" w14:textId="77777777" w:rsidR="00AB379C" w:rsidRPr="002D6581" w:rsidRDefault="00AB379C" w:rsidP="007055F6">
            <w:pPr>
              <w:jc w:val="center"/>
              <w:rPr>
                <w:rFonts w:eastAsia="Times New Roman" w:cstheme="minorHAnsi"/>
                <w:lang w:bidi="ar-SA"/>
              </w:rPr>
            </w:pPr>
            <w:r w:rsidRPr="002D6581">
              <w:rPr>
                <w:rFonts w:cstheme="minorHAnsi"/>
                <w:b/>
                <w:bCs/>
              </w:rPr>
              <w:t>0.22%</w:t>
            </w:r>
          </w:p>
        </w:tc>
        <w:tc>
          <w:tcPr>
            <w:tcW w:w="343" w:type="pct"/>
            <w:shd w:val="clear" w:color="000000" w:fill="FFFFFF"/>
            <w:vAlign w:val="center"/>
          </w:tcPr>
          <w:p w14:paraId="482B17F2"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375" w:type="pct"/>
            <w:shd w:val="clear" w:color="000000" w:fill="FFFFFF"/>
            <w:vAlign w:val="center"/>
          </w:tcPr>
          <w:p w14:paraId="38428AD0" w14:textId="77777777" w:rsidR="00AB379C" w:rsidRPr="002D6581" w:rsidRDefault="00AB379C" w:rsidP="007055F6">
            <w:pPr>
              <w:jc w:val="center"/>
              <w:rPr>
                <w:rFonts w:eastAsia="Times New Roman" w:cstheme="minorHAnsi"/>
                <w:lang w:bidi="ar-SA"/>
              </w:rPr>
            </w:pPr>
            <w:r w:rsidRPr="002D6581">
              <w:rPr>
                <w:rFonts w:cstheme="minorHAnsi"/>
              </w:rPr>
              <w:t>0.3%</w:t>
            </w:r>
          </w:p>
        </w:tc>
        <w:tc>
          <w:tcPr>
            <w:tcW w:w="405" w:type="pct"/>
            <w:shd w:val="clear" w:color="000000" w:fill="FFFFFF"/>
            <w:vAlign w:val="center"/>
          </w:tcPr>
          <w:p w14:paraId="6BD4169E" w14:textId="77777777" w:rsidR="00AB379C" w:rsidRPr="002D6581" w:rsidRDefault="00AB379C" w:rsidP="007055F6">
            <w:pPr>
              <w:jc w:val="center"/>
              <w:rPr>
                <w:rFonts w:eastAsia="Times New Roman" w:cstheme="minorHAnsi"/>
                <w:lang w:bidi="ar-SA"/>
              </w:rPr>
            </w:pPr>
            <w:r w:rsidRPr="002D6581">
              <w:rPr>
                <w:rFonts w:cstheme="minorHAnsi"/>
              </w:rPr>
              <w:t>0.38%</w:t>
            </w:r>
          </w:p>
        </w:tc>
        <w:tc>
          <w:tcPr>
            <w:tcW w:w="406" w:type="pct"/>
            <w:shd w:val="clear" w:color="000000" w:fill="FFFFFF"/>
            <w:vAlign w:val="center"/>
          </w:tcPr>
          <w:p w14:paraId="4274890F"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BBAE064"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1B3F0AF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C934BEA"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77294BB7" w14:textId="77777777" w:rsidTr="002D6581">
        <w:trPr>
          <w:cantSplit/>
          <w:trHeight w:val="144"/>
        </w:trPr>
        <w:tc>
          <w:tcPr>
            <w:tcW w:w="286" w:type="pct"/>
            <w:shd w:val="clear" w:color="auto" w:fill="FFFFFF" w:themeFill="background1"/>
            <w:vAlign w:val="center"/>
          </w:tcPr>
          <w:p w14:paraId="7B2B1D71"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401568E5"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ED Ages 13—17 years—Total Rate</w:t>
            </w:r>
          </w:p>
        </w:tc>
        <w:tc>
          <w:tcPr>
            <w:tcW w:w="312" w:type="pct"/>
            <w:shd w:val="clear" w:color="auto" w:fill="auto"/>
            <w:vAlign w:val="center"/>
          </w:tcPr>
          <w:p w14:paraId="1065E1F3"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2F99E911" w14:textId="77777777" w:rsidR="00AB379C" w:rsidRPr="002D6581" w:rsidRDefault="00AB379C" w:rsidP="007055F6">
            <w:pPr>
              <w:jc w:val="center"/>
              <w:rPr>
                <w:rFonts w:eastAsia="Times New Roman" w:cstheme="minorHAnsi"/>
                <w:lang w:bidi="ar-SA"/>
              </w:rPr>
            </w:pPr>
            <w:r w:rsidRPr="002D6581">
              <w:rPr>
                <w:rFonts w:cstheme="minorHAnsi"/>
              </w:rPr>
              <w:t>29</w:t>
            </w:r>
          </w:p>
        </w:tc>
        <w:tc>
          <w:tcPr>
            <w:tcW w:w="311" w:type="pct"/>
            <w:shd w:val="clear" w:color="000000" w:fill="FFFFFF"/>
            <w:vAlign w:val="center"/>
          </w:tcPr>
          <w:p w14:paraId="3E8EF716" w14:textId="77777777" w:rsidR="00AB379C" w:rsidRPr="002D6581" w:rsidRDefault="00AB379C" w:rsidP="007055F6">
            <w:pPr>
              <w:jc w:val="center"/>
              <w:rPr>
                <w:rFonts w:eastAsia="Times New Roman" w:cstheme="minorHAnsi"/>
                <w:lang w:bidi="ar-SA"/>
              </w:rPr>
            </w:pPr>
            <w:r w:rsidRPr="002D6581">
              <w:rPr>
                <w:rFonts w:cstheme="minorHAnsi"/>
                <w:b/>
                <w:bCs/>
              </w:rPr>
              <w:t>0.27%</w:t>
            </w:r>
          </w:p>
        </w:tc>
        <w:tc>
          <w:tcPr>
            <w:tcW w:w="343" w:type="pct"/>
            <w:shd w:val="clear" w:color="000000" w:fill="FFFFFF"/>
            <w:vAlign w:val="center"/>
          </w:tcPr>
          <w:p w14:paraId="0DA9CC87"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375" w:type="pct"/>
            <w:shd w:val="clear" w:color="000000" w:fill="FFFFFF"/>
            <w:vAlign w:val="center"/>
          </w:tcPr>
          <w:p w14:paraId="46182019" w14:textId="77777777" w:rsidR="00AB379C" w:rsidRPr="002D6581" w:rsidRDefault="00AB379C" w:rsidP="007055F6">
            <w:pPr>
              <w:jc w:val="center"/>
              <w:rPr>
                <w:rFonts w:eastAsia="Times New Roman" w:cstheme="minorHAnsi"/>
                <w:lang w:bidi="ar-SA"/>
              </w:rPr>
            </w:pPr>
            <w:r w:rsidRPr="002D6581">
              <w:rPr>
                <w:rFonts w:cstheme="minorHAnsi"/>
              </w:rPr>
              <w:t>0.3%</w:t>
            </w:r>
          </w:p>
        </w:tc>
        <w:tc>
          <w:tcPr>
            <w:tcW w:w="405" w:type="pct"/>
            <w:shd w:val="clear" w:color="000000" w:fill="FFFFFF"/>
            <w:vAlign w:val="center"/>
          </w:tcPr>
          <w:p w14:paraId="26943CBF" w14:textId="77777777" w:rsidR="00AB379C" w:rsidRPr="002D6581" w:rsidRDefault="00AB379C" w:rsidP="007055F6">
            <w:pPr>
              <w:jc w:val="center"/>
              <w:rPr>
                <w:rFonts w:eastAsia="Times New Roman" w:cstheme="minorHAnsi"/>
                <w:lang w:bidi="ar-SA"/>
              </w:rPr>
            </w:pPr>
            <w:r w:rsidRPr="002D6581">
              <w:rPr>
                <w:rFonts w:cstheme="minorHAnsi"/>
              </w:rPr>
              <w:t>0.29%</w:t>
            </w:r>
          </w:p>
        </w:tc>
        <w:tc>
          <w:tcPr>
            <w:tcW w:w="406" w:type="pct"/>
            <w:shd w:val="clear" w:color="000000" w:fill="FFFFFF"/>
            <w:vAlign w:val="center"/>
          </w:tcPr>
          <w:p w14:paraId="1FEB20D0"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A569299"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0642B28E"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7C8A330"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22E508B" w14:textId="77777777" w:rsidTr="002D6581">
        <w:trPr>
          <w:cantSplit/>
          <w:trHeight w:val="144"/>
        </w:trPr>
        <w:tc>
          <w:tcPr>
            <w:tcW w:w="286" w:type="pct"/>
            <w:shd w:val="clear" w:color="auto" w:fill="FFFFFF" w:themeFill="background1"/>
            <w:vAlign w:val="center"/>
          </w:tcPr>
          <w:p w14:paraId="064A9F2C"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77C91FD7"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Telehealth Ages 0—12 years—Male</w:t>
            </w:r>
          </w:p>
        </w:tc>
        <w:tc>
          <w:tcPr>
            <w:tcW w:w="312" w:type="pct"/>
            <w:shd w:val="clear" w:color="auto" w:fill="auto"/>
            <w:vAlign w:val="center"/>
          </w:tcPr>
          <w:p w14:paraId="79D77888" w14:textId="77777777" w:rsidR="00AB379C" w:rsidRPr="002D6581" w:rsidRDefault="00AB379C" w:rsidP="007055F6">
            <w:pPr>
              <w:jc w:val="center"/>
              <w:rPr>
                <w:rFonts w:eastAsia="Times New Roman" w:cstheme="minorHAnsi"/>
                <w:lang w:bidi="ar-SA"/>
              </w:rPr>
            </w:pPr>
            <w:r w:rsidRPr="002D6581">
              <w:rPr>
                <w:rFonts w:cstheme="minorHAnsi"/>
              </w:rPr>
              <w:t>124,340</w:t>
            </w:r>
          </w:p>
        </w:tc>
        <w:tc>
          <w:tcPr>
            <w:tcW w:w="281" w:type="pct"/>
            <w:shd w:val="clear" w:color="000000" w:fill="FFFFFF"/>
            <w:vAlign w:val="center"/>
          </w:tcPr>
          <w:p w14:paraId="5A37FC4E" w14:textId="77777777" w:rsidR="00AB379C" w:rsidRPr="002D6581" w:rsidRDefault="00AB379C" w:rsidP="007055F6">
            <w:pPr>
              <w:jc w:val="center"/>
              <w:rPr>
                <w:rFonts w:eastAsia="Times New Roman" w:cstheme="minorHAnsi"/>
                <w:lang w:bidi="ar-SA"/>
              </w:rPr>
            </w:pPr>
            <w:r w:rsidRPr="002D6581">
              <w:rPr>
                <w:rFonts w:cstheme="minorHAnsi"/>
              </w:rPr>
              <w:t>2</w:t>
            </w:r>
          </w:p>
        </w:tc>
        <w:tc>
          <w:tcPr>
            <w:tcW w:w="311" w:type="pct"/>
            <w:shd w:val="clear" w:color="000000" w:fill="FFFFFF"/>
            <w:vAlign w:val="center"/>
          </w:tcPr>
          <w:p w14:paraId="30D722C4" w14:textId="77777777" w:rsidR="00AB379C" w:rsidRPr="002D6581" w:rsidRDefault="00AB379C" w:rsidP="007055F6">
            <w:pPr>
              <w:jc w:val="center"/>
              <w:rPr>
                <w:rFonts w:eastAsia="Times New Roman" w:cstheme="minorHAnsi"/>
                <w:lang w:bidi="ar-SA"/>
              </w:rPr>
            </w:pPr>
            <w:r w:rsidRPr="002D6581">
              <w:rPr>
                <w:rFonts w:cstheme="minorHAnsi"/>
                <w:b/>
                <w:bCs/>
              </w:rPr>
              <w:t>0.02%</w:t>
            </w:r>
          </w:p>
        </w:tc>
        <w:tc>
          <w:tcPr>
            <w:tcW w:w="343" w:type="pct"/>
            <w:shd w:val="clear" w:color="000000" w:fill="FFFFFF"/>
            <w:vAlign w:val="center"/>
          </w:tcPr>
          <w:p w14:paraId="485D784B"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44DCACD6"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60DF748B" w14:textId="77777777" w:rsidR="00AB379C" w:rsidRPr="002D6581" w:rsidRDefault="00AB379C" w:rsidP="007055F6">
            <w:pPr>
              <w:jc w:val="center"/>
              <w:rPr>
                <w:rFonts w:eastAsia="Times New Roman" w:cstheme="minorHAnsi"/>
                <w:lang w:bidi="ar-SA"/>
              </w:rPr>
            </w:pPr>
            <w:r w:rsidRPr="002D6581">
              <w:rPr>
                <w:rFonts w:cstheme="minorHAnsi"/>
              </w:rPr>
              <w:t>0.01%</w:t>
            </w:r>
          </w:p>
        </w:tc>
        <w:tc>
          <w:tcPr>
            <w:tcW w:w="406" w:type="pct"/>
            <w:shd w:val="clear" w:color="000000" w:fill="FFFFFF"/>
            <w:vAlign w:val="center"/>
          </w:tcPr>
          <w:p w14:paraId="7786DA6D"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0B7670F3"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9D7DCB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493C1CEB"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487FE5B8" w14:textId="77777777" w:rsidTr="002D6581">
        <w:trPr>
          <w:cantSplit/>
          <w:trHeight w:val="144"/>
        </w:trPr>
        <w:tc>
          <w:tcPr>
            <w:tcW w:w="286" w:type="pct"/>
            <w:shd w:val="clear" w:color="auto" w:fill="FFFFFF" w:themeFill="background1"/>
            <w:vAlign w:val="center"/>
          </w:tcPr>
          <w:p w14:paraId="65D4B0EC"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2B943211"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Telehealth Ages 0—12 years—Female</w:t>
            </w:r>
          </w:p>
        </w:tc>
        <w:tc>
          <w:tcPr>
            <w:tcW w:w="312" w:type="pct"/>
            <w:shd w:val="clear" w:color="auto" w:fill="auto"/>
            <w:vAlign w:val="center"/>
          </w:tcPr>
          <w:p w14:paraId="6F5171F7" w14:textId="77777777" w:rsidR="00AB379C" w:rsidRPr="002D6581" w:rsidRDefault="00AB379C" w:rsidP="007055F6">
            <w:pPr>
              <w:jc w:val="center"/>
              <w:rPr>
                <w:rFonts w:eastAsia="Times New Roman" w:cstheme="minorHAnsi"/>
                <w:lang w:bidi="ar-SA"/>
              </w:rPr>
            </w:pPr>
            <w:r w:rsidRPr="002D6581">
              <w:rPr>
                <w:rFonts w:cstheme="minorHAnsi"/>
              </w:rPr>
              <w:t>121,991</w:t>
            </w:r>
          </w:p>
        </w:tc>
        <w:tc>
          <w:tcPr>
            <w:tcW w:w="281" w:type="pct"/>
            <w:shd w:val="clear" w:color="000000" w:fill="FFFFFF"/>
            <w:vAlign w:val="center"/>
          </w:tcPr>
          <w:p w14:paraId="228E0EFD" w14:textId="77777777" w:rsidR="00AB379C" w:rsidRPr="002D6581" w:rsidRDefault="00AB379C" w:rsidP="007055F6">
            <w:pPr>
              <w:jc w:val="center"/>
              <w:rPr>
                <w:rFonts w:eastAsia="Times New Roman" w:cstheme="minorHAnsi"/>
                <w:lang w:bidi="ar-SA"/>
              </w:rPr>
            </w:pPr>
            <w:r w:rsidRPr="002D6581">
              <w:rPr>
                <w:rFonts w:cstheme="minorHAnsi"/>
              </w:rPr>
              <w:t>0</w:t>
            </w:r>
          </w:p>
        </w:tc>
        <w:tc>
          <w:tcPr>
            <w:tcW w:w="311" w:type="pct"/>
            <w:shd w:val="clear" w:color="000000" w:fill="FFFFFF"/>
            <w:vAlign w:val="center"/>
          </w:tcPr>
          <w:p w14:paraId="3EE1B5EF" w14:textId="77777777" w:rsidR="00AB379C" w:rsidRPr="002D6581" w:rsidRDefault="00AB379C" w:rsidP="007055F6">
            <w:pPr>
              <w:jc w:val="center"/>
              <w:rPr>
                <w:rFonts w:eastAsia="Times New Roman" w:cstheme="minorHAnsi"/>
                <w:lang w:bidi="ar-SA"/>
              </w:rPr>
            </w:pPr>
            <w:r w:rsidRPr="002D6581">
              <w:rPr>
                <w:rFonts w:cstheme="minorHAnsi"/>
                <w:b/>
                <w:bCs/>
              </w:rPr>
              <w:t>0.00%</w:t>
            </w:r>
          </w:p>
        </w:tc>
        <w:tc>
          <w:tcPr>
            <w:tcW w:w="343" w:type="pct"/>
            <w:shd w:val="clear" w:color="000000" w:fill="FFFFFF"/>
            <w:vAlign w:val="center"/>
          </w:tcPr>
          <w:p w14:paraId="740D6A3D"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41B18CE3"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5376BB80" w14:textId="77777777" w:rsidR="00AB379C" w:rsidRPr="002D6581" w:rsidRDefault="00AB379C" w:rsidP="007055F6">
            <w:pPr>
              <w:jc w:val="center"/>
              <w:rPr>
                <w:rFonts w:eastAsia="Times New Roman" w:cstheme="minorHAnsi"/>
                <w:lang w:bidi="ar-SA"/>
              </w:rPr>
            </w:pPr>
            <w:r w:rsidRPr="002D6581">
              <w:rPr>
                <w:rFonts w:cstheme="minorHAnsi"/>
              </w:rPr>
              <w:t>0.01%</w:t>
            </w:r>
          </w:p>
        </w:tc>
        <w:tc>
          <w:tcPr>
            <w:tcW w:w="406" w:type="pct"/>
            <w:shd w:val="clear" w:color="000000" w:fill="FFFFFF"/>
            <w:vAlign w:val="center"/>
          </w:tcPr>
          <w:p w14:paraId="0D0411F1"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7031085D"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241AD25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3405404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29160D2C" w14:textId="77777777" w:rsidTr="002D6581">
        <w:trPr>
          <w:cantSplit/>
          <w:trHeight w:val="144"/>
        </w:trPr>
        <w:tc>
          <w:tcPr>
            <w:tcW w:w="286" w:type="pct"/>
            <w:shd w:val="clear" w:color="auto" w:fill="FFFFFF" w:themeFill="background1"/>
            <w:vAlign w:val="center"/>
          </w:tcPr>
          <w:p w14:paraId="6D9C9C55"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2C265693"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Telehealth Ages 0—12 years—Total Rate</w:t>
            </w:r>
          </w:p>
        </w:tc>
        <w:tc>
          <w:tcPr>
            <w:tcW w:w="312" w:type="pct"/>
            <w:shd w:val="clear" w:color="auto" w:fill="auto"/>
            <w:vAlign w:val="center"/>
          </w:tcPr>
          <w:p w14:paraId="55D41C3E" w14:textId="77777777" w:rsidR="00AB379C" w:rsidRPr="002D6581" w:rsidRDefault="00AB379C" w:rsidP="007055F6">
            <w:pPr>
              <w:jc w:val="center"/>
              <w:rPr>
                <w:rFonts w:eastAsia="Times New Roman" w:cstheme="minorHAnsi"/>
                <w:lang w:bidi="ar-SA"/>
              </w:rPr>
            </w:pPr>
            <w:r w:rsidRPr="002D6581">
              <w:rPr>
                <w:rFonts w:cstheme="minorHAnsi"/>
              </w:rPr>
              <w:t>246,331</w:t>
            </w:r>
          </w:p>
        </w:tc>
        <w:tc>
          <w:tcPr>
            <w:tcW w:w="281" w:type="pct"/>
            <w:shd w:val="clear" w:color="000000" w:fill="FFFFFF"/>
            <w:vAlign w:val="center"/>
          </w:tcPr>
          <w:p w14:paraId="454C645E" w14:textId="77777777" w:rsidR="00AB379C" w:rsidRPr="002D6581" w:rsidRDefault="00AB379C" w:rsidP="007055F6">
            <w:pPr>
              <w:jc w:val="center"/>
              <w:rPr>
                <w:rFonts w:eastAsia="Times New Roman" w:cstheme="minorHAnsi"/>
                <w:lang w:bidi="ar-SA"/>
              </w:rPr>
            </w:pPr>
            <w:r w:rsidRPr="002D6581">
              <w:rPr>
                <w:rFonts w:cstheme="minorHAnsi"/>
              </w:rPr>
              <w:t>2</w:t>
            </w:r>
          </w:p>
        </w:tc>
        <w:tc>
          <w:tcPr>
            <w:tcW w:w="311" w:type="pct"/>
            <w:shd w:val="clear" w:color="000000" w:fill="FFFFFF"/>
            <w:vAlign w:val="center"/>
          </w:tcPr>
          <w:p w14:paraId="1EB34EEE" w14:textId="77777777" w:rsidR="00AB379C" w:rsidRPr="002D6581" w:rsidRDefault="00AB379C" w:rsidP="007055F6">
            <w:pPr>
              <w:jc w:val="center"/>
              <w:rPr>
                <w:rFonts w:eastAsia="Times New Roman" w:cstheme="minorHAnsi"/>
                <w:lang w:bidi="ar-SA"/>
              </w:rPr>
            </w:pPr>
            <w:r w:rsidRPr="002D6581">
              <w:rPr>
                <w:rFonts w:cstheme="minorHAnsi"/>
                <w:b/>
                <w:bCs/>
              </w:rPr>
              <w:t>0.01%</w:t>
            </w:r>
          </w:p>
        </w:tc>
        <w:tc>
          <w:tcPr>
            <w:tcW w:w="343" w:type="pct"/>
            <w:shd w:val="clear" w:color="000000" w:fill="FFFFFF"/>
            <w:vAlign w:val="center"/>
          </w:tcPr>
          <w:p w14:paraId="5FE7BFB3"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375" w:type="pct"/>
            <w:shd w:val="clear" w:color="000000" w:fill="FFFFFF"/>
            <w:vAlign w:val="center"/>
          </w:tcPr>
          <w:p w14:paraId="58B21B8E" w14:textId="77777777" w:rsidR="00AB379C" w:rsidRPr="002D6581" w:rsidRDefault="00AB379C" w:rsidP="007055F6">
            <w:pPr>
              <w:jc w:val="center"/>
              <w:rPr>
                <w:rFonts w:eastAsia="Times New Roman" w:cstheme="minorHAnsi"/>
                <w:lang w:bidi="ar-SA"/>
              </w:rPr>
            </w:pPr>
            <w:r w:rsidRPr="002D6581">
              <w:rPr>
                <w:rFonts w:cstheme="minorHAnsi"/>
              </w:rPr>
              <w:t>0.0%</w:t>
            </w:r>
          </w:p>
        </w:tc>
        <w:tc>
          <w:tcPr>
            <w:tcW w:w="405" w:type="pct"/>
            <w:shd w:val="clear" w:color="000000" w:fill="FFFFFF"/>
            <w:vAlign w:val="center"/>
          </w:tcPr>
          <w:p w14:paraId="43D7F525" w14:textId="77777777" w:rsidR="00AB379C" w:rsidRPr="002D6581" w:rsidRDefault="00AB379C" w:rsidP="007055F6">
            <w:pPr>
              <w:jc w:val="center"/>
              <w:rPr>
                <w:rFonts w:eastAsia="Times New Roman" w:cstheme="minorHAnsi"/>
                <w:lang w:bidi="ar-SA"/>
              </w:rPr>
            </w:pPr>
            <w:r w:rsidRPr="002D6581">
              <w:rPr>
                <w:rFonts w:cstheme="minorHAnsi"/>
              </w:rPr>
              <w:t>0.01%</w:t>
            </w:r>
          </w:p>
        </w:tc>
        <w:tc>
          <w:tcPr>
            <w:tcW w:w="406" w:type="pct"/>
            <w:shd w:val="clear" w:color="000000" w:fill="FFFFFF"/>
            <w:vAlign w:val="center"/>
          </w:tcPr>
          <w:p w14:paraId="4EE46F1F"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2C87DA9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72D8D280"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031072F0"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477B311" w14:textId="77777777" w:rsidTr="002D6581">
        <w:trPr>
          <w:cantSplit/>
          <w:trHeight w:val="144"/>
        </w:trPr>
        <w:tc>
          <w:tcPr>
            <w:tcW w:w="286" w:type="pct"/>
            <w:shd w:val="clear" w:color="auto" w:fill="FFFFFF" w:themeFill="background1"/>
            <w:vAlign w:val="center"/>
          </w:tcPr>
          <w:p w14:paraId="4E041C5D"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0EC1024A"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Telehealth Ages 13—17 years—Male</w:t>
            </w:r>
          </w:p>
        </w:tc>
        <w:tc>
          <w:tcPr>
            <w:tcW w:w="312" w:type="pct"/>
            <w:shd w:val="clear" w:color="auto" w:fill="auto"/>
            <w:vAlign w:val="center"/>
          </w:tcPr>
          <w:p w14:paraId="1D8196F1" w14:textId="77777777" w:rsidR="00AB379C" w:rsidRPr="002D6581" w:rsidRDefault="00AB379C" w:rsidP="007055F6">
            <w:pPr>
              <w:jc w:val="center"/>
              <w:rPr>
                <w:rFonts w:eastAsia="Times New Roman" w:cstheme="minorHAnsi"/>
                <w:lang w:bidi="ar-SA"/>
              </w:rPr>
            </w:pPr>
            <w:r w:rsidRPr="002D6581">
              <w:rPr>
                <w:rFonts w:cstheme="minorHAnsi"/>
              </w:rPr>
              <w:t>63,679</w:t>
            </w:r>
          </w:p>
        </w:tc>
        <w:tc>
          <w:tcPr>
            <w:tcW w:w="281" w:type="pct"/>
            <w:shd w:val="clear" w:color="000000" w:fill="FFFFFF"/>
            <w:vAlign w:val="center"/>
          </w:tcPr>
          <w:p w14:paraId="0F886F06" w14:textId="77777777" w:rsidR="00AB379C" w:rsidRPr="002D6581" w:rsidRDefault="00AB379C" w:rsidP="007055F6">
            <w:pPr>
              <w:jc w:val="center"/>
              <w:rPr>
                <w:rFonts w:eastAsia="Times New Roman" w:cstheme="minorHAnsi"/>
                <w:lang w:bidi="ar-SA"/>
              </w:rPr>
            </w:pPr>
            <w:r w:rsidRPr="002D6581">
              <w:rPr>
                <w:rFonts w:cstheme="minorHAnsi"/>
              </w:rPr>
              <w:t>11</w:t>
            </w:r>
          </w:p>
        </w:tc>
        <w:tc>
          <w:tcPr>
            <w:tcW w:w="311" w:type="pct"/>
            <w:shd w:val="clear" w:color="000000" w:fill="FFFFFF"/>
            <w:vAlign w:val="center"/>
          </w:tcPr>
          <w:p w14:paraId="0017F9FF" w14:textId="77777777" w:rsidR="00AB379C" w:rsidRPr="002D6581" w:rsidRDefault="00AB379C" w:rsidP="007055F6">
            <w:pPr>
              <w:jc w:val="center"/>
              <w:rPr>
                <w:rFonts w:eastAsia="Times New Roman" w:cstheme="minorHAnsi"/>
                <w:lang w:bidi="ar-SA"/>
              </w:rPr>
            </w:pPr>
            <w:r w:rsidRPr="002D6581">
              <w:rPr>
                <w:rFonts w:cstheme="minorHAnsi"/>
                <w:b/>
                <w:bCs/>
              </w:rPr>
              <w:t>0.21%</w:t>
            </w:r>
          </w:p>
        </w:tc>
        <w:tc>
          <w:tcPr>
            <w:tcW w:w="343" w:type="pct"/>
            <w:shd w:val="clear" w:color="000000" w:fill="FFFFFF"/>
            <w:vAlign w:val="center"/>
          </w:tcPr>
          <w:p w14:paraId="32DE63AF"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375" w:type="pct"/>
            <w:shd w:val="clear" w:color="000000" w:fill="FFFFFF"/>
            <w:vAlign w:val="center"/>
          </w:tcPr>
          <w:p w14:paraId="18A30552"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405" w:type="pct"/>
            <w:shd w:val="clear" w:color="000000" w:fill="FFFFFF"/>
            <w:vAlign w:val="center"/>
          </w:tcPr>
          <w:p w14:paraId="410FEC9C" w14:textId="77777777" w:rsidR="00AB379C" w:rsidRPr="002D6581" w:rsidRDefault="00AB379C" w:rsidP="007055F6">
            <w:pPr>
              <w:jc w:val="center"/>
              <w:rPr>
                <w:rFonts w:eastAsia="Times New Roman" w:cstheme="minorHAnsi"/>
                <w:lang w:bidi="ar-SA"/>
              </w:rPr>
            </w:pPr>
            <w:r w:rsidRPr="002D6581">
              <w:rPr>
                <w:rFonts w:cstheme="minorHAnsi"/>
              </w:rPr>
              <w:t>0.38%</w:t>
            </w:r>
          </w:p>
        </w:tc>
        <w:tc>
          <w:tcPr>
            <w:tcW w:w="406" w:type="pct"/>
            <w:shd w:val="clear" w:color="000000" w:fill="FFFFFF"/>
            <w:vAlign w:val="center"/>
          </w:tcPr>
          <w:p w14:paraId="1AF50400"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44A739F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E68450C"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612DC8A8"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3F2C65FB" w14:textId="77777777" w:rsidTr="002D6581">
        <w:trPr>
          <w:cantSplit/>
          <w:trHeight w:val="144"/>
        </w:trPr>
        <w:tc>
          <w:tcPr>
            <w:tcW w:w="286" w:type="pct"/>
            <w:shd w:val="clear" w:color="auto" w:fill="FFFFFF" w:themeFill="background1"/>
            <w:vAlign w:val="center"/>
          </w:tcPr>
          <w:p w14:paraId="6F1D6B70"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56AFA6D7"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Telehealth Ages 13—17 years—Female</w:t>
            </w:r>
          </w:p>
        </w:tc>
        <w:tc>
          <w:tcPr>
            <w:tcW w:w="312" w:type="pct"/>
            <w:shd w:val="clear" w:color="auto" w:fill="auto"/>
            <w:vAlign w:val="center"/>
          </w:tcPr>
          <w:p w14:paraId="2BA06963" w14:textId="77777777" w:rsidR="00AB379C" w:rsidRPr="002D6581" w:rsidRDefault="00AB379C" w:rsidP="007055F6">
            <w:pPr>
              <w:jc w:val="center"/>
              <w:rPr>
                <w:rFonts w:eastAsia="Times New Roman" w:cstheme="minorHAnsi"/>
                <w:lang w:bidi="ar-SA"/>
              </w:rPr>
            </w:pPr>
            <w:r w:rsidRPr="002D6581">
              <w:rPr>
                <w:rFonts w:cstheme="minorHAnsi"/>
              </w:rPr>
              <w:t>64,206</w:t>
            </w:r>
          </w:p>
        </w:tc>
        <w:tc>
          <w:tcPr>
            <w:tcW w:w="281" w:type="pct"/>
            <w:shd w:val="clear" w:color="000000" w:fill="FFFFFF"/>
            <w:vAlign w:val="center"/>
          </w:tcPr>
          <w:p w14:paraId="43F7C84A" w14:textId="77777777" w:rsidR="00AB379C" w:rsidRPr="002D6581" w:rsidRDefault="00AB379C" w:rsidP="007055F6">
            <w:pPr>
              <w:jc w:val="center"/>
              <w:rPr>
                <w:rFonts w:eastAsia="Times New Roman" w:cstheme="minorHAnsi"/>
                <w:lang w:bidi="ar-SA"/>
              </w:rPr>
            </w:pPr>
            <w:r w:rsidRPr="002D6581">
              <w:rPr>
                <w:rFonts w:cstheme="minorHAnsi"/>
              </w:rPr>
              <w:t>12</w:t>
            </w:r>
          </w:p>
        </w:tc>
        <w:tc>
          <w:tcPr>
            <w:tcW w:w="311" w:type="pct"/>
            <w:shd w:val="clear" w:color="000000" w:fill="FFFFFF"/>
            <w:vAlign w:val="center"/>
          </w:tcPr>
          <w:p w14:paraId="13CBAA1C" w14:textId="77777777" w:rsidR="00AB379C" w:rsidRPr="002D6581" w:rsidRDefault="00AB379C" w:rsidP="007055F6">
            <w:pPr>
              <w:jc w:val="center"/>
              <w:rPr>
                <w:rFonts w:eastAsia="Times New Roman" w:cstheme="minorHAnsi"/>
                <w:lang w:bidi="ar-SA"/>
              </w:rPr>
            </w:pPr>
            <w:r w:rsidRPr="002D6581">
              <w:rPr>
                <w:rFonts w:cstheme="minorHAnsi"/>
                <w:b/>
                <w:bCs/>
              </w:rPr>
              <w:t>0.22%</w:t>
            </w:r>
          </w:p>
        </w:tc>
        <w:tc>
          <w:tcPr>
            <w:tcW w:w="343" w:type="pct"/>
            <w:shd w:val="clear" w:color="000000" w:fill="FFFFFF"/>
            <w:vAlign w:val="center"/>
          </w:tcPr>
          <w:p w14:paraId="0749A4E1"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375" w:type="pct"/>
            <w:shd w:val="clear" w:color="000000" w:fill="FFFFFF"/>
            <w:vAlign w:val="center"/>
          </w:tcPr>
          <w:p w14:paraId="2F4701C3" w14:textId="77777777" w:rsidR="00AB379C" w:rsidRPr="002D6581" w:rsidRDefault="00AB379C" w:rsidP="007055F6">
            <w:pPr>
              <w:jc w:val="center"/>
              <w:rPr>
                <w:rFonts w:eastAsia="Times New Roman" w:cstheme="minorHAnsi"/>
                <w:lang w:bidi="ar-SA"/>
              </w:rPr>
            </w:pPr>
            <w:r w:rsidRPr="002D6581">
              <w:rPr>
                <w:rFonts w:cstheme="minorHAnsi"/>
              </w:rPr>
              <w:t>0.3%</w:t>
            </w:r>
          </w:p>
        </w:tc>
        <w:tc>
          <w:tcPr>
            <w:tcW w:w="405" w:type="pct"/>
            <w:shd w:val="clear" w:color="000000" w:fill="FFFFFF"/>
            <w:vAlign w:val="center"/>
          </w:tcPr>
          <w:p w14:paraId="521B6E41" w14:textId="77777777" w:rsidR="00AB379C" w:rsidRPr="002D6581" w:rsidRDefault="00AB379C" w:rsidP="007055F6">
            <w:pPr>
              <w:jc w:val="center"/>
              <w:rPr>
                <w:rFonts w:eastAsia="Times New Roman" w:cstheme="minorHAnsi"/>
                <w:lang w:bidi="ar-SA"/>
              </w:rPr>
            </w:pPr>
            <w:r w:rsidRPr="002D6581">
              <w:rPr>
                <w:rFonts w:cstheme="minorHAnsi"/>
              </w:rPr>
              <w:t>0.34%</w:t>
            </w:r>
          </w:p>
        </w:tc>
        <w:tc>
          <w:tcPr>
            <w:tcW w:w="406" w:type="pct"/>
            <w:shd w:val="clear" w:color="000000" w:fill="FFFFFF"/>
            <w:vAlign w:val="center"/>
          </w:tcPr>
          <w:p w14:paraId="01619A58"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186AD692"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5B66625"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1798D3E"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r w:rsidR="00AB379C" w:rsidRPr="002D6581" w14:paraId="62B6C74E" w14:textId="77777777" w:rsidTr="002D6581">
        <w:trPr>
          <w:cantSplit/>
          <w:trHeight w:val="144"/>
        </w:trPr>
        <w:tc>
          <w:tcPr>
            <w:tcW w:w="286" w:type="pct"/>
            <w:shd w:val="clear" w:color="auto" w:fill="FFFFFF" w:themeFill="background1"/>
            <w:vAlign w:val="center"/>
          </w:tcPr>
          <w:p w14:paraId="25511B96" w14:textId="77777777" w:rsidR="00AB379C" w:rsidRPr="002D6581" w:rsidRDefault="00AB379C" w:rsidP="007055F6">
            <w:pPr>
              <w:jc w:val="center"/>
              <w:rPr>
                <w:rFonts w:eastAsia="Times New Roman" w:cstheme="minorHAnsi"/>
                <w:lang w:bidi="ar-SA"/>
              </w:rPr>
            </w:pPr>
            <w:r w:rsidRPr="002D6581">
              <w:rPr>
                <w:rFonts w:eastAsia="Times New Roman" w:cstheme="minorHAnsi"/>
                <w:lang w:bidi="ar-SA"/>
              </w:rPr>
              <w:t>HEDIS</w:t>
            </w:r>
          </w:p>
        </w:tc>
        <w:tc>
          <w:tcPr>
            <w:tcW w:w="1060" w:type="pct"/>
            <w:shd w:val="clear" w:color="auto" w:fill="FFFFFF" w:themeFill="background1"/>
            <w:vAlign w:val="center"/>
          </w:tcPr>
          <w:p w14:paraId="339C1552" w14:textId="77777777" w:rsidR="00AB379C" w:rsidRPr="002D6581" w:rsidRDefault="00AB379C" w:rsidP="007055F6">
            <w:pPr>
              <w:ind w:left="76"/>
              <w:jc w:val="left"/>
              <w:rPr>
                <w:rFonts w:eastAsia="Times New Roman" w:cstheme="minorHAnsi"/>
                <w:lang w:bidi="ar-SA"/>
              </w:rPr>
            </w:pPr>
            <w:r w:rsidRPr="002D6581">
              <w:rPr>
                <w:rFonts w:eastAsia="Times New Roman" w:cstheme="minorHAnsi"/>
                <w:lang w:bidi="ar-SA"/>
              </w:rPr>
              <w:t>IAD: Telehealth Ages 13—17 years—Total Rate</w:t>
            </w:r>
          </w:p>
        </w:tc>
        <w:tc>
          <w:tcPr>
            <w:tcW w:w="312" w:type="pct"/>
            <w:shd w:val="clear" w:color="auto" w:fill="auto"/>
            <w:vAlign w:val="center"/>
          </w:tcPr>
          <w:p w14:paraId="05EABDBD" w14:textId="77777777" w:rsidR="00AB379C" w:rsidRPr="002D6581" w:rsidRDefault="00AB379C" w:rsidP="007055F6">
            <w:pPr>
              <w:jc w:val="center"/>
              <w:rPr>
                <w:rFonts w:eastAsia="Times New Roman" w:cstheme="minorHAnsi"/>
                <w:lang w:bidi="ar-SA"/>
              </w:rPr>
            </w:pPr>
            <w:r w:rsidRPr="002D6581">
              <w:rPr>
                <w:rFonts w:cstheme="minorHAnsi"/>
              </w:rPr>
              <w:t>127,885</w:t>
            </w:r>
          </w:p>
        </w:tc>
        <w:tc>
          <w:tcPr>
            <w:tcW w:w="281" w:type="pct"/>
            <w:shd w:val="clear" w:color="000000" w:fill="FFFFFF"/>
            <w:vAlign w:val="center"/>
          </w:tcPr>
          <w:p w14:paraId="197DB210" w14:textId="77777777" w:rsidR="00AB379C" w:rsidRPr="002D6581" w:rsidRDefault="00AB379C" w:rsidP="007055F6">
            <w:pPr>
              <w:jc w:val="center"/>
              <w:rPr>
                <w:rFonts w:eastAsia="Times New Roman" w:cstheme="minorHAnsi"/>
                <w:lang w:bidi="ar-SA"/>
              </w:rPr>
            </w:pPr>
            <w:r w:rsidRPr="002D6581">
              <w:rPr>
                <w:rFonts w:cstheme="minorHAnsi"/>
              </w:rPr>
              <w:t>23</w:t>
            </w:r>
          </w:p>
        </w:tc>
        <w:tc>
          <w:tcPr>
            <w:tcW w:w="311" w:type="pct"/>
            <w:shd w:val="clear" w:color="000000" w:fill="FFFFFF"/>
            <w:vAlign w:val="center"/>
          </w:tcPr>
          <w:p w14:paraId="0624BE59" w14:textId="77777777" w:rsidR="00AB379C" w:rsidRPr="002D6581" w:rsidRDefault="00AB379C" w:rsidP="007055F6">
            <w:pPr>
              <w:jc w:val="center"/>
              <w:rPr>
                <w:rFonts w:eastAsia="Times New Roman" w:cstheme="minorHAnsi"/>
                <w:lang w:bidi="ar-SA"/>
              </w:rPr>
            </w:pPr>
            <w:r w:rsidRPr="002D6581">
              <w:rPr>
                <w:rFonts w:cstheme="minorHAnsi"/>
                <w:b/>
                <w:bCs/>
              </w:rPr>
              <w:t>0.22%</w:t>
            </w:r>
          </w:p>
        </w:tc>
        <w:tc>
          <w:tcPr>
            <w:tcW w:w="343" w:type="pct"/>
            <w:shd w:val="clear" w:color="000000" w:fill="FFFFFF"/>
            <w:vAlign w:val="center"/>
          </w:tcPr>
          <w:p w14:paraId="4AA70817"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375" w:type="pct"/>
            <w:shd w:val="clear" w:color="000000" w:fill="FFFFFF"/>
            <w:vAlign w:val="center"/>
          </w:tcPr>
          <w:p w14:paraId="04EE3732" w14:textId="77777777" w:rsidR="00AB379C" w:rsidRPr="002D6581" w:rsidRDefault="00AB379C" w:rsidP="007055F6">
            <w:pPr>
              <w:jc w:val="center"/>
              <w:rPr>
                <w:rFonts w:eastAsia="Times New Roman" w:cstheme="minorHAnsi"/>
                <w:lang w:bidi="ar-SA"/>
              </w:rPr>
            </w:pPr>
            <w:r w:rsidRPr="002D6581">
              <w:rPr>
                <w:rFonts w:cstheme="minorHAnsi"/>
              </w:rPr>
              <w:t>0.2%</w:t>
            </w:r>
          </w:p>
        </w:tc>
        <w:tc>
          <w:tcPr>
            <w:tcW w:w="405" w:type="pct"/>
            <w:shd w:val="clear" w:color="000000" w:fill="FFFFFF"/>
            <w:vAlign w:val="center"/>
          </w:tcPr>
          <w:p w14:paraId="41C82EAA" w14:textId="77777777" w:rsidR="00AB379C" w:rsidRPr="002D6581" w:rsidRDefault="00AB379C" w:rsidP="007055F6">
            <w:pPr>
              <w:jc w:val="center"/>
              <w:rPr>
                <w:rFonts w:eastAsia="Times New Roman" w:cstheme="minorHAnsi"/>
                <w:lang w:bidi="ar-SA"/>
              </w:rPr>
            </w:pPr>
            <w:r w:rsidRPr="002D6581">
              <w:rPr>
                <w:rFonts w:cstheme="minorHAnsi"/>
              </w:rPr>
              <w:t>0.36%</w:t>
            </w:r>
          </w:p>
        </w:tc>
        <w:tc>
          <w:tcPr>
            <w:tcW w:w="406" w:type="pct"/>
            <w:shd w:val="clear" w:color="000000" w:fill="FFFFFF"/>
            <w:vAlign w:val="center"/>
          </w:tcPr>
          <w:p w14:paraId="37B2FDC2" w14:textId="77777777" w:rsidR="00AB379C" w:rsidRPr="002D6581" w:rsidRDefault="00AB379C" w:rsidP="007055F6">
            <w:pPr>
              <w:jc w:val="center"/>
              <w:rPr>
                <w:rFonts w:eastAsia="Times New Roman" w:cstheme="minorHAnsi"/>
                <w:lang w:bidi="ar-SA"/>
              </w:rPr>
            </w:pPr>
            <w:r w:rsidRPr="002D6581">
              <w:rPr>
                <w:rFonts w:cstheme="minorHAnsi"/>
              </w:rPr>
              <w:t>-</w:t>
            </w:r>
          </w:p>
        </w:tc>
        <w:tc>
          <w:tcPr>
            <w:tcW w:w="343" w:type="pct"/>
            <w:shd w:val="clear" w:color="auto" w:fill="D9D9D9" w:themeFill="background1" w:themeFillShade="D9"/>
            <w:vAlign w:val="center"/>
          </w:tcPr>
          <w:p w14:paraId="68BDD8AF"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343" w:type="pct"/>
            <w:shd w:val="clear" w:color="auto" w:fill="D9D9D9" w:themeFill="background1" w:themeFillShade="D9"/>
            <w:vAlign w:val="center"/>
          </w:tcPr>
          <w:p w14:paraId="562EB047" w14:textId="77777777" w:rsidR="00AB379C" w:rsidRPr="002D6581" w:rsidRDefault="00AB379C" w:rsidP="007055F6">
            <w:pPr>
              <w:jc w:val="center"/>
              <w:rPr>
                <w:rFonts w:eastAsia="Times New Roman" w:cstheme="minorHAnsi"/>
                <w:lang w:bidi="ar-SA"/>
              </w:rPr>
            </w:pPr>
            <w:r w:rsidRPr="002D6581">
              <w:rPr>
                <w:rFonts w:cstheme="minorHAnsi"/>
              </w:rPr>
              <w:t> </w:t>
            </w:r>
          </w:p>
        </w:tc>
        <w:tc>
          <w:tcPr>
            <w:tcW w:w="535" w:type="pct"/>
            <w:shd w:val="clear" w:color="000000" w:fill="FFFFFF"/>
            <w:vAlign w:val="center"/>
          </w:tcPr>
          <w:p w14:paraId="582D738D" w14:textId="77777777" w:rsidR="00AB379C" w:rsidRPr="002D6581" w:rsidRDefault="00AB379C" w:rsidP="007055F6">
            <w:pPr>
              <w:jc w:val="center"/>
              <w:rPr>
                <w:rFonts w:eastAsia="Times New Roman" w:cstheme="minorHAnsi"/>
                <w:lang w:bidi="ar-SA"/>
              </w:rPr>
            </w:pPr>
            <w:r w:rsidRPr="002D6581">
              <w:rPr>
                <w:rFonts w:cstheme="minorHAnsi"/>
              </w:rPr>
              <w:t xml:space="preserve">NA </w:t>
            </w:r>
          </w:p>
        </w:tc>
      </w:tr>
    </w:tbl>
    <w:p w14:paraId="1908E86F" w14:textId="77777777" w:rsidR="00AB379C" w:rsidRPr="00F7033D" w:rsidRDefault="00AB379C" w:rsidP="00AE1649">
      <w:pPr>
        <w:rPr>
          <w:sz w:val="20"/>
          <w:szCs w:val="20"/>
        </w:rPr>
      </w:pPr>
      <w:r w:rsidRPr="00F7033D">
        <w:rPr>
          <w:sz w:val="20"/>
          <w:szCs w:val="20"/>
          <w:vertAlign w:val="superscript"/>
        </w:rPr>
        <w:t>1</w:t>
      </w:r>
      <w:r w:rsidRPr="00F7033D">
        <w:rPr>
          <w:sz w:val="20"/>
          <w:szCs w:val="20"/>
        </w:rPr>
        <w:t xml:space="preserve"> For comparison of MY 202</w:t>
      </w:r>
      <w:r>
        <w:rPr>
          <w:sz w:val="20"/>
          <w:szCs w:val="20"/>
        </w:rPr>
        <w:t>1</w:t>
      </w:r>
      <w:r w:rsidRPr="00F7033D">
        <w:rPr>
          <w:sz w:val="20"/>
          <w:szCs w:val="20"/>
        </w:rPr>
        <w:t xml:space="preserve"> rates to MY 20</w:t>
      </w:r>
      <w:r>
        <w:rPr>
          <w:sz w:val="20"/>
          <w:szCs w:val="20"/>
        </w:rPr>
        <w:t>20</w:t>
      </w:r>
      <w:r w:rsidRPr="00F7033D">
        <w:rPr>
          <w:sz w:val="20"/>
          <w:szCs w:val="20"/>
        </w:rPr>
        <w:t xml:space="preserve"> rates, statistically significant increases are indicated by “+,” statistically significant decreases by “</w:t>
      </w:r>
      <w:r w:rsidRPr="00F7033D">
        <w:rPr>
          <w:rFonts w:cstheme="minorHAnsi"/>
          <w:sz w:val="20"/>
          <w:szCs w:val="20"/>
        </w:rPr>
        <w:t>−</w:t>
      </w:r>
      <w:r w:rsidRPr="00F7033D">
        <w:rPr>
          <w:sz w:val="20"/>
          <w:szCs w:val="20"/>
        </w:rPr>
        <w:t>,” and no statistically significant change by “</w:t>
      </w:r>
      <w:proofErr w:type="spellStart"/>
      <w:r w:rsidRPr="00F7033D">
        <w:rPr>
          <w:sz w:val="20"/>
          <w:szCs w:val="20"/>
        </w:rPr>
        <w:t>n.s</w:t>
      </w:r>
      <w:proofErr w:type="spellEnd"/>
      <w:r w:rsidRPr="00F7033D">
        <w:rPr>
          <w:sz w:val="20"/>
          <w:szCs w:val="20"/>
        </w:rPr>
        <w:t xml:space="preserve">.” </w:t>
      </w:r>
      <w:r w:rsidRPr="00F7033D">
        <w:rPr>
          <w:bCs/>
          <w:sz w:val="20"/>
          <w:szCs w:val="20"/>
        </w:rPr>
        <w:t>For comparison of MY 202</w:t>
      </w:r>
      <w:r>
        <w:rPr>
          <w:bCs/>
          <w:sz w:val="20"/>
          <w:szCs w:val="20"/>
        </w:rPr>
        <w:t>1</w:t>
      </w:r>
      <w:r w:rsidRPr="00F7033D">
        <w:rPr>
          <w:bCs/>
          <w:sz w:val="20"/>
          <w:szCs w:val="20"/>
        </w:rPr>
        <w:t xml:space="preserve"> rates to CHIP MMC rates, the “+” denotes that the plan rate exceeds the CHIP MMC rate, the “</w:t>
      </w:r>
      <w:r w:rsidRPr="00F7033D">
        <w:rPr>
          <w:rFonts w:cstheme="minorHAnsi"/>
          <w:sz w:val="20"/>
          <w:szCs w:val="20"/>
        </w:rPr>
        <w:t>−</w:t>
      </w:r>
      <w:r w:rsidRPr="00F7033D">
        <w:rPr>
          <w:bCs/>
          <w:sz w:val="20"/>
          <w:szCs w:val="20"/>
        </w:rPr>
        <w:t>” denotes that the MMC rate exceeds the plan rate, and “</w:t>
      </w:r>
      <w:proofErr w:type="spellStart"/>
      <w:r w:rsidRPr="00F7033D">
        <w:rPr>
          <w:bCs/>
          <w:sz w:val="20"/>
          <w:szCs w:val="20"/>
        </w:rPr>
        <w:t>n.s</w:t>
      </w:r>
      <w:proofErr w:type="spellEnd"/>
      <w:r w:rsidRPr="00F7033D">
        <w:rPr>
          <w:bCs/>
          <w:sz w:val="20"/>
          <w:szCs w:val="20"/>
        </w:rPr>
        <w:t>.” denotes no statistically significant difference between the two rates. Gray shading indicates IPRO does</w:t>
      </w:r>
      <w:r>
        <w:rPr>
          <w:bCs/>
          <w:sz w:val="20"/>
          <w:szCs w:val="20"/>
        </w:rPr>
        <w:t xml:space="preserve"> </w:t>
      </w:r>
      <w:r w:rsidRPr="00F7033D">
        <w:rPr>
          <w:bCs/>
          <w:sz w:val="20"/>
          <w:szCs w:val="20"/>
        </w:rPr>
        <w:t>n</w:t>
      </w:r>
      <w:r>
        <w:rPr>
          <w:bCs/>
          <w:sz w:val="20"/>
          <w:szCs w:val="20"/>
        </w:rPr>
        <w:t>o</w:t>
      </w:r>
      <w:r w:rsidRPr="00F7033D">
        <w:rPr>
          <w:bCs/>
          <w:sz w:val="20"/>
          <w:szCs w:val="20"/>
        </w:rPr>
        <w:t>t provide or calculate these rates.</w:t>
      </w:r>
    </w:p>
    <w:p w14:paraId="56C97DBD" w14:textId="591FBC7E" w:rsidR="00563310" w:rsidRDefault="00563310" w:rsidP="00AE1649">
      <w:pPr>
        <w:rPr>
          <w:sz w:val="20"/>
          <w:szCs w:val="20"/>
        </w:rPr>
      </w:pPr>
      <w:r>
        <w:rPr>
          <w:sz w:val="20"/>
          <w:szCs w:val="20"/>
        </w:rPr>
        <w:t>Where cells are blank in the above table, this reflects that there are missing data in the MCO’s Interactive Data Submission System (IDSS) file. Cells are reported as blank to reflect this.</w:t>
      </w:r>
    </w:p>
    <w:p w14:paraId="05C9AFC9" w14:textId="0C208636" w:rsidR="00AB379C" w:rsidRPr="00F7033D" w:rsidRDefault="00AB379C" w:rsidP="00AE1649">
      <w:pPr>
        <w:rPr>
          <w:sz w:val="20"/>
          <w:szCs w:val="20"/>
        </w:rPr>
      </w:pPr>
      <w:proofErr w:type="spellStart"/>
      <w:r w:rsidRPr="00F7033D">
        <w:rPr>
          <w:sz w:val="20"/>
          <w:szCs w:val="20"/>
        </w:rPr>
        <w:t>Denom</w:t>
      </w:r>
      <w:proofErr w:type="spellEnd"/>
      <w:r w:rsidRPr="00F7033D">
        <w:rPr>
          <w:sz w:val="20"/>
          <w:szCs w:val="20"/>
        </w:rPr>
        <w:t>: denominator; Num: numerator; MY: measurement year; MMC: Medicaid Managed Care; HEDIS: Healthcare Effectiveness Data and Information Set;</w:t>
      </w:r>
      <w:r w:rsidR="0047242D">
        <w:rPr>
          <w:sz w:val="20"/>
          <w:szCs w:val="20"/>
        </w:rPr>
        <w:t xml:space="preserve"> MM: member months</w:t>
      </w:r>
      <w:r w:rsidR="00207EA2">
        <w:rPr>
          <w:sz w:val="20"/>
          <w:szCs w:val="20"/>
        </w:rPr>
        <w:t>;</w:t>
      </w:r>
      <w:r w:rsidRPr="00F7033D">
        <w:rPr>
          <w:sz w:val="20"/>
          <w:szCs w:val="20"/>
        </w:rPr>
        <w:t xml:space="preserve"> NA: not available, as no HEDIS percentile is av</w:t>
      </w:r>
      <w:r>
        <w:rPr>
          <w:sz w:val="20"/>
          <w:szCs w:val="20"/>
        </w:rPr>
        <w:t>ailable to compare</w:t>
      </w:r>
      <w:r w:rsidR="00207EA2">
        <w:rPr>
          <w:sz w:val="20"/>
          <w:szCs w:val="20"/>
        </w:rPr>
        <w:t>; N/A: not applicable</w:t>
      </w:r>
      <w:r w:rsidR="00885A0E">
        <w:rPr>
          <w:sz w:val="20"/>
          <w:szCs w:val="20"/>
        </w:rPr>
        <w:t>; ALOS: average length of stay; ED: emergency department</w:t>
      </w:r>
      <w:r w:rsidRPr="00F7033D">
        <w:rPr>
          <w:sz w:val="20"/>
          <w:szCs w:val="20"/>
        </w:rPr>
        <w:t>.</w:t>
      </w:r>
    </w:p>
    <w:p w14:paraId="2569741C" w14:textId="77777777" w:rsidR="00AB379C" w:rsidRPr="00F7033D" w:rsidRDefault="00AB379C" w:rsidP="00AB379C">
      <w:pPr>
        <w:rPr>
          <w:highlight w:val="yellow"/>
        </w:rPr>
      </w:pPr>
    </w:p>
    <w:p w14:paraId="59981197" w14:textId="77777777" w:rsidR="00AB379C" w:rsidRPr="00F7033D" w:rsidRDefault="00AB379C" w:rsidP="00AB379C">
      <w:pPr>
        <w:spacing w:after="200" w:line="276" w:lineRule="auto"/>
        <w:jc w:val="left"/>
        <w:rPr>
          <w:highlight w:val="yellow"/>
        </w:rPr>
        <w:sectPr w:rsidR="00AB379C" w:rsidRPr="00F7033D" w:rsidSect="00CE585A">
          <w:footerReference w:type="default" r:id="rId11"/>
          <w:pgSz w:w="15840" w:h="12240" w:orient="landscape"/>
          <w:pgMar w:top="720" w:right="720" w:bottom="720" w:left="720" w:header="720" w:footer="576" w:gutter="0"/>
          <w:cols w:space="720"/>
          <w:docGrid w:linePitch="360"/>
        </w:sectPr>
      </w:pPr>
    </w:p>
    <w:p w14:paraId="39E7A945" w14:textId="77777777" w:rsidR="00AB379C" w:rsidRPr="00F7033D" w:rsidRDefault="00AB379C" w:rsidP="00AB379C">
      <w:pPr>
        <w:pStyle w:val="Heading2"/>
      </w:pPr>
      <w:bookmarkStart w:id="143" w:name="_Toc98922471"/>
      <w:bookmarkStart w:id="144" w:name="_Toc132641628"/>
      <w:r w:rsidRPr="00933D61">
        <w:lastRenderedPageBreak/>
        <w:t>Consumer Assessment of Healthcare Providers and Systems (CAHPS) Survey</w:t>
      </w:r>
      <w:bookmarkEnd w:id="143"/>
      <w:bookmarkEnd w:id="144"/>
    </w:p>
    <w:p w14:paraId="075586A0" w14:textId="77777777" w:rsidR="00AB379C" w:rsidRPr="00F7033D" w:rsidRDefault="00AB379C" w:rsidP="00AB379C">
      <w:pPr>
        <w:pStyle w:val="Heading3"/>
      </w:pPr>
      <w:bookmarkStart w:id="145" w:name="_Toc98922472"/>
      <w:bookmarkStart w:id="146" w:name="_Toc132641629"/>
      <w:r w:rsidRPr="00F7033D">
        <w:t>Satisfaction with the Experience of Care</w:t>
      </w:r>
      <w:bookmarkEnd w:id="145"/>
      <w:bookmarkEnd w:id="146"/>
    </w:p>
    <w:p w14:paraId="771A5155" w14:textId="77777777" w:rsidR="00AB379C" w:rsidRPr="00F7033D" w:rsidRDefault="00AB379C" w:rsidP="00AB379C">
      <w:r w:rsidRPr="00F7033D">
        <w:rPr>
          <w:b/>
        </w:rPr>
        <w:t>Table 2.9</w:t>
      </w:r>
      <w:r w:rsidRPr="00F7033D">
        <w:t xml:space="preserve"> provides the survey results of four composite questions by two specific categories for the MCO across the last 3 measurement years, as available. The composite questions target the MCO’s performance strengths as well as opportunities for improvement. </w:t>
      </w:r>
    </w:p>
    <w:p w14:paraId="47AF2656" w14:textId="77777777" w:rsidR="00AB379C" w:rsidRPr="00F7033D" w:rsidRDefault="00AB379C" w:rsidP="00AB379C"/>
    <w:p w14:paraId="255E7FD8" w14:textId="77777777" w:rsidR="00AB379C" w:rsidRPr="00F7033D" w:rsidRDefault="00AB379C" w:rsidP="00AB379C">
      <w:r w:rsidRPr="00F7033D">
        <w:t>Indicators from the survey chosen for reporting here include those that measure satisfaction as well as those that highlight the supplemental questions in the survey that cover mental health.</w:t>
      </w:r>
    </w:p>
    <w:p w14:paraId="355B49B3" w14:textId="77777777" w:rsidR="00AB379C" w:rsidRPr="00F7033D" w:rsidRDefault="00AB379C" w:rsidP="00AB379C"/>
    <w:p w14:paraId="0A2735C4" w14:textId="77777777" w:rsidR="00AB379C" w:rsidRPr="00F7033D" w:rsidRDefault="00AB379C" w:rsidP="00AB379C">
      <w:r w:rsidRPr="00F7033D">
        <w:t xml:space="preserve">Due to differences in the CAHPS submissions from year to year, direct comparisons of results are not always available. Questions that are not included in the most recent survey version are not presented in </w:t>
      </w:r>
      <w:r w:rsidRPr="00F7033D">
        <w:rPr>
          <w:b/>
        </w:rPr>
        <w:t>Table 2.9</w:t>
      </w:r>
      <w:r w:rsidRPr="00F7033D">
        <w:t xml:space="preserve">. </w:t>
      </w:r>
    </w:p>
    <w:p w14:paraId="1D465C99" w14:textId="77777777" w:rsidR="00AB379C" w:rsidRPr="00F7033D" w:rsidRDefault="00AB379C" w:rsidP="00AB379C">
      <w:pPr>
        <w:pStyle w:val="Heading3"/>
      </w:pPr>
      <w:bookmarkStart w:id="147" w:name="_Toc98922473"/>
      <w:bookmarkStart w:id="148" w:name="_Toc132641630"/>
      <w:r w:rsidRPr="00F7033D">
        <w:t>MY 202</w:t>
      </w:r>
      <w:r>
        <w:t>1</w:t>
      </w:r>
      <w:r w:rsidRPr="00F7033D">
        <w:t xml:space="preserve"> Child CAHPS 5.1H Survey Results</w:t>
      </w:r>
      <w:bookmarkEnd w:id="147"/>
      <w:bookmarkEnd w:id="148"/>
    </w:p>
    <w:p w14:paraId="2F5B1C7F" w14:textId="77777777" w:rsidR="00AB379C" w:rsidRPr="00F7033D" w:rsidRDefault="00AB379C" w:rsidP="00AB379C">
      <w:pPr>
        <w:pStyle w:val="tableheading"/>
      </w:pPr>
      <w:bookmarkStart w:id="149" w:name="_Toc477449756"/>
      <w:bookmarkStart w:id="150" w:name="_Toc512521062"/>
      <w:bookmarkStart w:id="151" w:name="_Toc98922507"/>
      <w:bookmarkStart w:id="152" w:name="_Toc132641669"/>
      <w:r w:rsidRPr="00F7033D">
        <w:t>Table 2.9: CAHPS MY 202</w:t>
      </w:r>
      <w:r>
        <w:t>1</w:t>
      </w:r>
      <w:r w:rsidRPr="00F7033D">
        <w:t xml:space="preserve"> Child Survey Results</w:t>
      </w:r>
      <w:bookmarkEnd w:id="149"/>
      <w:bookmarkEnd w:id="150"/>
      <w:bookmarkEnd w:id="151"/>
      <w:bookmarkEnd w:id="152"/>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4" w:type="dxa"/>
          <w:right w:w="14" w:type="dxa"/>
        </w:tblCellMar>
        <w:tblLook w:val="04A0" w:firstRow="1" w:lastRow="0" w:firstColumn="1" w:lastColumn="0" w:noHBand="0" w:noVBand="1"/>
      </w:tblPr>
      <w:tblGrid>
        <w:gridCol w:w="3571"/>
        <w:gridCol w:w="913"/>
        <w:gridCol w:w="1357"/>
        <w:gridCol w:w="1047"/>
        <w:gridCol w:w="1409"/>
        <w:gridCol w:w="1146"/>
        <w:gridCol w:w="1347"/>
      </w:tblGrid>
      <w:tr w:rsidR="00AB379C" w:rsidRPr="00D150F4" w14:paraId="0AE9B439" w14:textId="77777777" w:rsidTr="003A1EE0">
        <w:trPr>
          <w:trHeight w:val="785"/>
        </w:trPr>
        <w:tc>
          <w:tcPr>
            <w:tcW w:w="1655" w:type="pct"/>
            <w:shd w:val="clear" w:color="000000" w:fill="5F497A"/>
            <w:vAlign w:val="center"/>
          </w:tcPr>
          <w:p w14:paraId="5560EF7B" w14:textId="77777777" w:rsidR="00AB379C" w:rsidRPr="00D150F4" w:rsidRDefault="00AB379C" w:rsidP="007055F6">
            <w:pPr>
              <w:jc w:val="left"/>
              <w:rPr>
                <w:rFonts w:ascii="Calibri" w:eastAsia="Times New Roman" w:hAnsi="Calibri" w:cs="Times New Roman"/>
                <w:b/>
                <w:bCs/>
                <w:color w:val="FFFFFF"/>
                <w:lang w:bidi="ar-SA"/>
              </w:rPr>
            </w:pPr>
            <w:r w:rsidRPr="00D150F4">
              <w:rPr>
                <w:rFonts w:ascii="Calibri" w:eastAsia="Times New Roman" w:hAnsi="Calibri" w:cs="Times New Roman"/>
                <w:b/>
                <w:bCs/>
                <w:color w:val="FFFFFF"/>
                <w:lang w:bidi="ar-SA"/>
              </w:rPr>
              <w:t>Survey Section/Measure</w:t>
            </w:r>
          </w:p>
        </w:tc>
        <w:tc>
          <w:tcPr>
            <w:tcW w:w="423" w:type="pct"/>
            <w:shd w:val="clear" w:color="000000" w:fill="5F497A"/>
            <w:vAlign w:val="center"/>
            <w:hideMark/>
          </w:tcPr>
          <w:p w14:paraId="02D01622" w14:textId="77777777" w:rsidR="00AB379C" w:rsidRPr="00D150F4" w:rsidRDefault="00AB379C" w:rsidP="007055F6">
            <w:pPr>
              <w:jc w:val="center"/>
              <w:rPr>
                <w:rFonts w:ascii="Calibri" w:eastAsia="Times New Roman" w:hAnsi="Calibri" w:cs="Times New Roman"/>
                <w:b/>
                <w:bCs/>
                <w:color w:val="FFFFFF"/>
                <w:lang w:bidi="ar-SA"/>
              </w:rPr>
            </w:pPr>
            <w:r w:rsidRPr="00D150F4">
              <w:rPr>
                <w:rFonts w:ascii="Calibri" w:eastAsia="Times New Roman" w:hAnsi="Calibri" w:cs="Times New Roman"/>
                <w:b/>
                <w:bCs/>
                <w:color w:val="FFFFFF"/>
                <w:lang w:bidi="ar-SA"/>
              </w:rPr>
              <w:t>2022</w:t>
            </w:r>
          </w:p>
          <w:p w14:paraId="03EDBEAB" w14:textId="77777777" w:rsidR="00AB379C" w:rsidRPr="00D150F4" w:rsidRDefault="00AB379C" w:rsidP="007055F6">
            <w:pPr>
              <w:jc w:val="center"/>
              <w:rPr>
                <w:rFonts w:ascii="Calibri" w:eastAsia="Times New Roman" w:hAnsi="Calibri" w:cs="Times New Roman"/>
                <w:b/>
                <w:bCs/>
                <w:color w:val="FFFFFF"/>
                <w:lang w:bidi="ar-SA"/>
              </w:rPr>
            </w:pPr>
            <w:r w:rsidRPr="00D150F4">
              <w:rPr>
                <w:rFonts w:ascii="Calibri" w:eastAsia="Times New Roman" w:hAnsi="Calibri" w:cs="Times New Roman"/>
                <w:b/>
                <w:bCs/>
                <w:color w:val="FFFFFF"/>
                <w:lang w:bidi="ar-SA"/>
              </w:rPr>
              <w:t>(MY 2021)</w:t>
            </w:r>
          </w:p>
        </w:tc>
        <w:tc>
          <w:tcPr>
            <w:tcW w:w="629" w:type="pct"/>
            <w:shd w:val="clear" w:color="000000" w:fill="5F497A"/>
            <w:vAlign w:val="bottom"/>
            <w:hideMark/>
          </w:tcPr>
          <w:p w14:paraId="52B84EF5" w14:textId="77777777" w:rsidR="00AB379C" w:rsidRPr="00D150F4" w:rsidRDefault="00AB379C" w:rsidP="007055F6">
            <w:pPr>
              <w:jc w:val="center"/>
              <w:rPr>
                <w:rFonts w:ascii="Calibri" w:eastAsia="Times New Roman" w:hAnsi="Calibri" w:cs="Times New Roman"/>
                <w:b/>
                <w:bCs/>
                <w:color w:val="FFFFFF"/>
                <w:lang w:bidi="ar-SA"/>
              </w:rPr>
            </w:pPr>
            <w:r w:rsidRPr="00D150F4">
              <w:rPr>
                <w:rFonts w:ascii="Calibri" w:eastAsia="Times New Roman" w:hAnsi="Calibri" w:cs="Times New Roman"/>
                <w:b/>
                <w:bCs/>
                <w:color w:val="FFFFFF"/>
                <w:lang w:bidi="ar-SA"/>
              </w:rPr>
              <w:t>2022 Rate Compared to 2021</w:t>
            </w:r>
          </w:p>
        </w:tc>
        <w:tc>
          <w:tcPr>
            <w:tcW w:w="485" w:type="pct"/>
            <w:shd w:val="clear" w:color="000000" w:fill="5F497A"/>
            <w:vAlign w:val="center"/>
            <w:hideMark/>
          </w:tcPr>
          <w:p w14:paraId="03B9FD9E" w14:textId="77777777" w:rsidR="00AB379C" w:rsidRPr="00D150F4" w:rsidRDefault="00AB379C" w:rsidP="007055F6">
            <w:pPr>
              <w:jc w:val="center"/>
              <w:rPr>
                <w:rFonts w:ascii="Calibri" w:eastAsia="Times New Roman" w:hAnsi="Calibri" w:cs="Times New Roman"/>
                <w:b/>
                <w:bCs/>
                <w:color w:val="FFFFFF"/>
                <w:lang w:bidi="ar-SA"/>
              </w:rPr>
            </w:pPr>
            <w:r w:rsidRPr="00D150F4">
              <w:rPr>
                <w:rFonts w:ascii="Calibri" w:eastAsia="Times New Roman" w:hAnsi="Calibri" w:cs="Times New Roman"/>
                <w:b/>
                <w:bCs/>
                <w:color w:val="FFFFFF"/>
                <w:lang w:bidi="ar-SA"/>
              </w:rPr>
              <w:t>2021 (MY 2020)</w:t>
            </w:r>
          </w:p>
        </w:tc>
        <w:tc>
          <w:tcPr>
            <w:tcW w:w="653" w:type="pct"/>
            <w:shd w:val="clear" w:color="000000" w:fill="5F497A"/>
            <w:vAlign w:val="bottom"/>
            <w:hideMark/>
          </w:tcPr>
          <w:p w14:paraId="11433AD1" w14:textId="77777777" w:rsidR="00AB379C" w:rsidRPr="00D150F4" w:rsidRDefault="00AB379C" w:rsidP="007055F6">
            <w:pPr>
              <w:jc w:val="center"/>
              <w:rPr>
                <w:rFonts w:ascii="Calibri" w:eastAsia="Times New Roman" w:hAnsi="Calibri" w:cs="Times New Roman"/>
                <w:b/>
                <w:bCs/>
                <w:color w:val="FFFFFF"/>
                <w:lang w:bidi="ar-SA"/>
              </w:rPr>
            </w:pPr>
            <w:r w:rsidRPr="00D150F4">
              <w:rPr>
                <w:rFonts w:ascii="Calibri" w:eastAsia="Times New Roman" w:hAnsi="Calibri" w:cs="Times New Roman"/>
                <w:b/>
                <w:bCs/>
                <w:color w:val="FFFFFF"/>
                <w:lang w:bidi="ar-SA"/>
              </w:rPr>
              <w:t>2021 Rate Compared to 2020</w:t>
            </w:r>
          </w:p>
        </w:tc>
        <w:tc>
          <w:tcPr>
            <w:tcW w:w="531" w:type="pct"/>
            <w:shd w:val="clear" w:color="000000" w:fill="5F497A"/>
            <w:vAlign w:val="center"/>
            <w:hideMark/>
          </w:tcPr>
          <w:p w14:paraId="5B34220A" w14:textId="77777777" w:rsidR="00AB379C" w:rsidRPr="00D150F4" w:rsidRDefault="00AB379C" w:rsidP="007055F6">
            <w:pPr>
              <w:jc w:val="center"/>
              <w:rPr>
                <w:rFonts w:ascii="Calibri" w:eastAsia="Times New Roman" w:hAnsi="Calibri" w:cs="Times New Roman"/>
                <w:b/>
                <w:bCs/>
                <w:color w:val="FFFFFF"/>
                <w:lang w:bidi="ar-SA"/>
              </w:rPr>
            </w:pPr>
            <w:r w:rsidRPr="00D150F4">
              <w:rPr>
                <w:rFonts w:ascii="Calibri" w:eastAsia="Times New Roman" w:hAnsi="Calibri" w:cs="Times New Roman"/>
                <w:b/>
                <w:bCs/>
                <w:color w:val="FFFFFF"/>
                <w:lang w:bidi="ar-SA"/>
              </w:rPr>
              <w:t>2020 (MY 2019)</w:t>
            </w:r>
          </w:p>
        </w:tc>
        <w:tc>
          <w:tcPr>
            <w:tcW w:w="624" w:type="pct"/>
            <w:shd w:val="clear" w:color="000000" w:fill="5F497A"/>
            <w:vAlign w:val="bottom"/>
            <w:hideMark/>
          </w:tcPr>
          <w:p w14:paraId="7A0AC9B9" w14:textId="77777777" w:rsidR="00AB379C" w:rsidRPr="00D150F4" w:rsidRDefault="00AB379C" w:rsidP="007055F6">
            <w:pPr>
              <w:jc w:val="center"/>
              <w:rPr>
                <w:rFonts w:ascii="Calibri" w:eastAsia="Times New Roman" w:hAnsi="Calibri" w:cs="Times New Roman"/>
                <w:b/>
                <w:bCs/>
                <w:color w:val="FFFFFF"/>
                <w:lang w:bidi="ar-SA"/>
              </w:rPr>
            </w:pPr>
            <w:r w:rsidRPr="00D150F4">
              <w:rPr>
                <w:rFonts w:ascii="Calibri" w:eastAsia="Times New Roman" w:hAnsi="Calibri" w:cs="Times New Roman"/>
                <w:b/>
                <w:bCs/>
                <w:color w:val="FFFFFF"/>
                <w:lang w:bidi="ar-SA"/>
              </w:rPr>
              <w:t>2022 MMC Weighted Average</w:t>
            </w:r>
          </w:p>
        </w:tc>
      </w:tr>
      <w:tr w:rsidR="00AB379C" w:rsidRPr="00D150F4" w14:paraId="00E0310F" w14:textId="77777777" w:rsidTr="003A1EE0">
        <w:trPr>
          <w:trHeight w:val="144"/>
        </w:trPr>
        <w:tc>
          <w:tcPr>
            <w:tcW w:w="5000" w:type="pct"/>
            <w:gridSpan w:val="7"/>
            <w:shd w:val="clear" w:color="auto" w:fill="CCC0D9" w:themeFill="accent4" w:themeFillTint="66"/>
            <w:vAlign w:val="bottom"/>
          </w:tcPr>
          <w:p w14:paraId="42B3A57B" w14:textId="77777777" w:rsidR="00AB379C" w:rsidRPr="00D150F4" w:rsidRDefault="00AB379C" w:rsidP="007055F6">
            <w:pPr>
              <w:ind w:left="90"/>
              <w:jc w:val="left"/>
              <w:rPr>
                <w:rFonts w:cstheme="minorHAnsi"/>
                <w:color w:val="000000" w:themeColor="text1"/>
              </w:rPr>
            </w:pPr>
            <w:r w:rsidRPr="00D150F4">
              <w:rPr>
                <w:rFonts w:cstheme="minorHAnsi"/>
                <w:color w:val="000000" w:themeColor="text1"/>
              </w:rPr>
              <w:t>Satisfaction with Child’s Care</w:t>
            </w:r>
          </w:p>
        </w:tc>
      </w:tr>
      <w:tr w:rsidR="00AB379C" w:rsidRPr="00D150F4" w14:paraId="176EF3BD" w14:textId="77777777" w:rsidTr="003A1EE0">
        <w:trPr>
          <w:trHeight w:val="144"/>
        </w:trPr>
        <w:tc>
          <w:tcPr>
            <w:tcW w:w="1655" w:type="pct"/>
            <w:shd w:val="clear" w:color="auto" w:fill="auto"/>
            <w:vAlign w:val="center"/>
            <w:hideMark/>
          </w:tcPr>
          <w:p w14:paraId="33C6C9F7" w14:textId="77777777" w:rsidR="00AB379C" w:rsidRPr="00D150F4" w:rsidRDefault="00AB379C" w:rsidP="007055F6">
            <w:pPr>
              <w:ind w:left="90"/>
              <w:jc w:val="left"/>
              <w:rPr>
                <w:rFonts w:ascii="Calibri" w:eastAsia="Times New Roman" w:hAnsi="Calibri" w:cs="Times New Roman"/>
                <w:color w:val="000000"/>
                <w:lang w:bidi="ar-SA"/>
              </w:rPr>
            </w:pPr>
            <w:r w:rsidRPr="00D150F4">
              <w:rPr>
                <w:rFonts w:ascii="Calibri" w:eastAsia="Times New Roman" w:hAnsi="Calibri" w:cs="Times New Roman"/>
                <w:color w:val="000000"/>
                <w:lang w:bidi="ar-SA"/>
              </w:rPr>
              <w:t>Satisfaction with your child's current personal doctor (Rating of 8–10)</w:t>
            </w:r>
          </w:p>
        </w:tc>
        <w:tc>
          <w:tcPr>
            <w:tcW w:w="423" w:type="pct"/>
            <w:tcBorders>
              <w:top w:val="nil"/>
              <w:left w:val="nil"/>
              <w:bottom w:val="single" w:sz="8" w:space="0" w:color="auto"/>
              <w:right w:val="single" w:sz="8" w:space="0" w:color="auto"/>
            </w:tcBorders>
            <w:shd w:val="clear" w:color="auto" w:fill="auto"/>
            <w:vAlign w:val="center"/>
          </w:tcPr>
          <w:p w14:paraId="6C3EE770"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89.86%</w:t>
            </w:r>
          </w:p>
        </w:tc>
        <w:tc>
          <w:tcPr>
            <w:tcW w:w="629" w:type="pct"/>
            <w:tcBorders>
              <w:top w:val="nil"/>
              <w:left w:val="nil"/>
              <w:bottom w:val="single" w:sz="8" w:space="0" w:color="auto"/>
              <w:right w:val="single" w:sz="8" w:space="0" w:color="auto"/>
            </w:tcBorders>
            <w:shd w:val="clear" w:color="auto" w:fill="auto"/>
            <w:vAlign w:val="center"/>
          </w:tcPr>
          <w:p w14:paraId="4441AFCE"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485" w:type="pct"/>
            <w:tcBorders>
              <w:top w:val="nil"/>
              <w:left w:val="nil"/>
              <w:bottom w:val="single" w:sz="8" w:space="0" w:color="auto"/>
              <w:right w:val="single" w:sz="8" w:space="0" w:color="auto"/>
            </w:tcBorders>
            <w:shd w:val="clear" w:color="auto" w:fill="auto"/>
            <w:vAlign w:val="center"/>
          </w:tcPr>
          <w:p w14:paraId="27025AAA"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91.98%</w:t>
            </w:r>
          </w:p>
        </w:tc>
        <w:tc>
          <w:tcPr>
            <w:tcW w:w="653" w:type="pct"/>
            <w:tcBorders>
              <w:top w:val="nil"/>
              <w:left w:val="nil"/>
              <w:bottom w:val="single" w:sz="8" w:space="0" w:color="auto"/>
              <w:right w:val="single" w:sz="8" w:space="0" w:color="auto"/>
            </w:tcBorders>
            <w:shd w:val="clear" w:color="auto" w:fill="auto"/>
            <w:vAlign w:val="center"/>
          </w:tcPr>
          <w:p w14:paraId="205CE3A8"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531" w:type="pct"/>
            <w:tcBorders>
              <w:top w:val="nil"/>
              <w:left w:val="nil"/>
              <w:bottom w:val="single" w:sz="8" w:space="0" w:color="auto"/>
              <w:right w:val="single" w:sz="8" w:space="0" w:color="auto"/>
            </w:tcBorders>
            <w:shd w:val="clear" w:color="auto" w:fill="auto"/>
            <w:vAlign w:val="center"/>
          </w:tcPr>
          <w:p w14:paraId="26966AD7"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96.27%</w:t>
            </w:r>
          </w:p>
        </w:tc>
        <w:tc>
          <w:tcPr>
            <w:tcW w:w="624" w:type="pct"/>
            <w:tcBorders>
              <w:top w:val="nil"/>
              <w:left w:val="nil"/>
              <w:bottom w:val="single" w:sz="8" w:space="0" w:color="auto"/>
              <w:right w:val="single" w:sz="8" w:space="0" w:color="auto"/>
            </w:tcBorders>
            <w:shd w:val="clear" w:color="auto" w:fill="auto"/>
            <w:vAlign w:val="center"/>
          </w:tcPr>
          <w:p w14:paraId="738D8688"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90.74%</w:t>
            </w:r>
          </w:p>
        </w:tc>
      </w:tr>
      <w:tr w:rsidR="00AB379C" w:rsidRPr="00D150F4" w14:paraId="155CF5AB" w14:textId="77777777" w:rsidTr="003A1EE0">
        <w:trPr>
          <w:trHeight w:val="144"/>
        </w:trPr>
        <w:tc>
          <w:tcPr>
            <w:tcW w:w="1655" w:type="pct"/>
            <w:shd w:val="clear" w:color="auto" w:fill="auto"/>
            <w:vAlign w:val="center"/>
            <w:hideMark/>
          </w:tcPr>
          <w:p w14:paraId="16895588" w14:textId="77777777" w:rsidR="00AB379C" w:rsidRPr="00D150F4" w:rsidRDefault="00AB379C" w:rsidP="007055F6">
            <w:pPr>
              <w:ind w:left="90"/>
              <w:jc w:val="left"/>
              <w:rPr>
                <w:rFonts w:ascii="Calibri" w:eastAsia="Times New Roman" w:hAnsi="Calibri" w:cs="Times New Roman"/>
                <w:color w:val="000000"/>
                <w:lang w:bidi="ar-SA"/>
              </w:rPr>
            </w:pPr>
            <w:r w:rsidRPr="00D150F4">
              <w:rPr>
                <w:rFonts w:ascii="Calibri" w:eastAsia="Times New Roman" w:hAnsi="Calibri" w:cs="Times New Roman"/>
                <w:color w:val="000000"/>
                <w:lang w:bidi="ar-SA"/>
              </w:rPr>
              <w:t>Satisfaction with specialist (Rating of 8–10)</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2DA2FAE7"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89.19%</w:t>
            </w:r>
          </w:p>
        </w:tc>
        <w:tc>
          <w:tcPr>
            <w:tcW w:w="629" w:type="pct"/>
            <w:tcBorders>
              <w:top w:val="nil"/>
              <w:left w:val="nil"/>
              <w:bottom w:val="single" w:sz="8" w:space="0" w:color="auto"/>
              <w:right w:val="single" w:sz="8" w:space="0" w:color="auto"/>
            </w:tcBorders>
            <w:shd w:val="clear" w:color="auto" w:fill="auto"/>
            <w:vAlign w:val="center"/>
          </w:tcPr>
          <w:p w14:paraId="6080481B"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485" w:type="pct"/>
            <w:tcBorders>
              <w:top w:val="nil"/>
              <w:left w:val="nil"/>
              <w:bottom w:val="single" w:sz="8" w:space="0" w:color="auto"/>
              <w:right w:val="single" w:sz="8" w:space="0" w:color="auto"/>
            </w:tcBorders>
            <w:shd w:val="clear" w:color="auto" w:fill="auto"/>
            <w:vAlign w:val="center"/>
          </w:tcPr>
          <w:p w14:paraId="345B2BFF"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86.67%</w:t>
            </w:r>
          </w:p>
        </w:tc>
        <w:tc>
          <w:tcPr>
            <w:tcW w:w="653" w:type="pct"/>
            <w:tcBorders>
              <w:top w:val="nil"/>
              <w:left w:val="nil"/>
              <w:bottom w:val="single" w:sz="8" w:space="0" w:color="auto"/>
              <w:right w:val="single" w:sz="8" w:space="0" w:color="auto"/>
            </w:tcBorders>
            <w:shd w:val="clear" w:color="auto" w:fill="auto"/>
            <w:vAlign w:val="center"/>
          </w:tcPr>
          <w:p w14:paraId="28B3969A"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531" w:type="pct"/>
            <w:tcBorders>
              <w:top w:val="nil"/>
              <w:left w:val="nil"/>
              <w:bottom w:val="single" w:sz="8" w:space="0" w:color="auto"/>
              <w:right w:val="single" w:sz="8" w:space="0" w:color="auto"/>
            </w:tcBorders>
            <w:shd w:val="clear" w:color="auto" w:fill="auto"/>
            <w:vAlign w:val="center"/>
          </w:tcPr>
          <w:p w14:paraId="0CA557EF"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87.14%</w:t>
            </w:r>
          </w:p>
        </w:tc>
        <w:tc>
          <w:tcPr>
            <w:tcW w:w="624" w:type="pct"/>
            <w:tcBorders>
              <w:top w:val="nil"/>
              <w:left w:val="nil"/>
              <w:bottom w:val="single" w:sz="8" w:space="0" w:color="auto"/>
              <w:right w:val="single" w:sz="8" w:space="0" w:color="auto"/>
            </w:tcBorders>
            <w:shd w:val="clear" w:color="auto" w:fill="auto"/>
            <w:vAlign w:val="center"/>
          </w:tcPr>
          <w:p w14:paraId="3E2B11F7"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87.78%</w:t>
            </w:r>
          </w:p>
        </w:tc>
      </w:tr>
      <w:tr w:rsidR="00AB379C" w:rsidRPr="00D150F4" w14:paraId="2BFD28A7" w14:textId="77777777" w:rsidTr="003A1EE0">
        <w:trPr>
          <w:trHeight w:val="144"/>
        </w:trPr>
        <w:tc>
          <w:tcPr>
            <w:tcW w:w="1655" w:type="pct"/>
            <w:shd w:val="clear" w:color="auto" w:fill="auto"/>
            <w:vAlign w:val="center"/>
            <w:hideMark/>
          </w:tcPr>
          <w:p w14:paraId="2A4958CB" w14:textId="77777777" w:rsidR="00AB379C" w:rsidRPr="00D150F4" w:rsidRDefault="00AB379C" w:rsidP="007055F6">
            <w:pPr>
              <w:ind w:left="90"/>
              <w:jc w:val="left"/>
              <w:rPr>
                <w:rFonts w:ascii="Calibri" w:eastAsia="Times New Roman" w:hAnsi="Calibri" w:cs="Times New Roman"/>
                <w:color w:val="000000"/>
                <w:lang w:bidi="ar-SA"/>
              </w:rPr>
            </w:pPr>
            <w:r w:rsidRPr="00D150F4">
              <w:rPr>
                <w:rFonts w:ascii="Calibri" w:eastAsia="Times New Roman" w:hAnsi="Calibri" w:cs="Times New Roman"/>
                <w:color w:val="000000"/>
                <w:lang w:bidi="ar-SA"/>
              </w:rPr>
              <w:t>Satisfaction with health plan (Rating of 8–10) (Satisfaction with child's plan)</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5AE03C03"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87.70%</w:t>
            </w:r>
          </w:p>
        </w:tc>
        <w:tc>
          <w:tcPr>
            <w:tcW w:w="629" w:type="pct"/>
            <w:tcBorders>
              <w:top w:val="nil"/>
              <w:left w:val="nil"/>
              <w:bottom w:val="single" w:sz="8" w:space="0" w:color="auto"/>
              <w:right w:val="single" w:sz="8" w:space="0" w:color="auto"/>
            </w:tcBorders>
            <w:shd w:val="clear" w:color="auto" w:fill="auto"/>
            <w:vAlign w:val="center"/>
          </w:tcPr>
          <w:p w14:paraId="676B17E1"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485" w:type="pct"/>
            <w:tcBorders>
              <w:top w:val="nil"/>
              <w:left w:val="nil"/>
              <w:bottom w:val="single" w:sz="8" w:space="0" w:color="auto"/>
              <w:right w:val="single" w:sz="8" w:space="0" w:color="auto"/>
            </w:tcBorders>
            <w:shd w:val="clear" w:color="auto" w:fill="auto"/>
            <w:vAlign w:val="center"/>
          </w:tcPr>
          <w:p w14:paraId="127FF5F2"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90.48%</w:t>
            </w:r>
          </w:p>
        </w:tc>
        <w:tc>
          <w:tcPr>
            <w:tcW w:w="653" w:type="pct"/>
            <w:tcBorders>
              <w:top w:val="nil"/>
              <w:left w:val="nil"/>
              <w:bottom w:val="single" w:sz="8" w:space="0" w:color="auto"/>
              <w:right w:val="single" w:sz="8" w:space="0" w:color="auto"/>
            </w:tcBorders>
            <w:shd w:val="clear" w:color="auto" w:fill="auto"/>
            <w:vAlign w:val="center"/>
          </w:tcPr>
          <w:p w14:paraId="520B0B45"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531" w:type="pct"/>
            <w:tcBorders>
              <w:top w:val="nil"/>
              <w:left w:val="nil"/>
              <w:bottom w:val="single" w:sz="8" w:space="0" w:color="auto"/>
              <w:right w:val="single" w:sz="8" w:space="0" w:color="auto"/>
            </w:tcBorders>
            <w:shd w:val="clear" w:color="auto" w:fill="auto"/>
            <w:vAlign w:val="center"/>
          </w:tcPr>
          <w:p w14:paraId="0CBC456A"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94.21%</w:t>
            </w:r>
          </w:p>
        </w:tc>
        <w:tc>
          <w:tcPr>
            <w:tcW w:w="624" w:type="pct"/>
            <w:tcBorders>
              <w:top w:val="nil"/>
              <w:left w:val="nil"/>
              <w:bottom w:val="single" w:sz="8" w:space="0" w:color="auto"/>
              <w:right w:val="single" w:sz="8" w:space="0" w:color="auto"/>
            </w:tcBorders>
            <w:shd w:val="clear" w:color="auto" w:fill="auto"/>
            <w:vAlign w:val="center"/>
          </w:tcPr>
          <w:p w14:paraId="2DBFA3D7"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87.04%</w:t>
            </w:r>
          </w:p>
        </w:tc>
      </w:tr>
      <w:tr w:rsidR="00AB379C" w:rsidRPr="00D150F4" w14:paraId="739CF1C1" w14:textId="77777777" w:rsidTr="003A1EE0">
        <w:trPr>
          <w:trHeight w:val="144"/>
        </w:trPr>
        <w:tc>
          <w:tcPr>
            <w:tcW w:w="1655" w:type="pct"/>
            <w:shd w:val="clear" w:color="auto" w:fill="auto"/>
            <w:vAlign w:val="center"/>
            <w:hideMark/>
          </w:tcPr>
          <w:p w14:paraId="2A0D5554" w14:textId="77777777" w:rsidR="00AB379C" w:rsidRPr="00D150F4" w:rsidRDefault="00AB379C" w:rsidP="007055F6">
            <w:pPr>
              <w:ind w:left="90"/>
              <w:jc w:val="left"/>
              <w:rPr>
                <w:rFonts w:ascii="Calibri" w:eastAsia="Times New Roman" w:hAnsi="Calibri" w:cs="Times New Roman"/>
                <w:color w:val="000000"/>
                <w:lang w:bidi="ar-SA"/>
              </w:rPr>
            </w:pPr>
            <w:r w:rsidRPr="00D150F4">
              <w:rPr>
                <w:rFonts w:ascii="Calibri" w:eastAsia="Times New Roman" w:hAnsi="Calibri" w:cs="Times New Roman"/>
                <w:color w:val="000000"/>
                <w:lang w:bidi="ar-SA"/>
              </w:rPr>
              <w:t>Satisfaction with child's health care (Rating of 8–10)</w:t>
            </w:r>
          </w:p>
        </w:tc>
        <w:tc>
          <w:tcPr>
            <w:tcW w:w="423" w:type="pct"/>
            <w:tcBorders>
              <w:top w:val="nil"/>
              <w:left w:val="nil"/>
              <w:bottom w:val="single" w:sz="8" w:space="0" w:color="auto"/>
              <w:right w:val="single" w:sz="8" w:space="0" w:color="auto"/>
            </w:tcBorders>
            <w:shd w:val="clear" w:color="auto" w:fill="auto"/>
            <w:vAlign w:val="center"/>
          </w:tcPr>
          <w:p w14:paraId="5C8F3601"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85.14%</w:t>
            </w:r>
          </w:p>
        </w:tc>
        <w:tc>
          <w:tcPr>
            <w:tcW w:w="629" w:type="pct"/>
            <w:tcBorders>
              <w:top w:val="nil"/>
              <w:left w:val="nil"/>
              <w:bottom w:val="single" w:sz="8" w:space="0" w:color="auto"/>
              <w:right w:val="single" w:sz="8" w:space="0" w:color="auto"/>
            </w:tcBorders>
            <w:shd w:val="clear" w:color="auto" w:fill="auto"/>
            <w:vAlign w:val="center"/>
          </w:tcPr>
          <w:p w14:paraId="7D17B0EE"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485" w:type="pct"/>
            <w:tcBorders>
              <w:top w:val="nil"/>
              <w:left w:val="nil"/>
              <w:bottom w:val="single" w:sz="8" w:space="0" w:color="auto"/>
              <w:right w:val="single" w:sz="8" w:space="0" w:color="auto"/>
            </w:tcBorders>
            <w:shd w:val="clear" w:color="auto" w:fill="auto"/>
            <w:vAlign w:val="center"/>
          </w:tcPr>
          <w:p w14:paraId="10EBA23C"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91.10%</w:t>
            </w:r>
          </w:p>
        </w:tc>
        <w:tc>
          <w:tcPr>
            <w:tcW w:w="653" w:type="pct"/>
            <w:tcBorders>
              <w:top w:val="nil"/>
              <w:left w:val="nil"/>
              <w:bottom w:val="single" w:sz="8" w:space="0" w:color="auto"/>
              <w:right w:val="single" w:sz="8" w:space="0" w:color="auto"/>
            </w:tcBorders>
            <w:shd w:val="clear" w:color="auto" w:fill="auto"/>
            <w:vAlign w:val="center"/>
          </w:tcPr>
          <w:p w14:paraId="3ABB905E"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531" w:type="pct"/>
            <w:tcBorders>
              <w:top w:val="nil"/>
              <w:left w:val="nil"/>
              <w:bottom w:val="single" w:sz="8" w:space="0" w:color="auto"/>
              <w:right w:val="single" w:sz="8" w:space="0" w:color="auto"/>
            </w:tcBorders>
            <w:shd w:val="clear" w:color="auto" w:fill="auto"/>
            <w:vAlign w:val="center"/>
          </w:tcPr>
          <w:p w14:paraId="489E454F"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92.59%</w:t>
            </w:r>
          </w:p>
        </w:tc>
        <w:tc>
          <w:tcPr>
            <w:tcW w:w="624" w:type="pct"/>
            <w:tcBorders>
              <w:top w:val="nil"/>
              <w:left w:val="nil"/>
              <w:bottom w:val="single" w:sz="8" w:space="0" w:color="auto"/>
              <w:right w:val="single" w:sz="8" w:space="0" w:color="auto"/>
            </w:tcBorders>
            <w:shd w:val="clear" w:color="auto" w:fill="auto"/>
            <w:vAlign w:val="center"/>
          </w:tcPr>
          <w:p w14:paraId="7AD5B566"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89.41%</w:t>
            </w:r>
          </w:p>
        </w:tc>
      </w:tr>
      <w:tr w:rsidR="00AB379C" w:rsidRPr="00D150F4" w14:paraId="22011286" w14:textId="77777777" w:rsidTr="003A1EE0">
        <w:trPr>
          <w:trHeight w:val="144"/>
        </w:trPr>
        <w:tc>
          <w:tcPr>
            <w:tcW w:w="5000" w:type="pct"/>
            <w:gridSpan w:val="7"/>
            <w:shd w:val="clear" w:color="auto" w:fill="CCC0D9" w:themeFill="accent4" w:themeFillTint="66"/>
            <w:vAlign w:val="bottom"/>
            <w:hideMark/>
          </w:tcPr>
          <w:p w14:paraId="66F361F0" w14:textId="77777777" w:rsidR="00AB379C" w:rsidRPr="00D150F4" w:rsidRDefault="00AB379C" w:rsidP="007055F6">
            <w:pPr>
              <w:ind w:left="90"/>
              <w:jc w:val="left"/>
              <w:rPr>
                <w:rFonts w:eastAsia="Times New Roman" w:cstheme="minorHAnsi"/>
                <w:color w:val="000000" w:themeColor="text1"/>
                <w:lang w:bidi="ar-SA"/>
              </w:rPr>
            </w:pPr>
            <w:r w:rsidRPr="00D150F4">
              <w:rPr>
                <w:rFonts w:eastAsia="Times New Roman" w:cstheme="minorHAnsi"/>
                <w:bCs/>
                <w:color w:val="000000" w:themeColor="text1"/>
                <w:lang w:bidi="ar-SA"/>
              </w:rPr>
              <w:t>Quality of Mental Health Care</w:t>
            </w:r>
          </w:p>
        </w:tc>
      </w:tr>
      <w:tr w:rsidR="00AB379C" w:rsidRPr="00D150F4" w14:paraId="270BAAE7" w14:textId="77777777" w:rsidTr="003A1EE0">
        <w:trPr>
          <w:trHeight w:val="144"/>
        </w:trPr>
        <w:tc>
          <w:tcPr>
            <w:tcW w:w="1655" w:type="pct"/>
            <w:shd w:val="clear" w:color="auto" w:fill="auto"/>
            <w:vAlign w:val="center"/>
            <w:hideMark/>
          </w:tcPr>
          <w:p w14:paraId="1E306C75" w14:textId="77777777" w:rsidR="00AB379C" w:rsidRPr="00D150F4" w:rsidRDefault="00AB379C" w:rsidP="007055F6">
            <w:pPr>
              <w:ind w:left="90"/>
              <w:jc w:val="left"/>
              <w:rPr>
                <w:rFonts w:ascii="Calibri" w:eastAsia="Times New Roman" w:hAnsi="Calibri" w:cs="Times New Roman"/>
                <w:color w:val="000000"/>
                <w:lang w:bidi="ar-SA"/>
              </w:rPr>
            </w:pPr>
            <w:r w:rsidRPr="00D150F4">
              <w:rPr>
                <w:rFonts w:ascii="Calibri" w:eastAsia="Times New Roman" w:hAnsi="Calibri" w:cs="Times New Roman"/>
                <w:color w:val="000000"/>
                <w:lang w:bidi="ar-SA"/>
              </w:rPr>
              <w:t>Received care for child's mental health from any provider? (Usually or Always)</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42BD8CCF"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16.39%</w:t>
            </w:r>
          </w:p>
        </w:tc>
        <w:tc>
          <w:tcPr>
            <w:tcW w:w="629" w:type="pct"/>
            <w:tcBorders>
              <w:top w:val="nil"/>
              <w:left w:val="nil"/>
              <w:bottom w:val="single" w:sz="8" w:space="0" w:color="auto"/>
              <w:right w:val="single" w:sz="8" w:space="0" w:color="auto"/>
            </w:tcBorders>
            <w:shd w:val="clear" w:color="auto" w:fill="auto"/>
            <w:vAlign w:val="center"/>
          </w:tcPr>
          <w:p w14:paraId="7CCFC5E6"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485" w:type="pct"/>
            <w:tcBorders>
              <w:top w:val="nil"/>
              <w:left w:val="nil"/>
              <w:bottom w:val="single" w:sz="8" w:space="0" w:color="auto"/>
              <w:right w:val="single" w:sz="8" w:space="0" w:color="auto"/>
            </w:tcBorders>
            <w:shd w:val="clear" w:color="auto" w:fill="auto"/>
            <w:vAlign w:val="center"/>
          </w:tcPr>
          <w:p w14:paraId="49E80D8D"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13.03%</w:t>
            </w:r>
          </w:p>
        </w:tc>
        <w:tc>
          <w:tcPr>
            <w:tcW w:w="653" w:type="pct"/>
            <w:tcBorders>
              <w:top w:val="nil"/>
              <w:left w:val="nil"/>
              <w:bottom w:val="single" w:sz="8" w:space="0" w:color="auto"/>
              <w:right w:val="single" w:sz="8" w:space="0" w:color="auto"/>
            </w:tcBorders>
            <w:shd w:val="clear" w:color="auto" w:fill="auto"/>
            <w:vAlign w:val="center"/>
          </w:tcPr>
          <w:p w14:paraId="665CC3F2"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531" w:type="pct"/>
            <w:tcBorders>
              <w:top w:val="nil"/>
              <w:left w:val="nil"/>
              <w:bottom w:val="single" w:sz="8" w:space="0" w:color="auto"/>
              <w:right w:val="single" w:sz="8" w:space="0" w:color="auto"/>
            </w:tcBorders>
            <w:shd w:val="clear" w:color="auto" w:fill="auto"/>
            <w:vAlign w:val="center"/>
          </w:tcPr>
          <w:p w14:paraId="0FD60012"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18.58%</w:t>
            </w:r>
          </w:p>
        </w:tc>
        <w:tc>
          <w:tcPr>
            <w:tcW w:w="624" w:type="pct"/>
            <w:tcBorders>
              <w:top w:val="nil"/>
              <w:left w:val="nil"/>
              <w:bottom w:val="single" w:sz="8" w:space="0" w:color="auto"/>
              <w:right w:val="single" w:sz="8" w:space="0" w:color="auto"/>
            </w:tcBorders>
            <w:shd w:val="clear" w:color="auto" w:fill="auto"/>
            <w:vAlign w:val="center"/>
          </w:tcPr>
          <w:p w14:paraId="1FCD6E42"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13.86%</w:t>
            </w:r>
          </w:p>
        </w:tc>
      </w:tr>
      <w:tr w:rsidR="00AB379C" w:rsidRPr="00D150F4" w14:paraId="5B9960EC" w14:textId="77777777" w:rsidTr="003A1EE0">
        <w:trPr>
          <w:trHeight w:val="144"/>
        </w:trPr>
        <w:tc>
          <w:tcPr>
            <w:tcW w:w="1655" w:type="pct"/>
            <w:shd w:val="clear" w:color="auto" w:fill="auto"/>
            <w:vAlign w:val="center"/>
            <w:hideMark/>
          </w:tcPr>
          <w:p w14:paraId="05A819FE" w14:textId="77777777" w:rsidR="00AB379C" w:rsidRPr="00D150F4" w:rsidRDefault="00AB379C" w:rsidP="007055F6">
            <w:pPr>
              <w:ind w:left="90"/>
              <w:jc w:val="left"/>
              <w:rPr>
                <w:rFonts w:ascii="Calibri" w:eastAsia="Times New Roman" w:hAnsi="Calibri" w:cs="Times New Roman"/>
                <w:color w:val="000000"/>
                <w:lang w:bidi="ar-SA"/>
              </w:rPr>
            </w:pPr>
            <w:r w:rsidRPr="00D150F4">
              <w:rPr>
                <w:rFonts w:ascii="Calibri" w:eastAsia="Times New Roman" w:hAnsi="Calibri" w:cs="Times New Roman"/>
                <w:color w:val="000000"/>
                <w:lang w:bidi="ar-SA"/>
              </w:rPr>
              <w:t>Easy to get needed mental health care? (Usually or Always)</w:t>
            </w:r>
          </w:p>
        </w:tc>
        <w:tc>
          <w:tcPr>
            <w:tcW w:w="423" w:type="pct"/>
            <w:tcBorders>
              <w:top w:val="nil"/>
              <w:left w:val="nil"/>
              <w:bottom w:val="single" w:sz="8" w:space="0" w:color="auto"/>
              <w:right w:val="single" w:sz="8" w:space="0" w:color="auto"/>
            </w:tcBorders>
            <w:shd w:val="clear" w:color="auto" w:fill="D9D9D9" w:themeFill="background1" w:themeFillShade="D9"/>
            <w:vAlign w:val="center"/>
          </w:tcPr>
          <w:p w14:paraId="1CF9CFFC"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14.05%</w:t>
            </w:r>
          </w:p>
        </w:tc>
        <w:tc>
          <w:tcPr>
            <w:tcW w:w="629" w:type="pct"/>
            <w:tcBorders>
              <w:top w:val="nil"/>
              <w:left w:val="nil"/>
              <w:bottom w:val="single" w:sz="8" w:space="0" w:color="auto"/>
              <w:right w:val="single" w:sz="8" w:space="0" w:color="auto"/>
            </w:tcBorders>
            <w:shd w:val="clear" w:color="auto" w:fill="auto"/>
            <w:vAlign w:val="center"/>
          </w:tcPr>
          <w:p w14:paraId="36ACBE8E"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485" w:type="pct"/>
            <w:tcBorders>
              <w:top w:val="nil"/>
              <w:left w:val="nil"/>
              <w:bottom w:val="single" w:sz="8" w:space="0" w:color="auto"/>
              <w:right w:val="single" w:sz="8" w:space="0" w:color="auto"/>
            </w:tcBorders>
            <w:shd w:val="clear" w:color="auto" w:fill="auto"/>
            <w:vAlign w:val="center"/>
          </w:tcPr>
          <w:p w14:paraId="1C17166B"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11.27%</w:t>
            </w:r>
          </w:p>
        </w:tc>
        <w:tc>
          <w:tcPr>
            <w:tcW w:w="653" w:type="pct"/>
            <w:tcBorders>
              <w:top w:val="nil"/>
              <w:left w:val="nil"/>
              <w:bottom w:val="single" w:sz="8" w:space="0" w:color="auto"/>
              <w:right w:val="single" w:sz="8" w:space="0" w:color="auto"/>
            </w:tcBorders>
            <w:shd w:val="clear" w:color="auto" w:fill="auto"/>
            <w:vAlign w:val="center"/>
          </w:tcPr>
          <w:p w14:paraId="3CC3CFA1"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531" w:type="pct"/>
            <w:tcBorders>
              <w:top w:val="nil"/>
              <w:left w:val="nil"/>
              <w:bottom w:val="single" w:sz="8" w:space="0" w:color="auto"/>
              <w:right w:val="single" w:sz="8" w:space="0" w:color="auto"/>
            </w:tcBorders>
            <w:shd w:val="clear" w:color="auto" w:fill="auto"/>
            <w:vAlign w:val="center"/>
          </w:tcPr>
          <w:p w14:paraId="3F011547"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15.53%</w:t>
            </w:r>
          </w:p>
        </w:tc>
        <w:tc>
          <w:tcPr>
            <w:tcW w:w="624" w:type="pct"/>
            <w:tcBorders>
              <w:top w:val="nil"/>
              <w:left w:val="nil"/>
              <w:bottom w:val="single" w:sz="8" w:space="0" w:color="auto"/>
              <w:right w:val="single" w:sz="8" w:space="0" w:color="auto"/>
            </w:tcBorders>
            <w:shd w:val="clear" w:color="auto" w:fill="auto"/>
            <w:vAlign w:val="center"/>
          </w:tcPr>
          <w:p w14:paraId="279A0AB4"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11.51%</w:t>
            </w:r>
          </w:p>
        </w:tc>
      </w:tr>
      <w:tr w:rsidR="00AB379C" w:rsidRPr="00D150F4" w14:paraId="2743DAB0" w14:textId="77777777" w:rsidTr="003A1EE0">
        <w:trPr>
          <w:trHeight w:val="144"/>
        </w:trPr>
        <w:tc>
          <w:tcPr>
            <w:tcW w:w="1655" w:type="pct"/>
            <w:shd w:val="clear" w:color="auto" w:fill="auto"/>
            <w:vAlign w:val="center"/>
            <w:hideMark/>
          </w:tcPr>
          <w:p w14:paraId="26282D28" w14:textId="77777777" w:rsidR="00AB379C" w:rsidRPr="00D150F4" w:rsidRDefault="00AB379C" w:rsidP="007055F6">
            <w:pPr>
              <w:ind w:left="90"/>
              <w:jc w:val="left"/>
              <w:rPr>
                <w:rFonts w:ascii="Calibri" w:eastAsia="Times New Roman" w:hAnsi="Calibri" w:cs="Times New Roman"/>
                <w:color w:val="000000"/>
                <w:lang w:bidi="ar-SA"/>
              </w:rPr>
            </w:pPr>
            <w:r w:rsidRPr="00D150F4">
              <w:rPr>
                <w:rFonts w:ascii="Calibri" w:eastAsia="Times New Roman" w:hAnsi="Calibri" w:cs="Times New Roman"/>
                <w:color w:val="000000"/>
                <w:lang w:bidi="ar-SA"/>
              </w:rPr>
              <w:t>Provider you would contact for mental health services? (PCP)</w:t>
            </w:r>
          </w:p>
        </w:tc>
        <w:tc>
          <w:tcPr>
            <w:tcW w:w="423" w:type="pct"/>
            <w:tcBorders>
              <w:top w:val="nil"/>
              <w:left w:val="nil"/>
              <w:bottom w:val="single" w:sz="8" w:space="0" w:color="auto"/>
              <w:right w:val="single" w:sz="8" w:space="0" w:color="auto"/>
            </w:tcBorders>
            <w:shd w:val="clear" w:color="auto" w:fill="auto"/>
            <w:vAlign w:val="center"/>
          </w:tcPr>
          <w:p w14:paraId="6E590ED3"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58.40%</w:t>
            </w:r>
          </w:p>
        </w:tc>
        <w:tc>
          <w:tcPr>
            <w:tcW w:w="629" w:type="pct"/>
            <w:tcBorders>
              <w:top w:val="nil"/>
              <w:left w:val="nil"/>
              <w:bottom w:val="single" w:sz="8" w:space="0" w:color="auto"/>
              <w:right w:val="single" w:sz="8" w:space="0" w:color="auto"/>
            </w:tcBorders>
            <w:shd w:val="clear" w:color="auto" w:fill="auto"/>
            <w:vAlign w:val="center"/>
          </w:tcPr>
          <w:p w14:paraId="699AB6CD"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485" w:type="pct"/>
            <w:tcBorders>
              <w:top w:val="nil"/>
              <w:left w:val="nil"/>
              <w:bottom w:val="single" w:sz="8" w:space="0" w:color="auto"/>
              <w:right w:val="single" w:sz="8" w:space="0" w:color="auto"/>
            </w:tcBorders>
            <w:shd w:val="clear" w:color="auto" w:fill="auto"/>
            <w:vAlign w:val="center"/>
          </w:tcPr>
          <w:p w14:paraId="6F63C3F1"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66.79%</w:t>
            </w:r>
          </w:p>
        </w:tc>
        <w:tc>
          <w:tcPr>
            <w:tcW w:w="653" w:type="pct"/>
            <w:tcBorders>
              <w:top w:val="nil"/>
              <w:left w:val="nil"/>
              <w:bottom w:val="single" w:sz="8" w:space="0" w:color="auto"/>
              <w:right w:val="single" w:sz="8" w:space="0" w:color="auto"/>
            </w:tcBorders>
            <w:shd w:val="clear" w:color="auto" w:fill="auto"/>
            <w:vAlign w:val="center"/>
          </w:tcPr>
          <w:p w14:paraId="6160DCD9"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531" w:type="pct"/>
            <w:tcBorders>
              <w:top w:val="nil"/>
              <w:left w:val="nil"/>
              <w:bottom w:val="single" w:sz="8" w:space="0" w:color="auto"/>
              <w:right w:val="single" w:sz="8" w:space="0" w:color="auto"/>
            </w:tcBorders>
            <w:shd w:val="clear" w:color="auto" w:fill="auto"/>
            <w:vAlign w:val="center"/>
          </w:tcPr>
          <w:p w14:paraId="5C056B0A"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61.41%</w:t>
            </w:r>
          </w:p>
        </w:tc>
        <w:tc>
          <w:tcPr>
            <w:tcW w:w="624" w:type="pct"/>
            <w:tcBorders>
              <w:top w:val="nil"/>
              <w:left w:val="nil"/>
              <w:bottom w:val="single" w:sz="8" w:space="0" w:color="auto"/>
              <w:right w:val="single" w:sz="8" w:space="0" w:color="auto"/>
            </w:tcBorders>
            <w:shd w:val="clear" w:color="auto" w:fill="auto"/>
            <w:vAlign w:val="center"/>
          </w:tcPr>
          <w:p w14:paraId="56E84249"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65.86%</w:t>
            </w:r>
          </w:p>
        </w:tc>
      </w:tr>
      <w:tr w:rsidR="00AB379C" w:rsidRPr="00D150F4" w14:paraId="59DCBBF2" w14:textId="77777777" w:rsidTr="003A1EE0">
        <w:trPr>
          <w:trHeight w:val="144"/>
        </w:trPr>
        <w:tc>
          <w:tcPr>
            <w:tcW w:w="1655" w:type="pct"/>
            <w:shd w:val="clear" w:color="auto" w:fill="auto"/>
            <w:vAlign w:val="center"/>
            <w:hideMark/>
          </w:tcPr>
          <w:p w14:paraId="7129688D" w14:textId="77777777" w:rsidR="00AB379C" w:rsidRPr="00D150F4" w:rsidRDefault="00AB379C" w:rsidP="007055F6">
            <w:pPr>
              <w:ind w:left="90"/>
              <w:jc w:val="left"/>
              <w:rPr>
                <w:rFonts w:ascii="Calibri" w:eastAsia="Times New Roman" w:hAnsi="Calibri" w:cs="Times New Roman"/>
                <w:color w:val="000000"/>
                <w:lang w:bidi="ar-SA"/>
              </w:rPr>
            </w:pPr>
            <w:r w:rsidRPr="00D150F4">
              <w:rPr>
                <w:rFonts w:ascii="Calibri" w:eastAsia="Times New Roman" w:hAnsi="Calibri" w:cs="Times New Roman"/>
                <w:color w:val="000000"/>
                <w:lang w:bidi="ar-SA"/>
              </w:rPr>
              <w:t>Child's overall mental or emotional health? (Very good or Excellent)</w:t>
            </w:r>
          </w:p>
        </w:tc>
        <w:tc>
          <w:tcPr>
            <w:tcW w:w="423" w:type="pct"/>
            <w:tcBorders>
              <w:top w:val="nil"/>
              <w:left w:val="nil"/>
              <w:bottom w:val="single" w:sz="8" w:space="0" w:color="auto"/>
              <w:right w:val="single" w:sz="8" w:space="0" w:color="auto"/>
            </w:tcBorders>
            <w:shd w:val="clear" w:color="auto" w:fill="auto"/>
            <w:vAlign w:val="center"/>
          </w:tcPr>
          <w:p w14:paraId="5C9CE886"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76.08%</w:t>
            </w:r>
          </w:p>
        </w:tc>
        <w:tc>
          <w:tcPr>
            <w:tcW w:w="629" w:type="pct"/>
            <w:tcBorders>
              <w:top w:val="nil"/>
              <w:left w:val="nil"/>
              <w:bottom w:val="single" w:sz="8" w:space="0" w:color="auto"/>
              <w:right w:val="single" w:sz="8" w:space="0" w:color="auto"/>
            </w:tcBorders>
            <w:shd w:val="clear" w:color="auto" w:fill="auto"/>
            <w:vAlign w:val="center"/>
          </w:tcPr>
          <w:p w14:paraId="0A914DE6"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485" w:type="pct"/>
            <w:tcBorders>
              <w:top w:val="nil"/>
              <w:left w:val="nil"/>
              <w:bottom w:val="single" w:sz="8" w:space="0" w:color="auto"/>
              <w:right w:val="single" w:sz="8" w:space="0" w:color="auto"/>
            </w:tcBorders>
            <w:shd w:val="clear" w:color="auto" w:fill="auto"/>
            <w:vAlign w:val="center"/>
          </w:tcPr>
          <w:p w14:paraId="036635A5"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75.77%</w:t>
            </w:r>
          </w:p>
        </w:tc>
        <w:tc>
          <w:tcPr>
            <w:tcW w:w="653" w:type="pct"/>
            <w:tcBorders>
              <w:top w:val="nil"/>
              <w:left w:val="nil"/>
              <w:bottom w:val="single" w:sz="8" w:space="0" w:color="auto"/>
              <w:right w:val="single" w:sz="8" w:space="0" w:color="auto"/>
            </w:tcBorders>
            <w:shd w:val="clear" w:color="auto" w:fill="auto"/>
            <w:vAlign w:val="center"/>
          </w:tcPr>
          <w:p w14:paraId="03249A31" w14:textId="77777777" w:rsidR="00AB379C" w:rsidRPr="00D150F4" w:rsidRDefault="00AB379C" w:rsidP="007055F6">
            <w:pPr>
              <w:jc w:val="center"/>
              <w:rPr>
                <w:rFonts w:ascii="Calibri" w:hAnsi="Calibri" w:cs="Calibri"/>
                <w:color w:val="000000"/>
              </w:rPr>
            </w:pPr>
            <w:r w:rsidRPr="00D150F4">
              <w:rPr>
                <w:rFonts w:ascii="Arial" w:hAnsi="Arial" w:cs="Arial"/>
                <w:color w:val="000000"/>
              </w:rPr>
              <w:t>▼</w:t>
            </w:r>
          </w:p>
        </w:tc>
        <w:tc>
          <w:tcPr>
            <w:tcW w:w="531" w:type="pct"/>
            <w:tcBorders>
              <w:top w:val="nil"/>
              <w:left w:val="nil"/>
              <w:bottom w:val="single" w:sz="8" w:space="0" w:color="auto"/>
              <w:right w:val="single" w:sz="8" w:space="0" w:color="auto"/>
            </w:tcBorders>
            <w:shd w:val="clear" w:color="auto" w:fill="auto"/>
            <w:vAlign w:val="center"/>
          </w:tcPr>
          <w:p w14:paraId="2E3BF376"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78.81%</w:t>
            </w:r>
          </w:p>
        </w:tc>
        <w:tc>
          <w:tcPr>
            <w:tcW w:w="624" w:type="pct"/>
            <w:tcBorders>
              <w:top w:val="nil"/>
              <w:left w:val="nil"/>
              <w:bottom w:val="single" w:sz="8" w:space="0" w:color="auto"/>
              <w:right w:val="single" w:sz="8" w:space="0" w:color="auto"/>
            </w:tcBorders>
            <w:shd w:val="clear" w:color="auto" w:fill="auto"/>
            <w:vAlign w:val="center"/>
          </w:tcPr>
          <w:p w14:paraId="4CF7CF69" w14:textId="77777777" w:rsidR="00AB379C" w:rsidRPr="00D150F4" w:rsidRDefault="00AB379C" w:rsidP="007055F6">
            <w:pPr>
              <w:jc w:val="center"/>
              <w:rPr>
                <w:rFonts w:ascii="Calibri" w:hAnsi="Calibri" w:cs="Calibri"/>
                <w:color w:val="000000"/>
              </w:rPr>
            </w:pPr>
            <w:r w:rsidRPr="00D150F4">
              <w:rPr>
                <w:rFonts w:ascii="Calibri" w:hAnsi="Calibri" w:cs="Calibri"/>
                <w:color w:val="000000"/>
              </w:rPr>
              <w:t>76.08%</w:t>
            </w:r>
          </w:p>
        </w:tc>
      </w:tr>
    </w:tbl>
    <w:p w14:paraId="042313BA" w14:textId="77777777" w:rsidR="00AB379C" w:rsidRPr="00815AD5" w:rsidRDefault="00AB379C" w:rsidP="00AB379C">
      <w:pPr>
        <w:rPr>
          <w:rFonts w:cstheme="minorHAnsi"/>
          <w:sz w:val="20"/>
          <w:szCs w:val="20"/>
        </w:rPr>
      </w:pPr>
      <w:r w:rsidRPr="00815AD5">
        <w:rPr>
          <w:rFonts w:ascii="Arial" w:hAnsi="Arial" w:cs="Arial"/>
          <w:sz w:val="20"/>
          <w:szCs w:val="20"/>
        </w:rPr>
        <w:t>▲▼</w:t>
      </w:r>
      <w:r w:rsidRPr="00815AD5">
        <w:rPr>
          <w:rFonts w:cstheme="minorHAnsi"/>
          <w:sz w:val="20"/>
          <w:szCs w:val="20"/>
        </w:rPr>
        <w:t xml:space="preserve"> = Performance increased (</w:t>
      </w:r>
      <w:r w:rsidRPr="00815AD5">
        <w:rPr>
          <w:rFonts w:ascii="Arial" w:hAnsi="Arial" w:cs="Arial"/>
          <w:sz w:val="20"/>
          <w:szCs w:val="20"/>
        </w:rPr>
        <w:t>▲</w:t>
      </w:r>
      <w:r w:rsidRPr="00815AD5">
        <w:rPr>
          <w:rFonts w:cstheme="minorHAnsi"/>
          <w:sz w:val="20"/>
          <w:szCs w:val="20"/>
        </w:rPr>
        <w:t>) or decreased (</w:t>
      </w:r>
      <w:r w:rsidRPr="00815AD5">
        <w:rPr>
          <w:rFonts w:ascii="Arial" w:hAnsi="Arial" w:cs="Arial"/>
          <w:sz w:val="20"/>
          <w:szCs w:val="20"/>
        </w:rPr>
        <w:t>▼</w:t>
      </w:r>
      <w:r w:rsidRPr="00815AD5">
        <w:rPr>
          <w:rFonts w:cstheme="minorHAnsi"/>
          <w:sz w:val="20"/>
          <w:szCs w:val="20"/>
        </w:rPr>
        <w:t xml:space="preserve">) compared to prior year’s rate.   </w:t>
      </w:r>
    </w:p>
    <w:p w14:paraId="50B86DC2" w14:textId="77777777" w:rsidR="00AB379C" w:rsidRPr="00815AD5" w:rsidRDefault="00AB379C" w:rsidP="00AB379C">
      <w:pPr>
        <w:rPr>
          <w:rFonts w:cstheme="minorHAnsi"/>
          <w:sz w:val="20"/>
          <w:szCs w:val="20"/>
        </w:rPr>
      </w:pPr>
      <w:r w:rsidRPr="00815AD5">
        <w:rPr>
          <w:rFonts w:cstheme="minorHAnsi"/>
          <w:sz w:val="20"/>
          <w:szCs w:val="20"/>
        </w:rPr>
        <w:t xml:space="preserve">Gray shaded boxes reflect rates above the MY 2021 MMC Weighted Average. </w:t>
      </w:r>
    </w:p>
    <w:p w14:paraId="42AF2B77" w14:textId="4E57853D" w:rsidR="006E29DC" w:rsidRPr="00815AD5" w:rsidRDefault="00AB379C" w:rsidP="00AB379C">
      <w:pPr>
        <w:rPr>
          <w:rFonts w:cstheme="minorHAnsi"/>
          <w:sz w:val="20"/>
          <w:szCs w:val="20"/>
        </w:rPr>
      </w:pPr>
      <w:r w:rsidRPr="00815AD5">
        <w:rPr>
          <w:rFonts w:cstheme="minorHAnsi"/>
          <w:sz w:val="20"/>
          <w:szCs w:val="20"/>
        </w:rPr>
        <w:t>CAHPS: Consumer Assessment of Healthcare Providers and Systems; MY: measurement year; MMC: Medicaid Managed Care; PCP: primary care provider.</w:t>
      </w:r>
    </w:p>
    <w:p w14:paraId="4BC62D02" w14:textId="4A83B0A3" w:rsidR="00574166" w:rsidRPr="007E5FA4" w:rsidRDefault="00574166" w:rsidP="00574166">
      <w:pPr>
        <w:rPr>
          <w:sz w:val="20"/>
          <w:szCs w:val="20"/>
        </w:rPr>
      </w:pPr>
    </w:p>
    <w:p w14:paraId="3F53840E" w14:textId="41968EEC" w:rsidR="00B34706" w:rsidRPr="00566362" w:rsidRDefault="00B34706" w:rsidP="00231C6F">
      <w:pPr>
        <w:rPr>
          <w:sz w:val="20"/>
          <w:szCs w:val="20"/>
        </w:rPr>
      </w:pPr>
      <w:r w:rsidRPr="00F7033D">
        <w:rPr>
          <w:rFonts w:asciiTheme="majorHAnsi" w:eastAsiaTheme="majorEastAsia" w:hAnsiTheme="majorHAnsi" w:cstheme="majorBidi"/>
          <w:b/>
          <w:bCs/>
          <w:color w:val="365F91" w:themeColor="accent1" w:themeShade="BF"/>
          <w:sz w:val="28"/>
          <w:szCs w:val="28"/>
        </w:rPr>
        <w:br w:type="page"/>
      </w:r>
    </w:p>
    <w:p w14:paraId="3D330DB5" w14:textId="77777777" w:rsidR="00C149F5" w:rsidRPr="00F7033D" w:rsidRDefault="00C149F5" w:rsidP="00C149F5">
      <w:pPr>
        <w:pStyle w:val="Heading1"/>
      </w:pPr>
      <w:bookmarkStart w:id="153" w:name="_Toc132641631"/>
      <w:bookmarkStart w:id="154" w:name="_Toc68680832"/>
      <w:bookmarkStart w:id="155" w:name="_Toc92376789"/>
      <w:r w:rsidRPr="00F7033D">
        <w:lastRenderedPageBreak/>
        <w:t xml:space="preserve">III: </w:t>
      </w:r>
      <w:bookmarkStart w:id="156" w:name="_Toc92376749"/>
      <w:bookmarkStart w:id="157" w:name="_Hlk97728773"/>
      <w:r w:rsidRPr="00F7033D">
        <w:t>Review of Compliance with Medicaid and CHIP Managed Care Regulations</w:t>
      </w:r>
      <w:bookmarkEnd w:id="153"/>
      <w:bookmarkEnd w:id="156"/>
      <w:bookmarkEnd w:id="157"/>
    </w:p>
    <w:p w14:paraId="6AA1B42A" w14:textId="77777777" w:rsidR="00C149F5" w:rsidRPr="00F7033D" w:rsidRDefault="00C149F5" w:rsidP="00C149F5">
      <w:pPr>
        <w:pStyle w:val="Heading2"/>
      </w:pPr>
      <w:bookmarkStart w:id="158" w:name="_Toc132641632"/>
      <w:bookmarkStart w:id="159" w:name="_Toc512601891"/>
      <w:r w:rsidRPr="00F7033D">
        <w:t>Objectives</w:t>
      </w:r>
      <w:bookmarkEnd w:id="158"/>
    </w:p>
    <w:p w14:paraId="5889A02C" w14:textId="77777777" w:rsidR="00C149F5" w:rsidRPr="00F7033D" w:rsidRDefault="00C149F5" w:rsidP="00C149F5">
      <w:r w:rsidRPr="00F7033D">
        <w:t>This section of the EQR report presents a review of the CHIP MCO’s compliance with its contract and with state and federal regulations. The review is based on information derived from reviews of the MCO that were conducted by PA CHIP within the past three years, most typically within the immediately preceding year. Compliance reviews are conducted by CHIP on a recurring basis.</w:t>
      </w:r>
    </w:p>
    <w:p w14:paraId="32D2ADEC" w14:textId="77777777" w:rsidR="00C149F5" w:rsidRPr="00F7033D" w:rsidRDefault="00C149F5" w:rsidP="00C149F5"/>
    <w:p w14:paraId="57670CD3" w14:textId="77777777" w:rsidR="00C149F5" w:rsidRPr="00F7033D" w:rsidRDefault="00C149F5" w:rsidP="00C149F5">
      <w:r w:rsidRPr="00F7033D">
        <w:t xml:space="preserve">The SMART items are a comprehensive set of monitoring items that have been developed by PA DHS from the managed care regulations.  PA CHIP staff reviews SMART items on an ongoing basis for each CHIP MCO as part of their compliance review. These items vary in review periodicity as determined by CHIP and reviews typically occur annually or as needed.  </w:t>
      </w:r>
    </w:p>
    <w:p w14:paraId="2763EF8B" w14:textId="77777777" w:rsidR="00C149F5" w:rsidRPr="00F7033D" w:rsidRDefault="00C149F5" w:rsidP="00C149F5"/>
    <w:p w14:paraId="3FE968C2" w14:textId="77777777" w:rsidR="00C149F5" w:rsidRPr="00F7033D" w:rsidRDefault="00C149F5" w:rsidP="00C149F5">
      <w:r w:rsidRPr="00F7033D">
        <w:t>Prior to the audit, CHIP MCOs provide documents to CHIP for review, which address various areas of compliance. This includes training materials, provider manuals, MCO organization charts, policy and procedure manuals, and geo access maps. These items are also used to assess the MCOs overall operational, fiscal, and programmatic activities to ensure compliance with contractual obligations. Federal and state law require that CHIP conduct monitoring and oversight of its MCOs. For the current review year, reviews were performed virtually due to the public health emergency</w:t>
      </w:r>
      <w:r>
        <w:t>.</w:t>
      </w:r>
    </w:p>
    <w:p w14:paraId="7864BC54" w14:textId="77777777" w:rsidR="00C149F5" w:rsidRPr="00F7033D" w:rsidRDefault="00C149F5" w:rsidP="00C149F5"/>
    <w:p w14:paraId="4B99EB42" w14:textId="77777777" w:rsidR="00C149F5" w:rsidRPr="00F7033D" w:rsidRDefault="00C149F5" w:rsidP="00C149F5">
      <w:r w:rsidRPr="00F7033D">
        <w:t xml:space="preserve">Throughout the audit, these areas of compliance are discussed with the MCO and clarifying information is provided, where possible. Discussions that occur are compiled along with the reviewed documentation to provide a final determination of compliance, partial compliance, or non-compliance for each section. </w:t>
      </w:r>
    </w:p>
    <w:p w14:paraId="6AE32FD8" w14:textId="77777777" w:rsidR="00C149F5" w:rsidRPr="00F7033D" w:rsidRDefault="00C149F5" w:rsidP="00C149F5">
      <w:pPr>
        <w:pStyle w:val="Heading2"/>
      </w:pPr>
      <w:bookmarkStart w:id="160" w:name="_Hlk97729154"/>
      <w:bookmarkStart w:id="161" w:name="_Toc447110534"/>
      <w:bookmarkStart w:id="162" w:name="_Toc448738378"/>
      <w:bookmarkStart w:id="163" w:name="_Toc512521013"/>
      <w:bookmarkStart w:id="164" w:name="_Toc66956535"/>
      <w:bookmarkStart w:id="165" w:name="_Toc68527439"/>
      <w:bookmarkStart w:id="166" w:name="_Toc132641633"/>
      <w:r w:rsidRPr="00F7033D">
        <w:t>Description of Data Obtained</w:t>
      </w:r>
      <w:bookmarkEnd w:id="160"/>
      <w:bookmarkEnd w:id="161"/>
      <w:bookmarkEnd w:id="162"/>
      <w:bookmarkEnd w:id="163"/>
      <w:bookmarkEnd w:id="164"/>
      <w:bookmarkEnd w:id="165"/>
      <w:bookmarkEnd w:id="166"/>
    </w:p>
    <w:p w14:paraId="28AF6EC0" w14:textId="0369988F" w:rsidR="00C149F5" w:rsidRPr="00F7033D" w:rsidRDefault="00C149F5" w:rsidP="00C149F5">
      <w:r w:rsidRPr="00F7033D">
        <w:t xml:space="preserve">The documents used by IPRO for the current review include the SMART database findings completed by PA CHIP staff as of December 31, </w:t>
      </w:r>
      <w:r w:rsidR="00BE6499" w:rsidRPr="00F7033D">
        <w:t>202</w:t>
      </w:r>
      <w:r w:rsidR="00BE6499">
        <w:t>1,</w:t>
      </w:r>
      <w:r w:rsidRPr="00F7033D">
        <w:rPr>
          <w:rFonts w:cs="Arial"/>
        </w:rPr>
        <w:t xml:space="preserve"> for Review Year (RY) 202</w:t>
      </w:r>
      <w:r>
        <w:rPr>
          <w:rFonts w:cs="Arial"/>
        </w:rPr>
        <w:t>1</w:t>
      </w:r>
      <w:r w:rsidRPr="00F7033D">
        <w:t xml:space="preserve">. </w:t>
      </w:r>
      <w:r w:rsidRPr="00F7033D">
        <w:rPr>
          <w:rFonts w:cs="Arial"/>
        </w:rPr>
        <w:t xml:space="preserve">Historically, regulatory requirements were grouped to corresponding BBA regulation subparts based on CHIP’s on-site review findings. Beginning in 2020, findings are reported by IPRO using the SMART database completed by PA CHIP staff. The SMART items provide the information necessary for this review. The SMART items and their associated review findings for this year are maintained in a database. The SMART database has been maintained internally at DHS CHIP </w:t>
      </w:r>
      <w:r>
        <w:rPr>
          <w:rFonts w:cs="Arial"/>
        </w:rPr>
        <w:t>beginning in</w:t>
      </w:r>
      <w:r w:rsidRPr="00F7033D">
        <w:rPr>
          <w:rFonts w:cs="Arial"/>
        </w:rPr>
        <w:t xml:space="preserve"> Review Year (RY) 2019 and </w:t>
      </w:r>
      <w:r>
        <w:rPr>
          <w:rFonts w:cs="Arial"/>
        </w:rPr>
        <w:t>has continued</w:t>
      </w:r>
      <w:r w:rsidRPr="00F7033D">
        <w:rPr>
          <w:rFonts w:cs="Arial"/>
        </w:rPr>
        <w:t xml:space="preserve"> for </w:t>
      </w:r>
      <w:r>
        <w:rPr>
          <w:rFonts w:cs="Arial"/>
        </w:rPr>
        <w:t>subsequent</w:t>
      </w:r>
      <w:r w:rsidRPr="00F7033D">
        <w:rPr>
          <w:rFonts w:cs="Arial"/>
        </w:rPr>
        <w:t xml:space="preserve"> review years. </w:t>
      </w:r>
      <w:r w:rsidRPr="00F7033D">
        <w:t xml:space="preserve">IPRO reviewed the elements in the SMART item list and created a crosswalk to pertinent BBA regulations. A total of </w:t>
      </w:r>
      <w:r>
        <w:t>56</w:t>
      </w:r>
      <w:r w:rsidRPr="00F7033D">
        <w:t xml:space="preserve"> items were identified that were relevant to evaluation of MCO compliance with the BBA regulations. </w:t>
      </w:r>
    </w:p>
    <w:p w14:paraId="6D388A33" w14:textId="77777777" w:rsidR="00C149F5" w:rsidRPr="00F7033D" w:rsidRDefault="00C149F5" w:rsidP="00C149F5"/>
    <w:p w14:paraId="2D1AA730" w14:textId="77777777" w:rsidR="00C149F5" w:rsidRPr="00F7033D" w:rsidRDefault="00C149F5" w:rsidP="00C149F5">
      <w:r w:rsidRPr="00F7033D">
        <w:t xml:space="preserve">The format for this section of the report was developed to be consistent with the subparts prescribed by BBA regulations. This document groups the regulatory requirements under subject headings that are consistent with the subparts set out in the BBA regulations that were updated in 2016 and finalized in late 2019.  These requirements are described in the CMS EQR Protocol: </w:t>
      </w:r>
      <w:r w:rsidRPr="00F7033D">
        <w:rPr>
          <w:i/>
        </w:rPr>
        <w:t>Review of Compliance with Medicaid and CHIP Managed Care Regulations</w:t>
      </w:r>
      <w:r w:rsidRPr="00F7033D">
        <w:t>. Under each subpart heading fall the individual regulatory categories appropriate to those headings. IPRO’s findings are presented in a manner consistent with the subparts in the BBA regulations explained in the Protocol, i.e., Subpart D – MCO, Prepaid Inpatient Health Plan (PIHP) and Prepaid Ambulatory Health Plan (PAHP) Standards and Subpart E – Quality Measurement and Improvement.</w:t>
      </w:r>
    </w:p>
    <w:p w14:paraId="728C9C33" w14:textId="77777777" w:rsidR="00C149F5" w:rsidRPr="00F7033D" w:rsidRDefault="00C149F5" w:rsidP="00C149F5"/>
    <w:p w14:paraId="17514079" w14:textId="77777777" w:rsidR="00C149F5" w:rsidRPr="00F7033D" w:rsidRDefault="00C149F5" w:rsidP="00C149F5">
      <w:r w:rsidRPr="00F7033D">
        <w:t xml:space="preserve">The crosswalk links SMART items to specific provisions of the regulations, where possible. </w:t>
      </w:r>
      <w:r w:rsidRPr="00F7033D">
        <w:rPr>
          <w:b/>
        </w:rPr>
        <w:t>Table 3.1</w:t>
      </w:r>
      <w:r w:rsidRPr="00F7033D">
        <w:t xml:space="preserve"> provides a count of items linked to each standard designated in the protocols as subject to compliance review.  The </w:t>
      </w:r>
      <w:r w:rsidRPr="00F7033D">
        <w:rPr>
          <w:b/>
        </w:rPr>
        <w:t>Appendix</w:t>
      </w:r>
      <w:r w:rsidRPr="00F7033D">
        <w:t xml:space="preserve"> lists all standards that can be included in compliance review, either directly through one of the 11 required standards below or indirectly through interaction with Subparts D and E.</w:t>
      </w:r>
    </w:p>
    <w:p w14:paraId="232323D2" w14:textId="77777777" w:rsidR="00C149F5" w:rsidRPr="00F7033D" w:rsidRDefault="00C149F5" w:rsidP="00C149F5">
      <w:pPr>
        <w:rPr>
          <w:rFonts w:asciiTheme="majorHAnsi" w:eastAsiaTheme="majorEastAsia" w:hAnsiTheme="majorHAnsi" w:cstheme="majorBidi"/>
          <w:bCs/>
          <w:iCs/>
          <w:color w:val="244061" w:themeColor="accent1" w:themeShade="80"/>
        </w:rPr>
      </w:pPr>
      <w:bookmarkStart w:id="167" w:name="_Toc68527468"/>
      <w:r w:rsidRPr="00F7033D">
        <w:br w:type="page"/>
      </w:r>
    </w:p>
    <w:p w14:paraId="1621FC2B" w14:textId="77777777" w:rsidR="00C149F5" w:rsidRPr="00F7033D" w:rsidRDefault="00C149F5" w:rsidP="00C149F5">
      <w:pPr>
        <w:pStyle w:val="tableheading"/>
      </w:pPr>
      <w:bookmarkStart w:id="168" w:name="_Toc132641670"/>
      <w:r w:rsidRPr="00F7033D">
        <w:lastRenderedPageBreak/>
        <w:t>Table 3.1: SMART Items Count per Regulation</w:t>
      </w:r>
      <w:bookmarkEnd w:id="167"/>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3"/>
        <w:gridCol w:w="1472"/>
        <w:gridCol w:w="1275"/>
      </w:tblGrid>
      <w:tr w:rsidR="00C149F5" w:rsidRPr="00F7033D" w14:paraId="35B87ECE" w14:textId="77777777" w:rsidTr="00D02B13">
        <w:trPr>
          <w:trHeight w:val="188"/>
          <w:tblHeader/>
        </w:trPr>
        <w:tc>
          <w:tcPr>
            <w:tcW w:w="3727" w:type="pct"/>
            <w:shd w:val="clear" w:color="auto" w:fill="5F497A" w:themeFill="accent4" w:themeFillShade="BF"/>
            <w:vAlign w:val="center"/>
          </w:tcPr>
          <w:p w14:paraId="30D3BF09" w14:textId="77777777" w:rsidR="00C149F5" w:rsidRPr="00F7033D" w:rsidRDefault="00C149F5" w:rsidP="00D02B13">
            <w:pPr>
              <w:jc w:val="left"/>
              <w:rPr>
                <w:rFonts w:cstheme="minorHAnsi"/>
                <w:b/>
                <w:bCs/>
                <w:color w:val="FFFFFF" w:themeColor="background1"/>
              </w:rPr>
            </w:pPr>
            <w:bookmarkStart w:id="169" w:name="_Toc447110535"/>
            <w:bookmarkStart w:id="170" w:name="_Toc448738379"/>
            <w:bookmarkStart w:id="171" w:name="_Toc512521014"/>
            <w:smartTag w:uri="urn:schemas-microsoft-com:office:smarttags" w:element="stockticker">
              <w:r w:rsidRPr="00F7033D">
                <w:rPr>
                  <w:rFonts w:cstheme="minorHAnsi"/>
                  <w:b/>
                  <w:bCs/>
                  <w:color w:val="FFFFFF" w:themeColor="background1"/>
                </w:rPr>
                <w:t>BBA</w:t>
              </w:r>
            </w:smartTag>
            <w:r w:rsidRPr="00F7033D">
              <w:rPr>
                <w:rFonts w:cstheme="minorHAnsi"/>
                <w:b/>
                <w:bCs/>
                <w:color w:val="FFFFFF" w:themeColor="background1"/>
              </w:rPr>
              <w:t xml:space="preserve"> Regulation</w:t>
            </w:r>
          </w:p>
        </w:tc>
        <w:tc>
          <w:tcPr>
            <w:tcW w:w="682" w:type="pct"/>
            <w:shd w:val="clear" w:color="auto" w:fill="5F497A" w:themeFill="accent4" w:themeFillShade="BF"/>
            <w:vAlign w:val="center"/>
          </w:tcPr>
          <w:p w14:paraId="465485B3" w14:textId="77777777" w:rsidR="00C149F5" w:rsidRPr="00F7033D" w:rsidRDefault="00C149F5" w:rsidP="00D02B13">
            <w:pPr>
              <w:jc w:val="center"/>
              <w:rPr>
                <w:rFonts w:cstheme="minorHAnsi"/>
                <w:b/>
                <w:bCs/>
                <w:color w:val="FFFFFF" w:themeColor="background1"/>
              </w:rPr>
            </w:pPr>
            <w:r w:rsidRPr="00F7033D">
              <w:rPr>
                <w:rFonts w:cstheme="minorHAnsi"/>
                <w:b/>
                <w:bCs/>
                <w:color w:val="FFFFFF" w:themeColor="background1"/>
              </w:rPr>
              <w:t>CHIP Citation</w:t>
            </w:r>
          </w:p>
        </w:tc>
        <w:tc>
          <w:tcPr>
            <w:tcW w:w="591" w:type="pct"/>
            <w:shd w:val="clear" w:color="auto" w:fill="5F497A" w:themeFill="accent4" w:themeFillShade="BF"/>
          </w:tcPr>
          <w:p w14:paraId="3399FE2B" w14:textId="77777777" w:rsidR="00C149F5" w:rsidRPr="00F7033D" w:rsidRDefault="00C149F5" w:rsidP="00D02B13">
            <w:pPr>
              <w:jc w:val="center"/>
              <w:rPr>
                <w:rFonts w:cstheme="minorHAnsi"/>
                <w:b/>
                <w:bCs/>
                <w:color w:val="FFFFFF" w:themeColor="background1"/>
              </w:rPr>
            </w:pPr>
            <w:r w:rsidRPr="00F7033D">
              <w:rPr>
                <w:rFonts w:cstheme="minorHAnsi"/>
                <w:b/>
                <w:bCs/>
                <w:color w:val="FFFFFF" w:themeColor="background1"/>
              </w:rPr>
              <w:t>SMART Items</w:t>
            </w:r>
          </w:p>
        </w:tc>
      </w:tr>
      <w:tr w:rsidR="00C149F5" w:rsidRPr="00F7033D" w14:paraId="4B74406B" w14:textId="77777777" w:rsidTr="00D02B13">
        <w:trPr>
          <w:trHeight w:val="98"/>
        </w:trPr>
        <w:tc>
          <w:tcPr>
            <w:tcW w:w="4409" w:type="pct"/>
            <w:gridSpan w:val="2"/>
            <w:shd w:val="clear" w:color="auto" w:fill="CCC0D9" w:themeFill="accent4" w:themeFillTint="66"/>
            <w:vAlign w:val="center"/>
          </w:tcPr>
          <w:p w14:paraId="01E56DBF" w14:textId="77777777" w:rsidR="00C149F5" w:rsidRPr="00F7033D" w:rsidRDefault="00C149F5" w:rsidP="00D02B13">
            <w:pPr>
              <w:jc w:val="left"/>
              <w:rPr>
                <w:rFonts w:cstheme="minorHAnsi"/>
                <w:b/>
                <w:bCs/>
              </w:rPr>
            </w:pPr>
            <w:r w:rsidRPr="00F7033D">
              <w:rPr>
                <w:rFonts w:cstheme="minorHAnsi"/>
                <w:b/>
                <w:bCs/>
              </w:rPr>
              <w:t>Subpart D: MCO, PIHP and PAHP Standards</w:t>
            </w:r>
          </w:p>
        </w:tc>
        <w:tc>
          <w:tcPr>
            <w:tcW w:w="591" w:type="pct"/>
            <w:shd w:val="clear" w:color="auto" w:fill="CCC0D9" w:themeFill="accent4" w:themeFillTint="66"/>
          </w:tcPr>
          <w:p w14:paraId="59AFE1BF" w14:textId="77777777" w:rsidR="00C149F5" w:rsidRPr="00F7033D" w:rsidRDefault="00C149F5" w:rsidP="00D02B13">
            <w:pPr>
              <w:jc w:val="left"/>
              <w:rPr>
                <w:rFonts w:cstheme="minorHAnsi"/>
                <w:b/>
                <w:bCs/>
              </w:rPr>
            </w:pPr>
          </w:p>
        </w:tc>
      </w:tr>
      <w:tr w:rsidR="00C149F5" w:rsidRPr="00F7033D" w14:paraId="4A3C827B" w14:textId="77777777" w:rsidTr="00D02B13">
        <w:trPr>
          <w:trHeight w:val="332"/>
        </w:trPr>
        <w:tc>
          <w:tcPr>
            <w:tcW w:w="3727" w:type="pct"/>
            <w:vAlign w:val="center"/>
          </w:tcPr>
          <w:p w14:paraId="45D82628" w14:textId="77777777" w:rsidR="00C149F5" w:rsidRPr="00F7033D" w:rsidRDefault="00C149F5" w:rsidP="00D02B13">
            <w:pPr>
              <w:jc w:val="left"/>
              <w:rPr>
                <w:rFonts w:cstheme="minorHAnsi"/>
              </w:rPr>
            </w:pPr>
            <w:r w:rsidRPr="00F7033D">
              <w:rPr>
                <w:rFonts w:cstheme="minorHAnsi"/>
              </w:rPr>
              <w:t>Availability of services</w:t>
            </w:r>
          </w:p>
        </w:tc>
        <w:tc>
          <w:tcPr>
            <w:tcW w:w="682" w:type="pct"/>
            <w:vAlign w:val="center"/>
          </w:tcPr>
          <w:p w14:paraId="103CABD8" w14:textId="77777777" w:rsidR="00C149F5" w:rsidRPr="00F7033D" w:rsidRDefault="00C149F5" w:rsidP="00D02B13">
            <w:pPr>
              <w:jc w:val="center"/>
              <w:rPr>
                <w:rFonts w:cstheme="minorHAnsi"/>
              </w:rPr>
            </w:pPr>
            <w:r w:rsidRPr="00F7033D">
              <w:rPr>
                <w:rFonts w:cstheme="minorHAnsi"/>
              </w:rPr>
              <w:t>457.1230(a)</w:t>
            </w:r>
          </w:p>
        </w:tc>
        <w:tc>
          <w:tcPr>
            <w:tcW w:w="591" w:type="pct"/>
            <w:vAlign w:val="center"/>
          </w:tcPr>
          <w:p w14:paraId="029932BF" w14:textId="77777777" w:rsidR="00C149F5" w:rsidRPr="00F7033D" w:rsidRDefault="00C149F5" w:rsidP="00D02B13">
            <w:pPr>
              <w:jc w:val="center"/>
              <w:rPr>
                <w:rFonts w:cstheme="minorHAnsi"/>
                <w:bCs/>
              </w:rPr>
            </w:pPr>
            <w:r w:rsidRPr="00F7033D">
              <w:rPr>
                <w:rFonts w:cstheme="minorHAnsi"/>
                <w:bCs/>
              </w:rPr>
              <w:t>3</w:t>
            </w:r>
          </w:p>
        </w:tc>
      </w:tr>
      <w:tr w:rsidR="00C149F5" w:rsidRPr="00F7033D" w14:paraId="03A33F3C" w14:textId="77777777" w:rsidTr="00D02B13">
        <w:trPr>
          <w:trHeight w:val="278"/>
        </w:trPr>
        <w:tc>
          <w:tcPr>
            <w:tcW w:w="3727" w:type="pct"/>
            <w:vAlign w:val="center"/>
          </w:tcPr>
          <w:p w14:paraId="0E669243" w14:textId="77777777" w:rsidR="00C149F5" w:rsidRPr="00F7033D" w:rsidRDefault="00C149F5" w:rsidP="00D02B13">
            <w:pPr>
              <w:jc w:val="left"/>
              <w:rPr>
                <w:rFonts w:cstheme="minorHAnsi"/>
              </w:rPr>
            </w:pPr>
            <w:r w:rsidRPr="00F7033D">
              <w:rPr>
                <w:rFonts w:cstheme="minorHAnsi"/>
              </w:rPr>
              <w:t>Assurances of adequate capacity and services</w:t>
            </w:r>
          </w:p>
        </w:tc>
        <w:tc>
          <w:tcPr>
            <w:tcW w:w="682" w:type="pct"/>
            <w:vAlign w:val="center"/>
          </w:tcPr>
          <w:p w14:paraId="1005DC33" w14:textId="77777777" w:rsidR="00C149F5" w:rsidRPr="00F7033D" w:rsidRDefault="00C149F5" w:rsidP="00D02B13">
            <w:pPr>
              <w:jc w:val="center"/>
              <w:rPr>
                <w:rFonts w:cstheme="minorHAnsi"/>
              </w:rPr>
            </w:pPr>
            <w:r w:rsidRPr="00F7033D">
              <w:rPr>
                <w:rFonts w:cstheme="minorHAnsi"/>
              </w:rPr>
              <w:t>457.1230(b)</w:t>
            </w:r>
          </w:p>
        </w:tc>
        <w:tc>
          <w:tcPr>
            <w:tcW w:w="591" w:type="pct"/>
            <w:vAlign w:val="center"/>
          </w:tcPr>
          <w:p w14:paraId="4BDD4B6C" w14:textId="77777777" w:rsidR="00C149F5" w:rsidRPr="00F7033D" w:rsidRDefault="00C149F5" w:rsidP="00D02B13">
            <w:pPr>
              <w:jc w:val="center"/>
              <w:rPr>
                <w:rFonts w:cstheme="minorHAnsi"/>
                <w:bCs/>
              </w:rPr>
            </w:pPr>
            <w:r>
              <w:rPr>
                <w:rFonts w:cstheme="minorHAnsi"/>
                <w:bCs/>
              </w:rPr>
              <w:t>6</w:t>
            </w:r>
          </w:p>
        </w:tc>
      </w:tr>
      <w:tr w:rsidR="00C149F5" w:rsidRPr="00F7033D" w14:paraId="105E85AC" w14:textId="77777777" w:rsidTr="00D02B13">
        <w:trPr>
          <w:trHeight w:val="332"/>
        </w:trPr>
        <w:tc>
          <w:tcPr>
            <w:tcW w:w="3727" w:type="pct"/>
            <w:vAlign w:val="center"/>
          </w:tcPr>
          <w:p w14:paraId="28BDA1D6" w14:textId="77777777" w:rsidR="00C149F5" w:rsidRPr="00F7033D" w:rsidRDefault="00C149F5" w:rsidP="00D02B13">
            <w:pPr>
              <w:jc w:val="left"/>
              <w:rPr>
                <w:rFonts w:cstheme="minorHAnsi"/>
              </w:rPr>
            </w:pPr>
            <w:r w:rsidRPr="00F7033D">
              <w:rPr>
                <w:rFonts w:cstheme="minorHAnsi"/>
              </w:rPr>
              <w:t>Coordination and continuity of care</w:t>
            </w:r>
          </w:p>
        </w:tc>
        <w:tc>
          <w:tcPr>
            <w:tcW w:w="682" w:type="pct"/>
            <w:vAlign w:val="center"/>
          </w:tcPr>
          <w:p w14:paraId="0DF65BB2" w14:textId="77777777" w:rsidR="00C149F5" w:rsidRPr="00F7033D" w:rsidRDefault="00C149F5" w:rsidP="00D02B13">
            <w:pPr>
              <w:jc w:val="center"/>
              <w:rPr>
                <w:rFonts w:cstheme="minorHAnsi"/>
              </w:rPr>
            </w:pPr>
            <w:r w:rsidRPr="00F7033D">
              <w:rPr>
                <w:rFonts w:cstheme="minorHAnsi"/>
              </w:rPr>
              <w:t>457.1230(c)</w:t>
            </w:r>
          </w:p>
        </w:tc>
        <w:tc>
          <w:tcPr>
            <w:tcW w:w="591" w:type="pct"/>
            <w:vAlign w:val="center"/>
          </w:tcPr>
          <w:p w14:paraId="3F28840C" w14:textId="77777777" w:rsidR="00C149F5" w:rsidRPr="00F7033D" w:rsidRDefault="00C149F5" w:rsidP="00D02B13">
            <w:pPr>
              <w:jc w:val="center"/>
              <w:rPr>
                <w:rFonts w:cstheme="minorHAnsi"/>
                <w:bCs/>
              </w:rPr>
            </w:pPr>
            <w:r>
              <w:rPr>
                <w:rFonts w:cstheme="minorHAnsi"/>
                <w:bCs/>
              </w:rPr>
              <w:t>5</w:t>
            </w:r>
          </w:p>
        </w:tc>
      </w:tr>
      <w:tr w:rsidR="00C149F5" w:rsidRPr="00F7033D" w14:paraId="1D54343B" w14:textId="77777777" w:rsidTr="00D02B13">
        <w:trPr>
          <w:trHeight w:val="170"/>
        </w:trPr>
        <w:tc>
          <w:tcPr>
            <w:tcW w:w="3727" w:type="pct"/>
            <w:vAlign w:val="center"/>
          </w:tcPr>
          <w:p w14:paraId="153ACBA3" w14:textId="77777777" w:rsidR="00C149F5" w:rsidRPr="00F7033D" w:rsidRDefault="00C149F5" w:rsidP="00D02B13">
            <w:pPr>
              <w:jc w:val="left"/>
              <w:rPr>
                <w:rFonts w:cstheme="minorHAnsi"/>
              </w:rPr>
            </w:pPr>
            <w:r w:rsidRPr="00F7033D">
              <w:rPr>
                <w:rFonts w:cstheme="minorHAnsi"/>
              </w:rPr>
              <w:t>Coverage and authorization of services</w:t>
            </w:r>
          </w:p>
        </w:tc>
        <w:tc>
          <w:tcPr>
            <w:tcW w:w="682" w:type="pct"/>
            <w:vAlign w:val="center"/>
          </w:tcPr>
          <w:p w14:paraId="0BA2EFE1" w14:textId="77777777" w:rsidR="00C149F5" w:rsidRPr="00F7033D" w:rsidRDefault="00C149F5" w:rsidP="00D02B13">
            <w:pPr>
              <w:jc w:val="center"/>
              <w:rPr>
                <w:rFonts w:cstheme="minorHAnsi"/>
              </w:rPr>
            </w:pPr>
            <w:r w:rsidRPr="00F7033D">
              <w:rPr>
                <w:rFonts w:cstheme="minorHAnsi"/>
              </w:rPr>
              <w:t>457.1230(d)</w:t>
            </w:r>
          </w:p>
        </w:tc>
        <w:tc>
          <w:tcPr>
            <w:tcW w:w="591" w:type="pct"/>
            <w:vAlign w:val="center"/>
          </w:tcPr>
          <w:p w14:paraId="04D93F0B" w14:textId="77777777" w:rsidR="00C149F5" w:rsidRPr="00F7033D" w:rsidRDefault="00C149F5" w:rsidP="00D02B13">
            <w:pPr>
              <w:jc w:val="center"/>
              <w:rPr>
                <w:rFonts w:cstheme="minorHAnsi"/>
                <w:bCs/>
              </w:rPr>
            </w:pPr>
            <w:r>
              <w:rPr>
                <w:rFonts w:cstheme="minorHAnsi"/>
                <w:bCs/>
              </w:rPr>
              <w:t>3</w:t>
            </w:r>
          </w:p>
        </w:tc>
      </w:tr>
      <w:tr w:rsidR="00C149F5" w:rsidRPr="00F7033D" w14:paraId="40F1D1E5" w14:textId="77777777" w:rsidTr="00D02B13">
        <w:trPr>
          <w:trHeight w:val="70"/>
        </w:trPr>
        <w:tc>
          <w:tcPr>
            <w:tcW w:w="3727" w:type="pct"/>
            <w:vAlign w:val="center"/>
          </w:tcPr>
          <w:p w14:paraId="42648DDB" w14:textId="77777777" w:rsidR="00C149F5" w:rsidRPr="00F7033D" w:rsidRDefault="00C149F5" w:rsidP="00D02B13">
            <w:pPr>
              <w:jc w:val="left"/>
              <w:rPr>
                <w:rFonts w:cstheme="minorHAnsi"/>
              </w:rPr>
            </w:pPr>
            <w:r w:rsidRPr="00F7033D">
              <w:rPr>
                <w:rFonts w:cstheme="minorHAnsi"/>
              </w:rPr>
              <w:t>Provider selection</w:t>
            </w:r>
          </w:p>
        </w:tc>
        <w:tc>
          <w:tcPr>
            <w:tcW w:w="682" w:type="pct"/>
            <w:vAlign w:val="center"/>
          </w:tcPr>
          <w:p w14:paraId="26A2DCE8" w14:textId="77777777" w:rsidR="00C149F5" w:rsidRPr="00F7033D" w:rsidRDefault="00C149F5" w:rsidP="00D02B13">
            <w:pPr>
              <w:jc w:val="center"/>
              <w:rPr>
                <w:rFonts w:cstheme="minorHAnsi"/>
              </w:rPr>
            </w:pPr>
            <w:r w:rsidRPr="00F7033D">
              <w:rPr>
                <w:rFonts w:cstheme="minorHAnsi"/>
              </w:rPr>
              <w:t>457.1233(a)</w:t>
            </w:r>
          </w:p>
        </w:tc>
        <w:tc>
          <w:tcPr>
            <w:tcW w:w="591" w:type="pct"/>
            <w:vAlign w:val="center"/>
          </w:tcPr>
          <w:p w14:paraId="51017BA9" w14:textId="77777777" w:rsidR="00C149F5" w:rsidRPr="00F7033D" w:rsidRDefault="00C149F5" w:rsidP="00D02B13">
            <w:pPr>
              <w:jc w:val="center"/>
              <w:rPr>
                <w:rFonts w:cstheme="minorHAnsi"/>
                <w:bCs/>
              </w:rPr>
            </w:pPr>
            <w:r w:rsidRPr="00F7033D">
              <w:rPr>
                <w:rFonts w:cstheme="minorHAnsi"/>
                <w:bCs/>
              </w:rPr>
              <w:t>2</w:t>
            </w:r>
          </w:p>
        </w:tc>
      </w:tr>
      <w:tr w:rsidR="00C149F5" w:rsidRPr="00F7033D" w14:paraId="283126EA" w14:textId="77777777" w:rsidTr="00D02B13">
        <w:trPr>
          <w:trHeight w:val="152"/>
        </w:trPr>
        <w:tc>
          <w:tcPr>
            <w:tcW w:w="3727" w:type="pct"/>
            <w:vAlign w:val="center"/>
          </w:tcPr>
          <w:p w14:paraId="180E0D52" w14:textId="77777777" w:rsidR="00C149F5" w:rsidRPr="00F7033D" w:rsidRDefault="00C149F5" w:rsidP="00D02B13">
            <w:pPr>
              <w:jc w:val="left"/>
              <w:rPr>
                <w:rFonts w:cstheme="minorHAnsi"/>
              </w:rPr>
            </w:pPr>
            <w:r w:rsidRPr="00F7033D">
              <w:rPr>
                <w:rFonts w:cstheme="minorHAnsi"/>
              </w:rPr>
              <w:t>Confidentiality</w:t>
            </w:r>
          </w:p>
        </w:tc>
        <w:tc>
          <w:tcPr>
            <w:tcW w:w="682" w:type="pct"/>
            <w:vAlign w:val="center"/>
          </w:tcPr>
          <w:p w14:paraId="6E21AF12" w14:textId="77777777" w:rsidR="00C149F5" w:rsidRPr="00F7033D" w:rsidRDefault="00C149F5" w:rsidP="00D02B13">
            <w:pPr>
              <w:jc w:val="center"/>
              <w:rPr>
                <w:rFonts w:cstheme="minorHAnsi"/>
              </w:rPr>
            </w:pPr>
            <w:r w:rsidRPr="00F7033D">
              <w:rPr>
                <w:rFonts w:cstheme="minorHAnsi"/>
              </w:rPr>
              <w:t>457.1230(c)</w:t>
            </w:r>
          </w:p>
        </w:tc>
        <w:tc>
          <w:tcPr>
            <w:tcW w:w="591" w:type="pct"/>
            <w:vAlign w:val="center"/>
          </w:tcPr>
          <w:p w14:paraId="1D462CCB" w14:textId="77777777" w:rsidR="00C149F5" w:rsidRPr="00F7033D" w:rsidRDefault="00C149F5" w:rsidP="00D02B13">
            <w:pPr>
              <w:jc w:val="center"/>
              <w:rPr>
                <w:rFonts w:cstheme="minorHAnsi"/>
                <w:bCs/>
              </w:rPr>
            </w:pPr>
            <w:r w:rsidRPr="00F7033D">
              <w:rPr>
                <w:rFonts w:cstheme="minorHAnsi"/>
                <w:bCs/>
              </w:rPr>
              <w:t>1</w:t>
            </w:r>
          </w:p>
        </w:tc>
      </w:tr>
      <w:tr w:rsidR="00C149F5" w:rsidRPr="00F7033D" w14:paraId="1802C043" w14:textId="77777777" w:rsidTr="00D02B13">
        <w:trPr>
          <w:trHeight w:val="70"/>
        </w:trPr>
        <w:tc>
          <w:tcPr>
            <w:tcW w:w="3727" w:type="pct"/>
            <w:vAlign w:val="center"/>
          </w:tcPr>
          <w:p w14:paraId="00AE9735" w14:textId="77777777" w:rsidR="00C149F5" w:rsidRPr="00F7033D" w:rsidRDefault="00C149F5" w:rsidP="00D02B13">
            <w:pPr>
              <w:jc w:val="left"/>
              <w:rPr>
                <w:rFonts w:cstheme="minorHAnsi"/>
              </w:rPr>
            </w:pPr>
            <w:r w:rsidRPr="00F7033D">
              <w:rPr>
                <w:rFonts w:cstheme="minorHAnsi"/>
              </w:rPr>
              <w:t>Grievance systems</w:t>
            </w:r>
            <w:r w:rsidRPr="00F7033D">
              <w:rPr>
                <w:rFonts w:cstheme="minorHAnsi"/>
                <w:vertAlign w:val="superscript"/>
              </w:rPr>
              <w:t>1</w:t>
            </w:r>
          </w:p>
        </w:tc>
        <w:tc>
          <w:tcPr>
            <w:tcW w:w="682" w:type="pct"/>
            <w:vAlign w:val="center"/>
          </w:tcPr>
          <w:p w14:paraId="44EB8892" w14:textId="77777777" w:rsidR="00C149F5" w:rsidRPr="00F7033D" w:rsidRDefault="00C149F5" w:rsidP="00D02B13">
            <w:pPr>
              <w:jc w:val="center"/>
              <w:rPr>
                <w:rFonts w:cstheme="minorHAnsi"/>
              </w:rPr>
            </w:pPr>
            <w:r w:rsidRPr="00F7033D">
              <w:rPr>
                <w:rFonts w:cstheme="minorHAnsi"/>
              </w:rPr>
              <w:t>457.1260</w:t>
            </w:r>
          </w:p>
        </w:tc>
        <w:tc>
          <w:tcPr>
            <w:tcW w:w="591" w:type="pct"/>
            <w:vAlign w:val="center"/>
          </w:tcPr>
          <w:p w14:paraId="1AE32B59" w14:textId="77777777" w:rsidR="00C149F5" w:rsidRPr="00F7033D" w:rsidRDefault="00C149F5" w:rsidP="00D02B13">
            <w:pPr>
              <w:jc w:val="center"/>
              <w:rPr>
                <w:rFonts w:cstheme="minorHAnsi"/>
                <w:bCs/>
              </w:rPr>
            </w:pPr>
            <w:r w:rsidRPr="00F7033D">
              <w:rPr>
                <w:rFonts w:cstheme="minorHAnsi"/>
                <w:bCs/>
              </w:rPr>
              <w:t>2</w:t>
            </w:r>
            <w:r>
              <w:rPr>
                <w:rFonts w:cstheme="minorHAnsi"/>
                <w:bCs/>
              </w:rPr>
              <w:t>4</w:t>
            </w:r>
          </w:p>
        </w:tc>
      </w:tr>
      <w:tr w:rsidR="00C149F5" w:rsidRPr="00F7033D" w14:paraId="5072BB44" w14:textId="77777777" w:rsidTr="00D02B13">
        <w:trPr>
          <w:trHeight w:val="70"/>
        </w:trPr>
        <w:tc>
          <w:tcPr>
            <w:tcW w:w="3727" w:type="pct"/>
            <w:vAlign w:val="center"/>
          </w:tcPr>
          <w:p w14:paraId="3C969665" w14:textId="77777777" w:rsidR="00C149F5" w:rsidRPr="00F7033D" w:rsidRDefault="00C149F5" w:rsidP="00D02B13">
            <w:pPr>
              <w:jc w:val="left"/>
              <w:rPr>
                <w:rFonts w:cstheme="minorHAnsi"/>
              </w:rPr>
            </w:pPr>
            <w:proofErr w:type="spellStart"/>
            <w:r w:rsidRPr="00F7033D">
              <w:rPr>
                <w:rFonts w:cstheme="minorHAnsi"/>
              </w:rPr>
              <w:t>Subcontractual</w:t>
            </w:r>
            <w:proofErr w:type="spellEnd"/>
            <w:r w:rsidRPr="00F7033D">
              <w:rPr>
                <w:rFonts w:cstheme="minorHAnsi"/>
              </w:rPr>
              <w:t xml:space="preserve"> relationships and delegation</w:t>
            </w:r>
          </w:p>
        </w:tc>
        <w:tc>
          <w:tcPr>
            <w:tcW w:w="682" w:type="pct"/>
            <w:vAlign w:val="center"/>
          </w:tcPr>
          <w:p w14:paraId="7814622D" w14:textId="77777777" w:rsidR="00C149F5" w:rsidRPr="00F7033D" w:rsidRDefault="00C149F5" w:rsidP="00D02B13">
            <w:pPr>
              <w:jc w:val="center"/>
              <w:rPr>
                <w:rFonts w:cstheme="minorHAnsi"/>
              </w:rPr>
            </w:pPr>
            <w:r w:rsidRPr="00F7033D">
              <w:rPr>
                <w:rFonts w:cstheme="minorHAnsi"/>
              </w:rPr>
              <w:t>457.1233(b)</w:t>
            </w:r>
          </w:p>
        </w:tc>
        <w:tc>
          <w:tcPr>
            <w:tcW w:w="591" w:type="pct"/>
            <w:vAlign w:val="center"/>
          </w:tcPr>
          <w:p w14:paraId="41074F1C" w14:textId="77777777" w:rsidR="00C149F5" w:rsidRPr="00F7033D" w:rsidRDefault="00C149F5" w:rsidP="00D02B13">
            <w:pPr>
              <w:jc w:val="center"/>
              <w:rPr>
                <w:rFonts w:cstheme="minorHAnsi"/>
                <w:bCs/>
              </w:rPr>
            </w:pPr>
            <w:r>
              <w:rPr>
                <w:rFonts w:cstheme="minorHAnsi"/>
                <w:bCs/>
              </w:rPr>
              <w:t>1</w:t>
            </w:r>
          </w:p>
        </w:tc>
      </w:tr>
      <w:tr w:rsidR="00C149F5" w:rsidRPr="00F7033D" w14:paraId="575264B2" w14:textId="77777777" w:rsidTr="00D02B13">
        <w:trPr>
          <w:trHeight w:val="70"/>
        </w:trPr>
        <w:tc>
          <w:tcPr>
            <w:tcW w:w="3727" w:type="pct"/>
            <w:vAlign w:val="center"/>
          </w:tcPr>
          <w:p w14:paraId="5C86EE3A" w14:textId="77777777" w:rsidR="00C149F5" w:rsidRPr="00F7033D" w:rsidRDefault="00C149F5" w:rsidP="00D02B13">
            <w:pPr>
              <w:jc w:val="left"/>
              <w:rPr>
                <w:rFonts w:cstheme="minorHAnsi"/>
              </w:rPr>
            </w:pPr>
            <w:r w:rsidRPr="00F7033D">
              <w:rPr>
                <w:rFonts w:cstheme="minorHAnsi"/>
              </w:rPr>
              <w:t>Practice guidelines</w:t>
            </w:r>
          </w:p>
        </w:tc>
        <w:tc>
          <w:tcPr>
            <w:tcW w:w="682" w:type="pct"/>
            <w:vAlign w:val="center"/>
          </w:tcPr>
          <w:p w14:paraId="3F6E0EB2" w14:textId="77777777" w:rsidR="00C149F5" w:rsidRPr="00F7033D" w:rsidRDefault="00C149F5" w:rsidP="00D02B13">
            <w:pPr>
              <w:jc w:val="center"/>
              <w:rPr>
                <w:rFonts w:cstheme="minorHAnsi"/>
              </w:rPr>
            </w:pPr>
            <w:r w:rsidRPr="00F7033D">
              <w:rPr>
                <w:rFonts w:cstheme="minorHAnsi"/>
              </w:rPr>
              <w:t>457.1233(c)</w:t>
            </w:r>
          </w:p>
        </w:tc>
        <w:tc>
          <w:tcPr>
            <w:tcW w:w="591" w:type="pct"/>
            <w:vAlign w:val="center"/>
          </w:tcPr>
          <w:p w14:paraId="7C36A484" w14:textId="77777777" w:rsidR="00C149F5" w:rsidRPr="00F7033D" w:rsidRDefault="00C149F5" w:rsidP="00D02B13">
            <w:pPr>
              <w:jc w:val="center"/>
              <w:rPr>
                <w:rFonts w:cstheme="minorHAnsi"/>
                <w:bCs/>
              </w:rPr>
            </w:pPr>
            <w:r w:rsidRPr="00F7033D">
              <w:rPr>
                <w:rFonts w:cstheme="minorHAnsi"/>
                <w:bCs/>
              </w:rPr>
              <w:t>2</w:t>
            </w:r>
          </w:p>
        </w:tc>
      </w:tr>
      <w:tr w:rsidR="00C149F5" w:rsidRPr="00F7033D" w14:paraId="5D91DB9F" w14:textId="77777777" w:rsidTr="00D02B13">
        <w:trPr>
          <w:trHeight w:val="70"/>
        </w:trPr>
        <w:tc>
          <w:tcPr>
            <w:tcW w:w="3727" w:type="pct"/>
            <w:vAlign w:val="center"/>
          </w:tcPr>
          <w:p w14:paraId="0EEDED8A" w14:textId="77777777" w:rsidR="00C149F5" w:rsidRPr="00F7033D" w:rsidRDefault="00C149F5" w:rsidP="00D02B13">
            <w:pPr>
              <w:jc w:val="left"/>
              <w:rPr>
                <w:rFonts w:cstheme="minorHAnsi"/>
              </w:rPr>
            </w:pPr>
            <w:r w:rsidRPr="00F7033D">
              <w:rPr>
                <w:rFonts w:cstheme="minorHAnsi"/>
              </w:rPr>
              <w:t>Health information systems</w:t>
            </w:r>
          </w:p>
        </w:tc>
        <w:tc>
          <w:tcPr>
            <w:tcW w:w="682" w:type="pct"/>
            <w:vAlign w:val="center"/>
          </w:tcPr>
          <w:p w14:paraId="58BE77AF" w14:textId="77777777" w:rsidR="00C149F5" w:rsidRPr="00F7033D" w:rsidRDefault="00C149F5" w:rsidP="00D02B13">
            <w:pPr>
              <w:jc w:val="center"/>
              <w:rPr>
                <w:rFonts w:cstheme="minorHAnsi"/>
              </w:rPr>
            </w:pPr>
            <w:r w:rsidRPr="00F7033D">
              <w:rPr>
                <w:rFonts w:cstheme="minorHAnsi"/>
              </w:rPr>
              <w:t>457.1233(d)</w:t>
            </w:r>
          </w:p>
        </w:tc>
        <w:tc>
          <w:tcPr>
            <w:tcW w:w="591" w:type="pct"/>
            <w:vAlign w:val="center"/>
          </w:tcPr>
          <w:p w14:paraId="1E026964" w14:textId="77777777" w:rsidR="00C149F5" w:rsidRPr="00F7033D" w:rsidRDefault="00C149F5" w:rsidP="00D02B13">
            <w:pPr>
              <w:jc w:val="center"/>
              <w:rPr>
                <w:rFonts w:cstheme="minorHAnsi"/>
                <w:bCs/>
              </w:rPr>
            </w:pPr>
            <w:r>
              <w:rPr>
                <w:rFonts w:cstheme="minorHAnsi"/>
                <w:bCs/>
              </w:rPr>
              <w:t>2</w:t>
            </w:r>
          </w:p>
        </w:tc>
      </w:tr>
      <w:tr w:rsidR="00C149F5" w:rsidRPr="00F7033D" w14:paraId="5231D613" w14:textId="77777777" w:rsidTr="00D02B13">
        <w:trPr>
          <w:trHeight w:val="107"/>
        </w:trPr>
        <w:tc>
          <w:tcPr>
            <w:tcW w:w="4409" w:type="pct"/>
            <w:gridSpan w:val="2"/>
            <w:shd w:val="clear" w:color="auto" w:fill="CCC0D9" w:themeFill="accent4" w:themeFillTint="66"/>
            <w:vAlign w:val="center"/>
          </w:tcPr>
          <w:p w14:paraId="3FA348BD" w14:textId="77777777" w:rsidR="00C149F5" w:rsidRPr="00F7033D" w:rsidRDefault="00C149F5" w:rsidP="00D02B13">
            <w:pPr>
              <w:jc w:val="left"/>
              <w:rPr>
                <w:rFonts w:cstheme="minorHAnsi"/>
                <w:b/>
                <w:bCs/>
              </w:rPr>
            </w:pPr>
            <w:r w:rsidRPr="00F7033D">
              <w:rPr>
                <w:rFonts w:cstheme="minorHAnsi"/>
                <w:b/>
                <w:bCs/>
              </w:rPr>
              <w:t>Subpart E: Quality Measurement and Improvement</w:t>
            </w:r>
          </w:p>
        </w:tc>
        <w:tc>
          <w:tcPr>
            <w:tcW w:w="591" w:type="pct"/>
            <w:shd w:val="clear" w:color="auto" w:fill="CCC0D9" w:themeFill="accent4" w:themeFillTint="66"/>
          </w:tcPr>
          <w:p w14:paraId="762A5CAA" w14:textId="77777777" w:rsidR="00C149F5" w:rsidRPr="00F7033D" w:rsidRDefault="00C149F5" w:rsidP="00D02B13">
            <w:pPr>
              <w:jc w:val="left"/>
              <w:rPr>
                <w:rFonts w:cstheme="minorHAnsi"/>
                <w:b/>
                <w:bCs/>
              </w:rPr>
            </w:pPr>
          </w:p>
        </w:tc>
      </w:tr>
      <w:tr w:rsidR="00C149F5" w:rsidRPr="00F7033D" w14:paraId="1E70FC83" w14:textId="77777777" w:rsidTr="00D02B13">
        <w:trPr>
          <w:trHeight w:val="107"/>
        </w:trPr>
        <w:tc>
          <w:tcPr>
            <w:tcW w:w="3727" w:type="pct"/>
            <w:vAlign w:val="center"/>
          </w:tcPr>
          <w:p w14:paraId="5CEE7B88" w14:textId="77777777" w:rsidR="00C149F5" w:rsidRPr="00F7033D" w:rsidRDefault="00C149F5" w:rsidP="00D02B13">
            <w:pPr>
              <w:jc w:val="left"/>
              <w:rPr>
                <w:rFonts w:cstheme="minorHAnsi"/>
              </w:rPr>
            </w:pPr>
            <w:r w:rsidRPr="00F7033D">
              <w:rPr>
                <w:rFonts w:cstheme="minorHAnsi"/>
              </w:rPr>
              <w:t xml:space="preserve">Quality assessment and performance improvement program </w:t>
            </w:r>
          </w:p>
        </w:tc>
        <w:tc>
          <w:tcPr>
            <w:tcW w:w="682" w:type="pct"/>
            <w:vAlign w:val="center"/>
          </w:tcPr>
          <w:p w14:paraId="4405E813" w14:textId="77777777" w:rsidR="00C149F5" w:rsidRPr="00F7033D" w:rsidRDefault="00C149F5" w:rsidP="00D02B13">
            <w:pPr>
              <w:jc w:val="center"/>
              <w:rPr>
                <w:rFonts w:cstheme="minorHAnsi"/>
              </w:rPr>
            </w:pPr>
            <w:r w:rsidRPr="00F7033D">
              <w:rPr>
                <w:rFonts w:cstheme="minorHAnsi"/>
              </w:rPr>
              <w:t>457.1240(b)</w:t>
            </w:r>
          </w:p>
        </w:tc>
        <w:tc>
          <w:tcPr>
            <w:tcW w:w="591" w:type="pct"/>
            <w:vAlign w:val="center"/>
          </w:tcPr>
          <w:p w14:paraId="31A4E84F" w14:textId="77777777" w:rsidR="00C149F5" w:rsidRPr="00F7033D" w:rsidRDefault="00C149F5" w:rsidP="00D02B13">
            <w:pPr>
              <w:jc w:val="center"/>
              <w:rPr>
                <w:rFonts w:cstheme="minorHAnsi"/>
                <w:bCs/>
              </w:rPr>
            </w:pPr>
            <w:r>
              <w:rPr>
                <w:rFonts w:cstheme="minorHAnsi"/>
                <w:bCs/>
              </w:rPr>
              <w:t>7</w:t>
            </w:r>
          </w:p>
        </w:tc>
      </w:tr>
    </w:tbl>
    <w:p w14:paraId="6F93F0F3" w14:textId="7AD5C396" w:rsidR="00C149F5" w:rsidRPr="00F7033D" w:rsidRDefault="00C149F5" w:rsidP="00D052E8">
      <w:pPr>
        <w:rPr>
          <w:rFonts w:cstheme="minorHAnsi"/>
          <w:sz w:val="20"/>
          <w:szCs w:val="20"/>
        </w:rPr>
      </w:pPr>
      <w:bookmarkStart w:id="172" w:name="_Toc68527440"/>
      <w:r w:rsidRPr="00F7033D">
        <w:rPr>
          <w:sz w:val="20"/>
          <w:szCs w:val="20"/>
          <w:vertAlign w:val="superscript"/>
        </w:rPr>
        <w:t>1</w:t>
      </w:r>
      <w:r w:rsidRPr="00F7033D">
        <w:rPr>
          <w:sz w:val="20"/>
          <w:szCs w:val="20"/>
        </w:rPr>
        <w:t xml:space="preserve"> </w:t>
      </w:r>
      <w:r w:rsidRPr="00F7033D">
        <w:rPr>
          <w:rFonts w:cstheme="minorHAnsi"/>
          <w:sz w:val="20"/>
          <w:szCs w:val="20"/>
        </w:rPr>
        <w:t xml:space="preserve">Per CMS guidelines and protocols, this regulation is typically referred to as “Grievance and appeals systems.” However, to better align with the CHIP reference for </w:t>
      </w:r>
      <w:r w:rsidR="00ED244F" w:rsidRPr="00ED244F">
        <w:rPr>
          <w:rFonts w:cstheme="minorHAnsi"/>
          <w:i/>
          <w:iCs/>
          <w:sz w:val="20"/>
          <w:szCs w:val="20"/>
        </w:rPr>
        <w:t xml:space="preserve">§ </w:t>
      </w:r>
      <w:r w:rsidRPr="00ED244F">
        <w:rPr>
          <w:rFonts w:cstheme="minorHAnsi"/>
          <w:i/>
          <w:iCs/>
          <w:sz w:val="20"/>
          <w:szCs w:val="20"/>
        </w:rPr>
        <w:t>457.1260</w:t>
      </w:r>
      <w:r w:rsidRPr="00F7033D">
        <w:rPr>
          <w:rFonts w:cstheme="minorHAnsi"/>
          <w:sz w:val="20"/>
          <w:szCs w:val="20"/>
        </w:rPr>
        <w:t>, it is referred to in this report as “Grievance systems.”</w:t>
      </w:r>
    </w:p>
    <w:p w14:paraId="198F7F6F" w14:textId="77777777" w:rsidR="00C149F5" w:rsidRPr="00F7033D" w:rsidRDefault="00C149F5" w:rsidP="00D052E8">
      <w:pPr>
        <w:spacing w:after="480"/>
        <w:rPr>
          <w:sz w:val="20"/>
          <w:szCs w:val="20"/>
        </w:rPr>
      </w:pPr>
      <w:r w:rsidRPr="00F7033D">
        <w:rPr>
          <w:sz w:val="20"/>
          <w:szCs w:val="20"/>
        </w:rPr>
        <w:t xml:space="preserve">SMART: Systematic Monitoring, Access and Retrieval Technology; BBA: Balanced Budget Act; CHIP: Children’s Health Insurance Program; MCO: managed care organization; PIHP: prepaid inpatient health plan; PAHP: prepaid ambulatory health plan. </w:t>
      </w:r>
    </w:p>
    <w:p w14:paraId="31188131" w14:textId="77777777" w:rsidR="00C149F5" w:rsidRPr="00F7033D" w:rsidRDefault="00C149F5" w:rsidP="00C149F5">
      <w:pPr>
        <w:pStyle w:val="Heading2"/>
      </w:pPr>
      <w:bookmarkStart w:id="173" w:name="_Toc132641634"/>
      <w:r w:rsidRPr="00F7033D">
        <w:t>Determination of Compliance</w:t>
      </w:r>
      <w:bookmarkEnd w:id="169"/>
      <w:bookmarkEnd w:id="170"/>
      <w:bookmarkEnd w:id="171"/>
      <w:bookmarkEnd w:id="172"/>
      <w:bookmarkEnd w:id="173"/>
    </w:p>
    <w:p w14:paraId="142113AA" w14:textId="229A9514" w:rsidR="00C149F5" w:rsidRDefault="00C149F5" w:rsidP="00C149F5">
      <w:r w:rsidRPr="00F7033D">
        <w:t xml:space="preserve">As mentioned above, historically the information necessary for the review was provided through an on-site review that was conducted by DHS CHIP. Beginning with CHIP’s adoption of the SMART database in 2020, this database is now used to determine an MCO’s compliance on individual provisions. This process was done by referring to CMS’s “Regulations for Compliance Review”, where specific CHIP citations are noted as required for review and corresponding sections are identified and described for each Subpart, particularly D and E. IPRO then grouped the monitoring standards by provision and evaluated the MCO’s compliance status with regard to the SMART Items. For example, all provisions relating to availability of services are summarized under </w:t>
      </w:r>
      <w:r w:rsidRPr="00ED244F">
        <w:rPr>
          <w:i/>
          <w:iCs/>
        </w:rPr>
        <w:t xml:space="preserve">Availability of Service </w:t>
      </w:r>
      <w:r w:rsidR="00ED244F" w:rsidRPr="00ED244F">
        <w:rPr>
          <w:i/>
          <w:iCs/>
        </w:rPr>
        <w:t xml:space="preserve">§ </w:t>
      </w:r>
      <w:r w:rsidRPr="00ED244F">
        <w:rPr>
          <w:i/>
          <w:iCs/>
        </w:rPr>
        <w:t>457.1230(a)</w:t>
      </w:r>
      <w:r w:rsidRPr="00F7033D">
        <w:t xml:space="preserve">. </w:t>
      </w:r>
    </w:p>
    <w:p w14:paraId="53FC1296" w14:textId="77777777" w:rsidR="00C149F5" w:rsidRDefault="00C149F5" w:rsidP="00C149F5"/>
    <w:p w14:paraId="0861D651" w14:textId="77777777" w:rsidR="00C149F5" w:rsidRPr="00F7033D" w:rsidRDefault="00C149F5" w:rsidP="00C149F5">
      <w:r>
        <w:t>In 2022, not all MCOs underwent compliance review and therefore some MCOs’ findings were retained from their 2021 review. In these cases, a footnote will be provided to denote where 2021 findings are included in the below tables.</w:t>
      </w:r>
    </w:p>
    <w:p w14:paraId="2C67A264" w14:textId="77777777" w:rsidR="00C149F5" w:rsidRPr="00F7033D" w:rsidRDefault="00C149F5" w:rsidP="00C149F5"/>
    <w:p w14:paraId="1ECD9C50" w14:textId="6E53C320" w:rsidR="00C149F5" w:rsidRPr="00F7033D" w:rsidRDefault="00C149F5" w:rsidP="00C149F5">
      <w:r w:rsidRPr="00F7033D">
        <w:t xml:space="preserve">Each item was assigned a value of Compliant or non-Compliant in the Item Log submitted by DHS CHIP. If an item was not evaluated for a particular MCO, it was assigned a value of Not Determined. Compliance with the BBA requirements was then determined based on the aggregate results of the SMART Items linked to each provision within a requirement or category. If all items were Compliant, the MCO was evaluated as Compliant. If some were Compliant and some were non-Compliant, the MCO was evaluated as </w:t>
      </w:r>
      <w:r w:rsidR="00D052E8" w:rsidRPr="00F7033D">
        <w:t>partially Compliant</w:t>
      </w:r>
      <w:r w:rsidRPr="00F7033D">
        <w:t>. If all items were non-Compliant, the MCO was evaluated as non-Compliant. If no items were evaluated for a given category and no other source of information was available to determine compliance, a value of Not Determined was assigned for that category.</w:t>
      </w:r>
    </w:p>
    <w:p w14:paraId="50F27590" w14:textId="77777777" w:rsidR="00C149F5" w:rsidRPr="00F7033D" w:rsidRDefault="00C149F5" w:rsidP="00C149F5"/>
    <w:bookmarkEnd w:id="159"/>
    <w:p w14:paraId="1301486B" w14:textId="3AA10E02" w:rsidR="00AB379C" w:rsidRPr="00F7033D" w:rsidRDefault="00AB379C" w:rsidP="00AB379C">
      <w:r w:rsidRPr="00F7033D">
        <w:t xml:space="preserve">Categories determined to be partially or non-Compliant are indicated where applicable in the tables below, and the SMART Items that were assigned a value of non-Compliant by DHS within those categories are noted.  </w:t>
      </w:r>
      <w:bookmarkStart w:id="174" w:name="_Hlk97727877"/>
      <w:r w:rsidRPr="00F7033D">
        <w:t xml:space="preserve">For </w:t>
      </w:r>
      <w:r>
        <w:t>UPMC</w:t>
      </w:r>
      <w:r w:rsidRPr="00F7033D">
        <w:t xml:space="preserve">, </w:t>
      </w:r>
      <w:r>
        <w:t xml:space="preserve">a review was not completed during 2022. Findings below from their review completed in 2021 have been included as they are the most updated findings available for each category. </w:t>
      </w:r>
      <w:r>
        <w:rPr>
          <w:b/>
          <w:bCs/>
        </w:rPr>
        <w:t>UPMC</w:t>
      </w:r>
      <w:r w:rsidRPr="00C05BA8">
        <w:rPr>
          <w:b/>
          <w:bCs/>
        </w:rPr>
        <w:t xml:space="preserve"> was compliant in all categories in 2021, t</w:t>
      </w:r>
      <w:r w:rsidRPr="00F7033D">
        <w:rPr>
          <w:b/>
          <w:bCs/>
        </w:rPr>
        <w:t>herefore</w:t>
      </w:r>
      <w:r>
        <w:rPr>
          <w:b/>
          <w:bCs/>
        </w:rPr>
        <w:t xml:space="preserve"> there are</w:t>
      </w:r>
      <w:r w:rsidRPr="00F7033D">
        <w:rPr>
          <w:b/>
          <w:bCs/>
        </w:rPr>
        <w:t xml:space="preserve"> no recommendations related to compliance with structure and operations standards for </w:t>
      </w:r>
      <w:r>
        <w:rPr>
          <w:b/>
          <w:bCs/>
        </w:rPr>
        <w:t>UPMC</w:t>
      </w:r>
      <w:r w:rsidRPr="00F7033D">
        <w:rPr>
          <w:b/>
          <w:bCs/>
        </w:rPr>
        <w:t>.</w:t>
      </w:r>
      <w:bookmarkEnd w:id="174"/>
    </w:p>
    <w:p w14:paraId="3343FF79" w14:textId="77777777" w:rsidR="00AB379C" w:rsidRPr="00F7033D" w:rsidRDefault="00AB379C" w:rsidP="00AB379C">
      <w:pPr>
        <w:rPr>
          <w:rFonts w:asciiTheme="majorHAnsi" w:eastAsiaTheme="majorEastAsia" w:hAnsiTheme="majorHAnsi" w:cstheme="majorBidi"/>
          <w:b/>
          <w:bCs/>
          <w:color w:val="4F81BD" w:themeColor="accent1"/>
          <w:sz w:val="26"/>
          <w:szCs w:val="26"/>
        </w:rPr>
      </w:pPr>
      <w:bookmarkStart w:id="175" w:name="_Toc447110537"/>
      <w:bookmarkStart w:id="176" w:name="_Toc448738381"/>
      <w:r w:rsidRPr="00F7033D">
        <w:br w:type="page"/>
      </w:r>
    </w:p>
    <w:p w14:paraId="52AC8D30" w14:textId="77777777" w:rsidR="00AB379C" w:rsidRPr="00F7033D" w:rsidRDefault="00AB379C" w:rsidP="00AB379C">
      <w:pPr>
        <w:pStyle w:val="Heading2"/>
      </w:pPr>
      <w:bookmarkStart w:id="177" w:name="_Toc98922478"/>
      <w:bookmarkStart w:id="178" w:name="_Toc132641635"/>
      <w:r w:rsidRPr="00F7033D">
        <w:lastRenderedPageBreak/>
        <w:t>Findings</w:t>
      </w:r>
      <w:bookmarkEnd w:id="175"/>
      <w:bookmarkEnd w:id="176"/>
      <w:bookmarkEnd w:id="177"/>
      <w:bookmarkEnd w:id="178"/>
    </w:p>
    <w:p w14:paraId="40B1482C" w14:textId="77777777" w:rsidR="00AB379C" w:rsidRPr="002F6375" w:rsidRDefault="00AB379C" w:rsidP="00AB379C">
      <w:pPr>
        <w:rPr>
          <w:rFonts w:ascii="Calibri" w:eastAsia="Times New Roman" w:hAnsi="Calibri" w:cs="Times New Roman"/>
        </w:rPr>
      </w:pPr>
      <w:bookmarkStart w:id="179" w:name="_Toc98922479"/>
      <w:r w:rsidRPr="002F6375">
        <w:rPr>
          <w:rFonts w:ascii="Calibri" w:eastAsia="Times New Roman" w:hAnsi="Calibri" w:cs="Times New Roman"/>
        </w:rPr>
        <w:t>A total of 44 items were directly associated with a regulation subject to compliance review and 42 were evaluated for the MCO in Review Year (RY) 2020.</w:t>
      </w:r>
    </w:p>
    <w:p w14:paraId="6C2AA2BD" w14:textId="77777777" w:rsidR="00AB379C" w:rsidRPr="00F7033D" w:rsidRDefault="00AB379C" w:rsidP="00AB379C">
      <w:pPr>
        <w:pStyle w:val="Heading2"/>
        <w:rPr>
          <w:sz w:val="22"/>
          <w:szCs w:val="22"/>
        </w:rPr>
      </w:pPr>
      <w:bookmarkStart w:id="180" w:name="_Toc132641636"/>
      <w:r w:rsidRPr="00F7033D">
        <w:rPr>
          <w:sz w:val="22"/>
          <w:szCs w:val="22"/>
        </w:rPr>
        <w:t>Subpart D: MCO, PIHP and PAHP Standards</w:t>
      </w:r>
      <w:bookmarkEnd w:id="179"/>
      <w:bookmarkEnd w:id="180"/>
    </w:p>
    <w:p w14:paraId="3AB215EF" w14:textId="6CA7C9FA" w:rsidR="00AB379C" w:rsidRPr="00F7033D" w:rsidRDefault="00AB379C" w:rsidP="00AB379C">
      <w:pPr>
        <w:pStyle w:val="FootnoteText"/>
        <w:jc w:val="both"/>
        <w:rPr>
          <w:rFonts w:asciiTheme="minorHAnsi" w:hAnsiTheme="minorHAnsi" w:cs="Arial"/>
          <w:sz w:val="22"/>
          <w:szCs w:val="22"/>
        </w:rPr>
      </w:pPr>
      <w:r w:rsidRPr="00F7033D">
        <w:rPr>
          <w:rFonts w:asciiTheme="minorHAnsi" w:hAnsiTheme="minorHAnsi" w:cs="Arial"/>
          <w:sz w:val="22"/>
          <w:szCs w:val="22"/>
        </w:rPr>
        <w:t>The general purpose of the regulations included under this heading is to ensure that all services covered under the DHS’s CHIP program are available and accessible to MCO enrollees. [</w:t>
      </w:r>
      <w:r w:rsidRPr="000805F8">
        <w:rPr>
          <w:rFonts w:asciiTheme="minorHAnsi" w:hAnsiTheme="minorHAnsi" w:cs="Arial"/>
          <w:i/>
          <w:iCs/>
          <w:sz w:val="22"/>
          <w:szCs w:val="22"/>
        </w:rPr>
        <w:t>42 CFR § 438.206 (a)</w:t>
      </w:r>
      <w:r w:rsidRPr="00F7033D">
        <w:rPr>
          <w:rFonts w:asciiTheme="minorHAnsi" w:hAnsiTheme="minorHAnsi" w:cs="Arial"/>
          <w:sz w:val="22"/>
          <w:szCs w:val="22"/>
        </w:rPr>
        <w:t>].</w:t>
      </w:r>
    </w:p>
    <w:p w14:paraId="5D00539B" w14:textId="77777777" w:rsidR="00AB379C" w:rsidRPr="00F7033D" w:rsidRDefault="00AB379C" w:rsidP="00AB379C">
      <w:pPr>
        <w:pStyle w:val="tableheading"/>
      </w:pPr>
      <w:bookmarkStart w:id="181" w:name="_Toc448738494"/>
      <w:bookmarkStart w:id="182" w:name="_Toc500507243"/>
      <w:bookmarkStart w:id="183" w:name="_Toc98922509"/>
      <w:bookmarkStart w:id="184" w:name="_Toc132641671"/>
      <w:r w:rsidRPr="00F7033D">
        <w:t>Table 3.2: MCO Compliance with Enrollee Rights and Protections Regulations</w:t>
      </w:r>
      <w:bookmarkEnd w:id="181"/>
      <w:bookmarkEnd w:id="182"/>
      <w:bookmarkEnd w:id="183"/>
      <w:bookmarkEnd w:id="18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180"/>
        <w:gridCol w:w="5410"/>
      </w:tblGrid>
      <w:tr w:rsidR="00AB379C" w:rsidRPr="00F7033D" w14:paraId="01EA4FC4" w14:textId="77777777" w:rsidTr="007055F6">
        <w:trPr>
          <w:cantSplit/>
          <w:trHeight w:val="296"/>
          <w:tblHeader/>
          <w:jc w:val="center"/>
        </w:trPr>
        <w:tc>
          <w:tcPr>
            <w:tcW w:w="5000" w:type="pct"/>
            <w:gridSpan w:val="3"/>
            <w:shd w:val="clear" w:color="auto" w:fill="8064A2" w:themeFill="accent4"/>
            <w:vAlign w:val="center"/>
          </w:tcPr>
          <w:p w14:paraId="70943CB8" w14:textId="77777777" w:rsidR="00AB379C" w:rsidRPr="00F7033D" w:rsidRDefault="00AB379C" w:rsidP="007055F6">
            <w:pPr>
              <w:jc w:val="center"/>
              <w:rPr>
                <w:rFonts w:cstheme="minorHAnsi"/>
                <w:b/>
              </w:rPr>
            </w:pPr>
            <w:r w:rsidRPr="00F7033D">
              <w:rPr>
                <w:rFonts w:cstheme="minorHAnsi"/>
                <w:b/>
                <w:color w:val="FFFFFF" w:themeColor="background1"/>
              </w:rPr>
              <w:t>MCO, PIHP AND PAHP STANDARDS</w:t>
            </w:r>
          </w:p>
        </w:tc>
      </w:tr>
      <w:tr w:rsidR="00AB379C" w:rsidRPr="00F7033D" w14:paraId="42FCE4B8" w14:textId="77777777" w:rsidTr="007055F6">
        <w:trPr>
          <w:cantSplit/>
          <w:trHeight w:val="296"/>
          <w:tblHeader/>
          <w:jc w:val="center"/>
        </w:trPr>
        <w:tc>
          <w:tcPr>
            <w:tcW w:w="1483" w:type="pct"/>
            <w:shd w:val="clear" w:color="auto" w:fill="CCC0D9" w:themeFill="accent4" w:themeFillTint="66"/>
            <w:vAlign w:val="center"/>
          </w:tcPr>
          <w:p w14:paraId="1502BB7E" w14:textId="77777777" w:rsidR="00AB379C" w:rsidRPr="00F7033D" w:rsidRDefault="00AB379C" w:rsidP="007055F6">
            <w:pPr>
              <w:spacing w:before="100" w:beforeAutospacing="1" w:after="100" w:afterAutospacing="1"/>
              <w:jc w:val="left"/>
              <w:rPr>
                <w:rFonts w:cstheme="minorHAnsi"/>
                <w:b/>
                <w:bCs/>
              </w:rPr>
            </w:pPr>
            <w:r w:rsidRPr="00F7033D">
              <w:rPr>
                <w:rFonts w:cstheme="minorHAnsi"/>
                <w:b/>
                <w:bCs/>
              </w:rPr>
              <w:t>Subpart D: Categories</w:t>
            </w:r>
          </w:p>
        </w:tc>
        <w:tc>
          <w:tcPr>
            <w:tcW w:w="1010" w:type="pct"/>
            <w:shd w:val="clear" w:color="auto" w:fill="CCC0D9" w:themeFill="accent4" w:themeFillTint="66"/>
            <w:vAlign w:val="center"/>
          </w:tcPr>
          <w:p w14:paraId="24DF877A" w14:textId="77777777" w:rsidR="00AB379C" w:rsidRPr="00F7033D" w:rsidRDefault="00AB379C" w:rsidP="007055F6">
            <w:pPr>
              <w:spacing w:before="100" w:beforeAutospacing="1" w:after="100" w:afterAutospacing="1"/>
              <w:jc w:val="center"/>
              <w:rPr>
                <w:rFonts w:cstheme="minorHAnsi"/>
                <w:b/>
                <w:bCs/>
              </w:rPr>
            </w:pPr>
            <w:r w:rsidRPr="00F7033D">
              <w:rPr>
                <w:rFonts w:cstheme="minorHAnsi"/>
                <w:b/>
                <w:bCs/>
              </w:rPr>
              <w:t>Compliance</w:t>
            </w:r>
          </w:p>
        </w:tc>
        <w:tc>
          <w:tcPr>
            <w:tcW w:w="2507" w:type="pct"/>
            <w:shd w:val="clear" w:color="auto" w:fill="CCC0D9" w:themeFill="accent4" w:themeFillTint="66"/>
            <w:vAlign w:val="center"/>
          </w:tcPr>
          <w:p w14:paraId="2E5D0E5D" w14:textId="77777777" w:rsidR="00AB379C" w:rsidRPr="00F7033D" w:rsidRDefault="00AB379C" w:rsidP="007055F6">
            <w:pPr>
              <w:jc w:val="center"/>
              <w:rPr>
                <w:rFonts w:cstheme="minorHAnsi"/>
                <w:b/>
              </w:rPr>
            </w:pPr>
            <w:r w:rsidRPr="00F7033D">
              <w:rPr>
                <w:rFonts w:cstheme="minorHAnsi"/>
                <w:b/>
              </w:rPr>
              <w:t>Comments</w:t>
            </w:r>
          </w:p>
        </w:tc>
      </w:tr>
      <w:tr w:rsidR="00AB379C" w:rsidRPr="00F7033D" w14:paraId="5DE0ABA8" w14:textId="77777777" w:rsidTr="007055F6">
        <w:trPr>
          <w:cantSplit/>
          <w:trHeight w:val="720"/>
          <w:jc w:val="center"/>
        </w:trPr>
        <w:tc>
          <w:tcPr>
            <w:tcW w:w="1483" w:type="pct"/>
            <w:vAlign w:val="center"/>
          </w:tcPr>
          <w:p w14:paraId="7ADF4600" w14:textId="77777777" w:rsidR="00AB379C" w:rsidRPr="00F7033D" w:rsidRDefault="00AB379C" w:rsidP="007055F6">
            <w:pPr>
              <w:jc w:val="left"/>
              <w:rPr>
                <w:rFonts w:cstheme="minorHAnsi"/>
              </w:rPr>
            </w:pPr>
            <w:r w:rsidRPr="00F7033D">
              <w:rPr>
                <w:rFonts w:cstheme="minorHAnsi"/>
              </w:rPr>
              <w:t>Availability of services</w:t>
            </w:r>
          </w:p>
        </w:tc>
        <w:tc>
          <w:tcPr>
            <w:tcW w:w="1010" w:type="pct"/>
            <w:vAlign w:val="center"/>
          </w:tcPr>
          <w:p w14:paraId="628D6210"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64F7E796" w14:textId="77777777" w:rsidR="00AB379C" w:rsidRPr="00D8596E" w:rsidRDefault="00AB379C" w:rsidP="007055F6">
            <w:pPr>
              <w:spacing w:before="100" w:beforeAutospacing="1" w:after="120"/>
              <w:jc w:val="left"/>
              <w:rPr>
                <w:rFonts w:cstheme="minorHAnsi"/>
              </w:rPr>
            </w:pPr>
            <w:r w:rsidRPr="00D8596E">
              <w:rPr>
                <w:rFonts w:cstheme="minorHAnsi"/>
              </w:rPr>
              <w:t xml:space="preserve">3 items were </w:t>
            </w:r>
            <w:proofErr w:type="spellStart"/>
            <w:r w:rsidRPr="00D8596E">
              <w:rPr>
                <w:rFonts w:cstheme="minorHAnsi"/>
              </w:rPr>
              <w:t>crosswalked</w:t>
            </w:r>
            <w:proofErr w:type="spellEnd"/>
            <w:r w:rsidRPr="00D8596E">
              <w:rPr>
                <w:rFonts w:cstheme="minorHAnsi"/>
              </w:rPr>
              <w:t xml:space="preserve"> to this category.</w:t>
            </w:r>
          </w:p>
          <w:p w14:paraId="157C554A" w14:textId="77777777" w:rsidR="00AB379C" w:rsidRPr="00F7033D" w:rsidRDefault="00AB379C" w:rsidP="007055F6">
            <w:pPr>
              <w:spacing w:before="60" w:after="100" w:afterAutospacing="1"/>
              <w:jc w:val="left"/>
              <w:rPr>
                <w:rFonts w:cstheme="minorHAnsi"/>
              </w:rPr>
            </w:pPr>
            <w:r w:rsidRPr="00D8596E">
              <w:rPr>
                <w:rFonts w:cstheme="minorHAnsi"/>
              </w:rPr>
              <w:t>The MCO was evaluated against 3 items and was compliant on 3 items based on RY 2020.</w:t>
            </w:r>
          </w:p>
        </w:tc>
      </w:tr>
      <w:tr w:rsidR="00AB379C" w:rsidRPr="00F7033D" w14:paraId="3A5334CE" w14:textId="77777777" w:rsidTr="007055F6">
        <w:trPr>
          <w:cantSplit/>
          <w:trHeight w:val="720"/>
          <w:jc w:val="center"/>
        </w:trPr>
        <w:tc>
          <w:tcPr>
            <w:tcW w:w="1483" w:type="pct"/>
            <w:vAlign w:val="center"/>
          </w:tcPr>
          <w:p w14:paraId="0F263994" w14:textId="77777777" w:rsidR="00AB379C" w:rsidRPr="00F7033D" w:rsidRDefault="00AB379C" w:rsidP="007055F6">
            <w:pPr>
              <w:jc w:val="left"/>
              <w:rPr>
                <w:rFonts w:cstheme="minorHAnsi"/>
              </w:rPr>
            </w:pPr>
            <w:r w:rsidRPr="00F7033D">
              <w:rPr>
                <w:rFonts w:cstheme="minorHAnsi"/>
              </w:rPr>
              <w:t>Assurances of adequate capacity and services</w:t>
            </w:r>
          </w:p>
        </w:tc>
        <w:tc>
          <w:tcPr>
            <w:tcW w:w="1010" w:type="pct"/>
            <w:vAlign w:val="center"/>
          </w:tcPr>
          <w:p w14:paraId="487BABAC"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4B75B535" w14:textId="77777777" w:rsidR="00AB379C" w:rsidRPr="00D8596E" w:rsidRDefault="00AB379C" w:rsidP="007055F6">
            <w:pPr>
              <w:spacing w:before="100" w:beforeAutospacing="1" w:after="120"/>
              <w:jc w:val="left"/>
              <w:rPr>
                <w:rFonts w:cstheme="minorHAnsi"/>
              </w:rPr>
            </w:pPr>
            <w:r w:rsidRPr="00D8596E">
              <w:rPr>
                <w:rFonts w:cstheme="minorHAnsi"/>
              </w:rPr>
              <w:t xml:space="preserve">1 item was </w:t>
            </w:r>
            <w:proofErr w:type="spellStart"/>
            <w:r w:rsidRPr="00D8596E">
              <w:rPr>
                <w:rFonts w:cstheme="minorHAnsi"/>
              </w:rPr>
              <w:t>crosswalked</w:t>
            </w:r>
            <w:proofErr w:type="spellEnd"/>
            <w:r w:rsidRPr="00D8596E">
              <w:rPr>
                <w:rFonts w:cstheme="minorHAnsi"/>
              </w:rPr>
              <w:t xml:space="preserve"> to this category.</w:t>
            </w:r>
          </w:p>
          <w:p w14:paraId="7DB59648" w14:textId="77777777" w:rsidR="00AB379C" w:rsidRPr="00F7033D" w:rsidRDefault="00AB379C" w:rsidP="007055F6">
            <w:pPr>
              <w:spacing w:before="60" w:after="100" w:afterAutospacing="1"/>
              <w:jc w:val="left"/>
              <w:rPr>
                <w:rFonts w:cstheme="minorHAnsi"/>
              </w:rPr>
            </w:pPr>
            <w:r w:rsidRPr="00D8596E">
              <w:rPr>
                <w:rFonts w:cstheme="minorHAnsi"/>
              </w:rPr>
              <w:t>The MCO was evaluated against 1 item and was compliant on this item based on RY 2020.</w:t>
            </w:r>
          </w:p>
        </w:tc>
      </w:tr>
      <w:tr w:rsidR="00AB379C" w:rsidRPr="00F7033D" w14:paraId="4D23DA47" w14:textId="77777777" w:rsidTr="007055F6">
        <w:trPr>
          <w:cantSplit/>
          <w:trHeight w:val="720"/>
          <w:jc w:val="center"/>
        </w:trPr>
        <w:tc>
          <w:tcPr>
            <w:tcW w:w="1483" w:type="pct"/>
            <w:vAlign w:val="center"/>
          </w:tcPr>
          <w:p w14:paraId="251D8500" w14:textId="77777777" w:rsidR="00AB379C" w:rsidRPr="00F7033D" w:rsidRDefault="00AB379C" w:rsidP="007055F6">
            <w:pPr>
              <w:jc w:val="left"/>
              <w:rPr>
                <w:rFonts w:cstheme="minorHAnsi"/>
              </w:rPr>
            </w:pPr>
            <w:r w:rsidRPr="00F7033D">
              <w:rPr>
                <w:rFonts w:cstheme="minorHAnsi"/>
              </w:rPr>
              <w:t>Coordination and continuity of care</w:t>
            </w:r>
          </w:p>
        </w:tc>
        <w:tc>
          <w:tcPr>
            <w:tcW w:w="1010" w:type="pct"/>
            <w:vAlign w:val="center"/>
          </w:tcPr>
          <w:p w14:paraId="78841362"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7DE89441" w14:textId="77777777" w:rsidR="00AB379C" w:rsidRPr="00D8596E" w:rsidRDefault="00AB379C" w:rsidP="007055F6">
            <w:pPr>
              <w:spacing w:before="100" w:beforeAutospacing="1" w:after="120"/>
              <w:jc w:val="left"/>
              <w:rPr>
                <w:rFonts w:cstheme="minorHAnsi"/>
              </w:rPr>
            </w:pPr>
            <w:r w:rsidRPr="00D8596E">
              <w:rPr>
                <w:rFonts w:cstheme="minorHAnsi"/>
              </w:rPr>
              <w:t xml:space="preserve">2 items were </w:t>
            </w:r>
            <w:proofErr w:type="spellStart"/>
            <w:r w:rsidRPr="00D8596E">
              <w:rPr>
                <w:rFonts w:cstheme="minorHAnsi"/>
              </w:rPr>
              <w:t>crosswalked</w:t>
            </w:r>
            <w:proofErr w:type="spellEnd"/>
            <w:r w:rsidRPr="00D8596E">
              <w:rPr>
                <w:rFonts w:cstheme="minorHAnsi"/>
              </w:rPr>
              <w:t xml:space="preserve"> to this category.</w:t>
            </w:r>
          </w:p>
          <w:p w14:paraId="5E8C72FA" w14:textId="77777777" w:rsidR="00AB379C" w:rsidRPr="00F7033D" w:rsidRDefault="00AB379C" w:rsidP="007055F6">
            <w:pPr>
              <w:jc w:val="left"/>
              <w:rPr>
                <w:rFonts w:cstheme="minorHAnsi"/>
              </w:rPr>
            </w:pPr>
            <w:r w:rsidRPr="00D8596E">
              <w:rPr>
                <w:rFonts w:cstheme="minorHAnsi"/>
              </w:rPr>
              <w:t>The MCO was evaluated against 2 items and was compliant on 2 items based on RY 2020.</w:t>
            </w:r>
          </w:p>
        </w:tc>
      </w:tr>
      <w:tr w:rsidR="00AB379C" w:rsidRPr="00F7033D" w14:paraId="133A9406" w14:textId="77777777" w:rsidTr="007055F6">
        <w:trPr>
          <w:cantSplit/>
          <w:trHeight w:val="720"/>
          <w:jc w:val="center"/>
        </w:trPr>
        <w:tc>
          <w:tcPr>
            <w:tcW w:w="1483" w:type="pct"/>
            <w:vAlign w:val="center"/>
          </w:tcPr>
          <w:p w14:paraId="7379C07D" w14:textId="77777777" w:rsidR="00AB379C" w:rsidRPr="00F7033D" w:rsidRDefault="00AB379C" w:rsidP="007055F6">
            <w:pPr>
              <w:jc w:val="left"/>
              <w:rPr>
                <w:rFonts w:cstheme="minorHAnsi"/>
              </w:rPr>
            </w:pPr>
            <w:r w:rsidRPr="00F7033D">
              <w:rPr>
                <w:rFonts w:cstheme="minorHAnsi"/>
              </w:rPr>
              <w:t>Coverage and authorization of services</w:t>
            </w:r>
          </w:p>
        </w:tc>
        <w:tc>
          <w:tcPr>
            <w:tcW w:w="1010" w:type="pct"/>
            <w:vAlign w:val="center"/>
          </w:tcPr>
          <w:p w14:paraId="20DA6E6D"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76CB1E8A" w14:textId="77777777" w:rsidR="00AB379C" w:rsidRPr="00D8596E" w:rsidRDefault="00AB379C" w:rsidP="007055F6">
            <w:pPr>
              <w:spacing w:before="100" w:beforeAutospacing="1" w:after="120"/>
              <w:jc w:val="left"/>
              <w:rPr>
                <w:rFonts w:cstheme="minorHAnsi"/>
              </w:rPr>
            </w:pPr>
            <w:r w:rsidRPr="00D8596E">
              <w:rPr>
                <w:rFonts w:cstheme="minorHAnsi"/>
              </w:rPr>
              <w:t xml:space="preserve">2 items were </w:t>
            </w:r>
            <w:proofErr w:type="spellStart"/>
            <w:r w:rsidRPr="00D8596E">
              <w:rPr>
                <w:rFonts w:cstheme="minorHAnsi"/>
              </w:rPr>
              <w:t>crosswalked</w:t>
            </w:r>
            <w:proofErr w:type="spellEnd"/>
            <w:r w:rsidRPr="00D8596E">
              <w:rPr>
                <w:rFonts w:cstheme="minorHAnsi"/>
              </w:rPr>
              <w:t xml:space="preserve"> to this category.</w:t>
            </w:r>
          </w:p>
          <w:p w14:paraId="695F9741" w14:textId="77777777" w:rsidR="00AB379C" w:rsidRPr="00F7033D" w:rsidRDefault="00AB379C" w:rsidP="007055F6">
            <w:pPr>
              <w:spacing w:before="60" w:after="100" w:afterAutospacing="1"/>
              <w:jc w:val="left"/>
              <w:rPr>
                <w:rFonts w:cstheme="minorHAnsi"/>
              </w:rPr>
            </w:pPr>
            <w:r w:rsidRPr="00D8596E">
              <w:rPr>
                <w:rFonts w:cstheme="minorHAnsi"/>
              </w:rPr>
              <w:t>The MCO was evaluated against 2 items and was compliant on 2 items based on RY 2020.</w:t>
            </w:r>
          </w:p>
        </w:tc>
      </w:tr>
      <w:tr w:rsidR="00AB379C" w:rsidRPr="00F7033D" w14:paraId="0852308F" w14:textId="77777777" w:rsidTr="007055F6">
        <w:trPr>
          <w:cantSplit/>
          <w:trHeight w:val="720"/>
          <w:jc w:val="center"/>
        </w:trPr>
        <w:tc>
          <w:tcPr>
            <w:tcW w:w="1483" w:type="pct"/>
            <w:vAlign w:val="center"/>
          </w:tcPr>
          <w:p w14:paraId="494D63E0" w14:textId="77777777" w:rsidR="00AB379C" w:rsidRPr="00F7033D" w:rsidRDefault="00AB379C" w:rsidP="007055F6">
            <w:pPr>
              <w:jc w:val="left"/>
              <w:rPr>
                <w:rFonts w:cstheme="minorHAnsi"/>
              </w:rPr>
            </w:pPr>
            <w:r w:rsidRPr="00F7033D">
              <w:rPr>
                <w:rFonts w:cstheme="minorHAnsi"/>
              </w:rPr>
              <w:t>Provider selection</w:t>
            </w:r>
          </w:p>
        </w:tc>
        <w:tc>
          <w:tcPr>
            <w:tcW w:w="1010" w:type="pct"/>
            <w:vAlign w:val="center"/>
          </w:tcPr>
          <w:p w14:paraId="38FD5CF8"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6AE472B4" w14:textId="77777777" w:rsidR="00AB379C" w:rsidRPr="00D8596E" w:rsidRDefault="00AB379C" w:rsidP="007055F6">
            <w:pPr>
              <w:spacing w:before="100" w:beforeAutospacing="1" w:after="120"/>
              <w:jc w:val="left"/>
              <w:rPr>
                <w:rFonts w:cstheme="minorHAnsi"/>
              </w:rPr>
            </w:pPr>
            <w:r w:rsidRPr="00D8596E">
              <w:rPr>
                <w:rFonts w:cstheme="minorHAnsi"/>
              </w:rPr>
              <w:t xml:space="preserve">2 items were </w:t>
            </w:r>
            <w:proofErr w:type="spellStart"/>
            <w:r w:rsidRPr="00D8596E">
              <w:rPr>
                <w:rFonts w:cstheme="minorHAnsi"/>
              </w:rPr>
              <w:t>crosswalked</w:t>
            </w:r>
            <w:proofErr w:type="spellEnd"/>
            <w:r w:rsidRPr="00D8596E">
              <w:rPr>
                <w:rFonts w:cstheme="minorHAnsi"/>
              </w:rPr>
              <w:t xml:space="preserve"> to this category.</w:t>
            </w:r>
          </w:p>
          <w:p w14:paraId="591150B6" w14:textId="77777777" w:rsidR="00AB379C" w:rsidRPr="00F7033D" w:rsidRDefault="00AB379C" w:rsidP="007055F6">
            <w:pPr>
              <w:spacing w:before="60" w:after="100" w:afterAutospacing="1"/>
              <w:jc w:val="left"/>
              <w:rPr>
                <w:rFonts w:cstheme="minorHAnsi"/>
              </w:rPr>
            </w:pPr>
            <w:r w:rsidRPr="00D8596E">
              <w:rPr>
                <w:rFonts w:cstheme="minorHAnsi"/>
              </w:rPr>
              <w:t>The MCO was evaluated against 1 item and was compliant on this item based on RY 2020.</w:t>
            </w:r>
          </w:p>
        </w:tc>
      </w:tr>
      <w:tr w:rsidR="00AB379C" w:rsidRPr="00F7033D" w14:paraId="7D625E12" w14:textId="77777777" w:rsidTr="007055F6">
        <w:trPr>
          <w:cantSplit/>
          <w:trHeight w:val="720"/>
          <w:jc w:val="center"/>
        </w:trPr>
        <w:tc>
          <w:tcPr>
            <w:tcW w:w="1483" w:type="pct"/>
            <w:vAlign w:val="center"/>
          </w:tcPr>
          <w:p w14:paraId="541D9AA4" w14:textId="77777777" w:rsidR="00AB379C" w:rsidRPr="00F7033D" w:rsidRDefault="00AB379C" w:rsidP="007055F6">
            <w:pPr>
              <w:jc w:val="left"/>
              <w:rPr>
                <w:rFonts w:cstheme="minorHAnsi"/>
              </w:rPr>
            </w:pPr>
            <w:r w:rsidRPr="00F7033D">
              <w:rPr>
                <w:rFonts w:cstheme="minorHAnsi"/>
              </w:rPr>
              <w:t>Confidentiality</w:t>
            </w:r>
          </w:p>
        </w:tc>
        <w:tc>
          <w:tcPr>
            <w:tcW w:w="1010" w:type="pct"/>
            <w:vAlign w:val="center"/>
          </w:tcPr>
          <w:p w14:paraId="0EC2645E"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52911502" w14:textId="77777777" w:rsidR="00AB379C" w:rsidRPr="00D8596E" w:rsidRDefault="00AB379C" w:rsidP="007055F6">
            <w:pPr>
              <w:spacing w:before="100" w:beforeAutospacing="1" w:after="120"/>
              <w:jc w:val="left"/>
              <w:rPr>
                <w:rFonts w:cstheme="minorHAnsi"/>
              </w:rPr>
            </w:pPr>
            <w:r w:rsidRPr="00D8596E">
              <w:rPr>
                <w:rFonts w:cstheme="minorHAnsi"/>
              </w:rPr>
              <w:t xml:space="preserve">1 item was </w:t>
            </w:r>
            <w:proofErr w:type="spellStart"/>
            <w:r w:rsidRPr="00D8596E">
              <w:rPr>
                <w:rFonts w:cstheme="minorHAnsi"/>
              </w:rPr>
              <w:t>crosswalked</w:t>
            </w:r>
            <w:proofErr w:type="spellEnd"/>
            <w:r w:rsidRPr="00D8596E">
              <w:rPr>
                <w:rFonts w:cstheme="minorHAnsi"/>
              </w:rPr>
              <w:t xml:space="preserve"> to this category.</w:t>
            </w:r>
          </w:p>
          <w:p w14:paraId="22DFC3AC" w14:textId="77777777" w:rsidR="00AB379C" w:rsidRPr="00F7033D" w:rsidRDefault="00AB379C" w:rsidP="007055F6">
            <w:pPr>
              <w:spacing w:before="60" w:after="100" w:afterAutospacing="1"/>
              <w:jc w:val="left"/>
              <w:rPr>
                <w:rFonts w:cstheme="minorHAnsi"/>
              </w:rPr>
            </w:pPr>
            <w:r w:rsidRPr="00D8596E">
              <w:rPr>
                <w:rFonts w:cstheme="minorHAnsi"/>
              </w:rPr>
              <w:t>The MCO was evaluated against 1 item and was compliant on this item based on RY 2020.</w:t>
            </w:r>
          </w:p>
        </w:tc>
      </w:tr>
      <w:tr w:rsidR="00AB379C" w:rsidRPr="00F7033D" w14:paraId="233D9D94" w14:textId="77777777" w:rsidTr="007055F6">
        <w:trPr>
          <w:cantSplit/>
          <w:trHeight w:val="720"/>
          <w:jc w:val="center"/>
        </w:trPr>
        <w:tc>
          <w:tcPr>
            <w:tcW w:w="1483" w:type="pct"/>
            <w:vAlign w:val="center"/>
          </w:tcPr>
          <w:p w14:paraId="41BFC868" w14:textId="77777777" w:rsidR="00AB379C" w:rsidRPr="00F7033D" w:rsidRDefault="00AB379C" w:rsidP="007055F6">
            <w:pPr>
              <w:jc w:val="left"/>
              <w:rPr>
                <w:rFonts w:cstheme="minorHAnsi"/>
              </w:rPr>
            </w:pPr>
            <w:r w:rsidRPr="00F7033D">
              <w:rPr>
                <w:rFonts w:cstheme="minorHAnsi"/>
              </w:rPr>
              <w:t>Grievance systems</w:t>
            </w:r>
          </w:p>
        </w:tc>
        <w:tc>
          <w:tcPr>
            <w:tcW w:w="1010" w:type="pct"/>
            <w:vAlign w:val="center"/>
          </w:tcPr>
          <w:p w14:paraId="75781EF6"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1C48B3C3" w14:textId="77777777" w:rsidR="00AB379C" w:rsidRPr="00D8596E" w:rsidRDefault="00AB379C" w:rsidP="007055F6">
            <w:pPr>
              <w:spacing w:before="100" w:beforeAutospacing="1" w:after="120"/>
              <w:jc w:val="left"/>
              <w:rPr>
                <w:rFonts w:cstheme="minorHAnsi"/>
              </w:rPr>
            </w:pPr>
            <w:r w:rsidRPr="00D8596E">
              <w:rPr>
                <w:rFonts w:cstheme="minorHAnsi"/>
              </w:rPr>
              <w:t xml:space="preserve">23 items were </w:t>
            </w:r>
            <w:proofErr w:type="spellStart"/>
            <w:r w:rsidRPr="00D8596E">
              <w:rPr>
                <w:rFonts w:cstheme="minorHAnsi"/>
              </w:rPr>
              <w:t>crosswalked</w:t>
            </w:r>
            <w:proofErr w:type="spellEnd"/>
            <w:r w:rsidRPr="00D8596E">
              <w:rPr>
                <w:rFonts w:cstheme="minorHAnsi"/>
              </w:rPr>
              <w:t xml:space="preserve"> to this category.</w:t>
            </w:r>
          </w:p>
          <w:p w14:paraId="2C250500" w14:textId="77777777" w:rsidR="00AB379C" w:rsidRPr="00F7033D" w:rsidRDefault="00AB379C" w:rsidP="007055F6">
            <w:pPr>
              <w:spacing w:before="60" w:after="100" w:afterAutospacing="1"/>
              <w:jc w:val="left"/>
              <w:rPr>
                <w:rFonts w:cstheme="minorHAnsi"/>
              </w:rPr>
            </w:pPr>
            <w:r w:rsidRPr="00D8596E">
              <w:rPr>
                <w:rFonts w:cstheme="minorHAnsi"/>
              </w:rPr>
              <w:t>The MCO was evaluated against 23 items and was compliant on 23 items based on RY 2020.</w:t>
            </w:r>
          </w:p>
        </w:tc>
      </w:tr>
      <w:tr w:rsidR="00AB379C" w:rsidRPr="00F7033D" w14:paraId="6D599F7A" w14:textId="77777777" w:rsidTr="007055F6">
        <w:trPr>
          <w:cantSplit/>
          <w:trHeight w:val="720"/>
          <w:jc w:val="center"/>
        </w:trPr>
        <w:tc>
          <w:tcPr>
            <w:tcW w:w="1483" w:type="pct"/>
            <w:vAlign w:val="center"/>
          </w:tcPr>
          <w:p w14:paraId="0DD302AC" w14:textId="77777777" w:rsidR="00AB379C" w:rsidRPr="00F7033D" w:rsidRDefault="00AB379C" w:rsidP="007055F6">
            <w:pPr>
              <w:jc w:val="left"/>
              <w:rPr>
                <w:rFonts w:cstheme="minorHAnsi"/>
              </w:rPr>
            </w:pPr>
            <w:proofErr w:type="spellStart"/>
            <w:r w:rsidRPr="00F7033D">
              <w:rPr>
                <w:rFonts w:cstheme="minorHAnsi"/>
              </w:rPr>
              <w:t>Subcontractual</w:t>
            </w:r>
            <w:proofErr w:type="spellEnd"/>
            <w:r w:rsidRPr="00F7033D">
              <w:rPr>
                <w:rFonts w:cstheme="minorHAnsi"/>
              </w:rPr>
              <w:t xml:space="preserve"> relationships and delegation</w:t>
            </w:r>
          </w:p>
        </w:tc>
        <w:tc>
          <w:tcPr>
            <w:tcW w:w="1010" w:type="pct"/>
            <w:vAlign w:val="center"/>
          </w:tcPr>
          <w:p w14:paraId="731A3408"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4F4B15E9" w14:textId="77777777" w:rsidR="00AB379C" w:rsidRPr="00D8596E" w:rsidRDefault="00AB379C" w:rsidP="007055F6">
            <w:pPr>
              <w:spacing w:before="100" w:beforeAutospacing="1" w:after="120"/>
              <w:jc w:val="left"/>
              <w:rPr>
                <w:rFonts w:cstheme="minorHAnsi"/>
              </w:rPr>
            </w:pPr>
            <w:r w:rsidRPr="00D8596E">
              <w:rPr>
                <w:rFonts w:cstheme="minorHAnsi"/>
              </w:rPr>
              <w:t xml:space="preserve">2 items were </w:t>
            </w:r>
            <w:proofErr w:type="spellStart"/>
            <w:r w:rsidRPr="00D8596E">
              <w:rPr>
                <w:rFonts w:cstheme="minorHAnsi"/>
              </w:rPr>
              <w:t>crosswalked</w:t>
            </w:r>
            <w:proofErr w:type="spellEnd"/>
            <w:r w:rsidRPr="00D8596E">
              <w:rPr>
                <w:rFonts w:cstheme="minorHAnsi"/>
              </w:rPr>
              <w:t xml:space="preserve"> to this category.</w:t>
            </w:r>
          </w:p>
          <w:p w14:paraId="0E9460FE" w14:textId="77777777" w:rsidR="00AB379C" w:rsidRPr="00F7033D" w:rsidRDefault="00AB379C" w:rsidP="007055F6">
            <w:pPr>
              <w:spacing w:before="60" w:after="100" w:afterAutospacing="1"/>
              <w:jc w:val="left"/>
              <w:rPr>
                <w:rFonts w:cstheme="minorHAnsi"/>
              </w:rPr>
            </w:pPr>
            <w:r w:rsidRPr="00D8596E">
              <w:rPr>
                <w:rFonts w:cstheme="minorHAnsi"/>
              </w:rPr>
              <w:t>The MCO was evaluated against 1 item and was compliant on this item based on RY 2020.</w:t>
            </w:r>
          </w:p>
        </w:tc>
      </w:tr>
      <w:tr w:rsidR="00AB379C" w:rsidRPr="00F7033D" w14:paraId="5EA0F84A" w14:textId="77777777" w:rsidTr="007055F6">
        <w:trPr>
          <w:cantSplit/>
          <w:trHeight w:val="720"/>
          <w:jc w:val="center"/>
        </w:trPr>
        <w:tc>
          <w:tcPr>
            <w:tcW w:w="1483" w:type="pct"/>
            <w:vAlign w:val="center"/>
          </w:tcPr>
          <w:p w14:paraId="2247F5CC" w14:textId="77777777" w:rsidR="00AB379C" w:rsidRPr="00F7033D" w:rsidRDefault="00AB379C" w:rsidP="007055F6">
            <w:pPr>
              <w:jc w:val="left"/>
              <w:rPr>
                <w:rFonts w:cstheme="minorHAnsi"/>
              </w:rPr>
            </w:pPr>
            <w:r w:rsidRPr="00F7033D">
              <w:rPr>
                <w:rFonts w:cstheme="minorHAnsi"/>
              </w:rPr>
              <w:t>Practice guidelines</w:t>
            </w:r>
          </w:p>
        </w:tc>
        <w:tc>
          <w:tcPr>
            <w:tcW w:w="1010" w:type="pct"/>
            <w:vAlign w:val="center"/>
          </w:tcPr>
          <w:p w14:paraId="3DAD4AEE"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3C2072AA" w14:textId="77777777" w:rsidR="00AB379C" w:rsidRPr="00D8596E" w:rsidRDefault="00AB379C" w:rsidP="007055F6">
            <w:pPr>
              <w:spacing w:before="100" w:beforeAutospacing="1" w:after="120"/>
              <w:jc w:val="left"/>
              <w:rPr>
                <w:rFonts w:cstheme="minorHAnsi"/>
              </w:rPr>
            </w:pPr>
            <w:r w:rsidRPr="00D8596E">
              <w:rPr>
                <w:rFonts w:cstheme="minorHAnsi"/>
              </w:rPr>
              <w:t xml:space="preserve">2 items were </w:t>
            </w:r>
            <w:proofErr w:type="spellStart"/>
            <w:r w:rsidRPr="00D8596E">
              <w:rPr>
                <w:rFonts w:cstheme="minorHAnsi"/>
              </w:rPr>
              <w:t>crosswalked</w:t>
            </w:r>
            <w:proofErr w:type="spellEnd"/>
            <w:r w:rsidRPr="00D8596E">
              <w:rPr>
                <w:rFonts w:cstheme="minorHAnsi"/>
              </w:rPr>
              <w:t xml:space="preserve"> to this category.</w:t>
            </w:r>
          </w:p>
          <w:p w14:paraId="43DBB44E" w14:textId="77777777" w:rsidR="00AB379C" w:rsidRPr="00F7033D" w:rsidRDefault="00AB379C" w:rsidP="007055F6">
            <w:pPr>
              <w:spacing w:before="60" w:after="100" w:afterAutospacing="1"/>
              <w:jc w:val="left"/>
              <w:rPr>
                <w:rFonts w:cstheme="minorHAnsi"/>
              </w:rPr>
            </w:pPr>
            <w:r w:rsidRPr="00D8596E">
              <w:rPr>
                <w:rFonts w:cstheme="minorHAnsi"/>
              </w:rPr>
              <w:t>The MCO was evaluated against 2 items and was compliant on 2 items based on RY 2020.</w:t>
            </w:r>
          </w:p>
        </w:tc>
      </w:tr>
      <w:tr w:rsidR="00AB379C" w:rsidRPr="00F7033D" w14:paraId="24C4C909" w14:textId="77777777" w:rsidTr="007055F6">
        <w:trPr>
          <w:cantSplit/>
          <w:trHeight w:val="720"/>
          <w:jc w:val="center"/>
        </w:trPr>
        <w:tc>
          <w:tcPr>
            <w:tcW w:w="1483" w:type="pct"/>
            <w:vAlign w:val="center"/>
          </w:tcPr>
          <w:p w14:paraId="6062148F" w14:textId="77777777" w:rsidR="00AB379C" w:rsidRPr="00F7033D" w:rsidRDefault="00AB379C" w:rsidP="007055F6">
            <w:pPr>
              <w:jc w:val="left"/>
              <w:rPr>
                <w:rFonts w:cstheme="minorHAnsi"/>
              </w:rPr>
            </w:pPr>
            <w:r w:rsidRPr="00F7033D">
              <w:rPr>
                <w:rFonts w:cstheme="minorHAnsi"/>
              </w:rPr>
              <w:t>Health information systems</w:t>
            </w:r>
          </w:p>
        </w:tc>
        <w:tc>
          <w:tcPr>
            <w:tcW w:w="1010" w:type="pct"/>
            <w:vAlign w:val="center"/>
          </w:tcPr>
          <w:p w14:paraId="2DBB9E72" w14:textId="77777777" w:rsidR="00AB379C" w:rsidRPr="00F7033D" w:rsidRDefault="00AB379C" w:rsidP="007055F6">
            <w:pPr>
              <w:spacing w:before="100" w:beforeAutospacing="1" w:after="100" w:afterAutospacing="1"/>
              <w:jc w:val="center"/>
              <w:rPr>
                <w:rFonts w:cstheme="minorHAnsi"/>
              </w:rPr>
            </w:pPr>
            <w:r w:rsidRPr="00D8596E">
              <w:rPr>
                <w:rFonts w:cstheme="minorHAnsi"/>
              </w:rPr>
              <w:t>Compliant</w:t>
            </w:r>
          </w:p>
        </w:tc>
        <w:tc>
          <w:tcPr>
            <w:tcW w:w="2507" w:type="pct"/>
            <w:vAlign w:val="center"/>
          </w:tcPr>
          <w:p w14:paraId="11BA55DB" w14:textId="77777777" w:rsidR="00AB379C" w:rsidRPr="00D8596E" w:rsidRDefault="00AB379C" w:rsidP="007055F6">
            <w:pPr>
              <w:spacing w:before="100" w:beforeAutospacing="1" w:after="120"/>
              <w:jc w:val="left"/>
              <w:rPr>
                <w:rFonts w:cstheme="minorHAnsi"/>
              </w:rPr>
            </w:pPr>
            <w:r w:rsidRPr="00D8596E">
              <w:rPr>
                <w:rFonts w:cstheme="minorHAnsi"/>
              </w:rPr>
              <w:t xml:space="preserve">1 item was </w:t>
            </w:r>
            <w:proofErr w:type="spellStart"/>
            <w:r w:rsidRPr="00D8596E">
              <w:rPr>
                <w:rFonts w:cstheme="minorHAnsi"/>
              </w:rPr>
              <w:t>crosswalked</w:t>
            </w:r>
            <w:proofErr w:type="spellEnd"/>
            <w:r w:rsidRPr="00D8596E">
              <w:rPr>
                <w:rFonts w:cstheme="minorHAnsi"/>
              </w:rPr>
              <w:t xml:space="preserve"> to this category.</w:t>
            </w:r>
          </w:p>
          <w:p w14:paraId="347C6F40" w14:textId="77777777" w:rsidR="00AB379C" w:rsidRPr="00F7033D" w:rsidRDefault="00AB379C" w:rsidP="007055F6">
            <w:pPr>
              <w:spacing w:before="60" w:after="100" w:afterAutospacing="1"/>
              <w:jc w:val="left"/>
              <w:rPr>
                <w:rFonts w:cstheme="minorHAnsi"/>
              </w:rPr>
            </w:pPr>
            <w:r w:rsidRPr="00D8596E">
              <w:rPr>
                <w:rFonts w:cstheme="minorHAnsi"/>
              </w:rPr>
              <w:t>The MCO was evaluated against 1 item and was compliant on this item based on RY 2020.</w:t>
            </w:r>
          </w:p>
        </w:tc>
      </w:tr>
    </w:tbl>
    <w:p w14:paraId="2C612F7E" w14:textId="3E03A913" w:rsidR="00AB379C" w:rsidRPr="00F7033D" w:rsidRDefault="00AB379C" w:rsidP="00AB379C">
      <w:pPr>
        <w:spacing w:after="480"/>
        <w:rPr>
          <w:sz w:val="20"/>
          <w:szCs w:val="20"/>
        </w:rPr>
      </w:pPr>
      <w:r w:rsidRPr="00F7033D">
        <w:rPr>
          <w:sz w:val="20"/>
          <w:szCs w:val="20"/>
        </w:rPr>
        <w:t xml:space="preserve">MCO: managed care organization; PIHP: prepaid inpatient health plan; PAHP: prepaid ambulatory health plan; RY: </w:t>
      </w:r>
      <w:r w:rsidR="00885A0E">
        <w:rPr>
          <w:sz w:val="20"/>
          <w:szCs w:val="20"/>
        </w:rPr>
        <w:t>review</w:t>
      </w:r>
      <w:r w:rsidRPr="00F7033D">
        <w:rPr>
          <w:sz w:val="20"/>
          <w:szCs w:val="20"/>
        </w:rPr>
        <w:t xml:space="preserve"> year. </w:t>
      </w:r>
    </w:p>
    <w:p w14:paraId="2767CAB8" w14:textId="77777777" w:rsidR="00AB379C" w:rsidRPr="00F7033D" w:rsidRDefault="00AB379C" w:rsidP="00AB379C">
      <w:pPr>
        <w:rPr>
          <w:rFonts w:asciiTheme="majorHAnsi" w:eastAsiaTheme="majorEastAsia" w:hAnsiTheme="majorHAnsi" w:cstheme="majorBidi"/>
          <w:b/>
          <w:bCs/>
          <w:color w:val="4F81BD" w:themeColor="accent1"/>
        </w:rPr>
      </w:pPr>
      <w:r w:rsidRPr="00F7033D">
        <w:br w:type="page"/>
      </w:r>
    </w:p>
    <w:p w14:paraId="53D8B56E" w14:textId="77777777" w:rsidR="00AB379C" w:rsidRPr="00F7033D" w:rsidRDefault="00AB379C" w:rsidP="00AB379C">
      <w:pPr>
        <w:pStyle w:val="Heading2"/>
        <w:rPr>
          <w:sz w:val="22"/>
          <w:szCs w:val="22"/>
        </w:rPr>
      </w:pPr>
      <w:bookmarkStart w:id="185" w:name="_Toc98922480"/>
      <w:bookmarkStart w:id="186" w:name="_Toc132641637"/>
      <w:r w:rsidRPr="00F7033D">
        <w:rPr>
          <w:sz w:val="22"/>
          <w:szCs w:val="22"/>
        </w:rPr>
        <w:lastRenderedPageBreak/>
        <w:t>Subpart E: Quality Measurement and Improvement</w:t>
      </w:r>
      <w:bookmarkEnd w:id="185"/>
      <w:bookmarkEnd w:id="186"/>
    </w:p>
    <w:p w14:paraId="3BB52CD4" w14:textId="77777777" w:rsidR="00AB379C" w:rsidRPr="00F7033D" w:rsidRDefault="00AB379C" w:rsidP="00AB379C">
      <w:pPr>
        <w:rPr>
          <w:rFonts w:cs="Arial"/>
        </w:rPr>
      </w:pPr>
      <w:r w:rsidRPr="00F7033D">
        <w:rPr>
          <w:rFonts w:cs="Arial"/>
        </w:rPr>
        <w:t>The general purpose of the regulations included under this heading is to ensure that each contracting MCO implements and maintains a quality assessment and performance improvement program as required by the State. This includes implementing an ongoing comprehensive quality assessment and performance improvement program for the services it furnishes to its enrollees.</w:t>
      </w:r>
    </w:p>
    <w:p w14:paraId="3085A220" w14:textId="77777777" w:rsidR="00AB379C" w:rsidRPr="00F7033D" w:rsidRDefault="00AB379C" w:rsidP="00AB379C">
      <w:pPr>
        <w:pStyle w:val="tableheading"/>
      </w:pPr>
      <w:bookmarkStart w:id="187" w:name="_Toc448738495"/>
      <w:bookmarkStart w:id="188" w:name="_Toc500507244"/>
      <w:bookmarkStart w:id="189" w:name="_Toc98922510"/>
      <w:bookmarkStart w:id="190" w:name="_Toc132641672"/>
      <w:r w:rsidRPr="00F7033D">
        <w:t>Table 3.3: MCO Compliance with Quality Assessment and Performance Improvement Regulations</w:t>
      </w:r>
      <w:bookmarkEnd w:id="187"/>
      <w:bookmarkEnd w:id="188"/>
      <w:bookmarkEnd w:id="189"/>
      <w:bookmarkEnd w:id="19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0"/>
        <w:gridCol w:w="2180"/>
        <w:gridCol w:w="5410"/>
      </w:tblGrid>
      <w:tr w:rsidR="00AB379C" w:rsidRPr="00F7033D" w14:paraId="2B21F138" w14:textId="77777777" w:rsidTr="007055F6">
        <w:trPr>
          <w:cantSplit/>
          <w:trHeight w:val="296"/>
          <w:tblHeader/>
          <w:jc w:val="center"/>
        </w:trPr>
        <w:tc>
          <w:tcPr>
            <w:tcW w:w="5000" w:type="pct"/>
            <w:gridSpan w:val="3"/>
            <w:shd w:val="clear" w:color="auto" w:fill="8064A2" w:themeFill="accent4"/>
            <w:vAlign w:val="center"/>
          </w:tcPr>
          <w:p w14:paraId="11A968B0" w14:textId="77777777" w:rsidR="00AB379C" w:rsidRPr="00F7033D" w:rsidRDefault="00AB379C" w:rsidP="007055F6">
            <w:pPr>
              <w:jc w:val="center"/>
              <w:rPr>
                <w:b/>
                <w:color w:val="FFFFFF" w:themeColor="background1"/>
              </w:rPr>
            </w:pPr>
            <w:r w:rsidRPr="00F7033D">
              <w:rPr>
                <w:b/>
                <w:color w:val="FFFFFF" w:themeColor="background1"/>
              </w:rPr>
              <w:t>QUALITY MEASUREMENT AND IMPROVEMENT</w:t>
            </w:r>
          </w:p>
        </w:tc>
      </w:tr>
      <w:tr w:rsidR="00AB379C" w:rsidRPr="00F7033D" w14:paraId="1154E69E" w14:textId="77777777" w:rsidTr="007055F6">
        <w:trPr>
          <w:cantSplit/>
          <w:trHeight w:val="296"/>
          <w:tblHeader/>
          <w:jc w:val="center"/>
        </w:trPr>
        <w:tc>
          <w:tcPr>
            <w:tcW w:w="1483" w:type="pct"/>
            <w:shd w:val="clear" w:color="auto" w:fill="CCC0D9" w:themeFill="accent4" w:themeFillTint="66"/>
            <w:vAlign w:val="center"/>
          </w:tcPr>
          <w:p w14:paraId="502FBD8C" w14:textId="77777777" w:rsidR="00AB379C" w:rsidRPr="00F7033D" w:rsidRDefault="00AB379C" w:rsidP="007055F6">
            <w:pPr>
              <w:spacing w:before="100" w:beforeAutospacing="1" w:after="100" w:afterAutospacing="1"/>
              <w:jc w:val="left"/>
              <w:rPr>
                <w:b/>
                <w:bCs/>
                <w:szCs w:val="20"/>
              </w:rPr>
            </w:pPr>
            <w:r w:rsidRPr="00F7033D">
              <w:rPr>
                <w:b/>
                <w:bCs/>
                <w:szCs w:val="20"/>
              </w:rPr>
              <w:t>Subpart E: Categories</w:t>
            </w:r>
          </w:p>
        </w:tc>
        <w:tc>
          <w:tcPr>
            <w:tcW w:w="1010" w:type="pct"/>
            <w:shd w:val="clear" w:color="auto" w:fill="CCC0D9" w:themeFill="accent4" w:themeFillTint="66"/>
            <w:vAlign w:val="center"/>
          </w:tcPr>
          <w:p w14:paraId="52877348" w14:textId="77777777" w:rsidR="00AB379C" w:rsidRPr="00F7033D" w:rsidRDefault="00AB379C" w:rsidP="007055F6">
            <w:pPr>
              <w:spacing w:before="100" w:beforeAutospacing="1" w:after="100" w:afterAutospacing="1"/>
              <w:jc w:val="center"/>
              <w:rPr>
                <w:b/>
                <w:bCs/>
                <w:szCs w:val="20"/>
              </w:rPr>
            </w:pPr>
            <w:r w:rsidRPr="00F7033D">
              <w:rPr>
                <w:b/>
                <w:bCs/>
                <w:szCs w:val="20"/>
              </w:rPr>
              <w:t>Compliance</w:t>
            </w:r>
          </w:p>
        </w:tc>
        <w:tc>
          <w:tcPr>
            <w:tcW w:w="2507" w:type="pct"/>
            <w:shd w:val="clear" w:color="auto" w:fill="CCC0D9" w:themeFill="accent4" w:themeFillTint="66"/>
            <w:vAlign w:val="center"/>
          </w:tcPr>
          <w:p w14:paraId="315E7FAD" w14:textId="77777777" w:rsidR="00AB379C" w:rsidRPr="00F7033D" w:rsidRDefault="00AB379C" w:rsidP="007055F6">
            <w:pPr>
              <w:jc w:val="center"/>
              <w:rPr>
                <w:b/>
              </w:rPr>
            </w:pPr>
            <w:r w:rsidRPr="00F7033D">
              <w:rPr>
                <w:b/>
              </w:rPr>
              <w:t>Comments</w:t>
            </w:r>
          </w:p>
        </w:tc>
      </w:tr>
      <w:tr w:rsidR="00AB379C" w:rsidRPr="00F7033D" w14:paraId="338CA1FE" w14:textId="77777777" w:rsidTr="007055F6">
        <w:trPr>
          <w:cantSplit/>
          <w:trHeight w:val="1007"/>
          <w:jc w:val="center"/>
        </w:trPr>
        <w:tc>
          <w:tcPr>
            <w:tcW w:w="1483" w:type="pct"/>
            <w:vAlign w:val="center"/>
          </w:tcPr>
          <w:p w14:paraId="011FFBEA" w14:textId="77777777" w:rsidR="00AB379C" w:rsidRPr="00F7033D" w:rsidRDefault="00AB379C" w:rsidP="007055F6">
            <w:pPr>
              <w:jc w:val="left"/>
            </w:pPr>
            <w:r w:rsidRPr="00F7033D">
              <w:t>Quality assessment and performance improvement program (QAPI)</w:t>
            </w:r>
          </w:p>
        </w:tc>
        <w:tc>
          <w:tcPr>
            <w:tcW w:w="1010" w:type="pct"/>
            <w:vAlign w:val="center"/>
          </w:tcPr>
          <w:p w14:paraId="4310028B" w14:textId="77777777" w:rsidR="00AB379C" w:rsidRPr="00F7033D" w:rsidRDefault="00AB379C" w:rsidP="007055F6">
            <w:pPr>
              <w:spacing w:before="100" w:beforeAutospacing="1" w:after="100" w:afterAutospacing="1"/>
              <w:jc w:val="center"/>
              <w:rPr>
                <w:szCs w:val="20"/>
              </w:rPr>
            </w:pPr>
            <w:r w:rsidRPr="002F6375">
              <w:rPr>
                <w:szCs w:val="20"/>
              </w:rPr>
              <w:t>Compliant</w:t>
            </w:r>
          </w:p>
        </w:tc>
        <w:tc>
          <w:tcPr>
            <w:tcW w:w="2507" w:type="pct"/>
            <w:vAlign w:val="center"/>
          </w:tcPr>
          <w:p w14:paraId="583E73B9" w14:textId="77777777" w:rsidR="00AB379C" w:rsidRPr="002F6375" w:rsidRDefault="00AB379C" w:rsidP="007055F6">
            <w:pPr>
              <w:spacing w:before="100" w:beforeAutospacing="1" w:after="120"/>
              <w:jc w:val="left"/>
              <w:rPr>
                <w:szCs w:val="20"/>
              </w:rPr>
            </w:pPr>
            <w:r w:rsidRPr="002F6375">
              <w:rPr>
                <w:szCs w:val="20"/>
              </w:rPr>
              <w:t xml:space="preserve">5 items were </w:t>
            </w:r>
            <w:proofErr w:type="spellStart"/>
            <w:r w:rsidRPr="002F6375">
              <w:rPr>
                <w:szCs w:val="20"/>
              </w:rPr>
              <w:t>crosswalked</w:t>
            </w:r>
            <w:proofErr w:type="spellEnd"/>
            <w:r w:rsidRPr="002F6375">
              <w:rPr>
                <w:szCs w:val="20"/>
              </w:rPr>
              <w:t xml:space="preserve"> to this category.</w:t>
            </w:r>
          </w:p>
          <w:p w14:paraId="6EEA74B8" w14:textId="77777777" w:rsidR="00AB379C" w:rsidRPr="00F7033D" w:rsidRDefault="00AB379C" w:rsidP="007055F6">
            <w:pPr>
              <w:spacing w:before="60" w:after="100" w:afterAutospacing="1"/>
              <w:jc w:val="left"/>
              <w:rPr>
                <w:szCs w:val="20"/>
              </w:rPr>
            </w:pPr>
            <w:r w:rsidRPr="002F6375">
              <w:rPr>
                <w:rFonts w:cstheme="minorHAnsi"/>
              </w:rPr>
              <w:t>The MCO was evaluated against 5 items and was compliant on 5 items based on RY 2020.</w:t>
            </w:r>
          </w:p>
        </w:tc>
      </w:tr>
    </w:tbl>
    <w:p w14:paraId="7511835B" w14:textId="63E75F30" w:rsidR="00BB48FA" w:rsidRPr="00C149F5" w:rsidRDefault="00AB379C" w:rsidP="00C149F5">
      <w:pPr>
        <w:spacing w:after="480"/>
        <w:rPr>
          <w:sz w:val="20"/>
          <w:szCs w:val="20"/>
        </w:rPr>
      </w:pPr>
      <w:r w:rsidRPr="00F7033D">
        <w:rPr>
          <w:sz w:val="20"/>
          <w:szCs w:val="20"/>
        </w:rPr>
        <w:t xml:space="preserve">MCO: managed care organization; RY: </w:t>
      </w:r>
      <w:r w:rsidR="00885A0E">
        <w:rPr>
          <w:sz w:val="20"/>
          <w:szCs w:val="20"/>
        </w:rPr>
        <w:t>review</w:t>
      </w:r>
      <w:r w:rsidRPr="00F7033D">
        <w:rPr>
          <w:sz w:val="20"/>
          <w:szCs w:val="20"/>
        </w:rPr>
        <w:t xml:space="preserve"> year.</w:t>
      </w:r>
      <w:r w:rsidR="00BB48FA" w:rsidRPr="00F7033D">
        <w:rPr>
          <w:rFonts w:ascii="Cambria" w:eastAsia="PMingLiU" w:hAnsi="Cambria" w:cs="Times New Roman"/>
          <w:b/>
          <w:bCs/>
          <w:color w:val="365F91"/>
          <w:sz w:val="28"/>
          <w:szCs w:val="28"/>
        </w:rPr>
        <w:br w:type="page"/>
      </w:r>
    </w:p>
    <w:p w14:paraId="1A70BEC5" w14:textId="7D95C0C7" w:rsidR="00B34706" w:rsidRPr="00562184" w:rsidRDefault="00B34706" w:rsidP="00B34706">
      <w:pPr>
        <w:keepNext/>
        <w:keepLines/>
        <w:outlineLvl w:val="0"/>
        <w:rPr>
          <w:rFonts w:ascii="Cambria" w:eastAsia="PMingLiU" w:hAnsi="Cambria" w:cs="Times New Roman"/>
          <w:b/>
          <w:bCs/>
          <w:color w:val="365F91"/>
          <w:sz w:val="28"/>
          <w:szCs w:val="28"/>
        </w:rPr>
      </w:pPr>
      <w:bookmarkStart w:id="191" w:name="_Toc132641638"/>
      <w:r w:rsidRPr="00562184">
        <w:rPr>
          <w:rFonts w:ascii="Cambria" w:eastAsia="PMingLiU" w:hAnsi="Cambria" w:cs="Times New Roman"/>
          <w:b/>
          <w:bCs/>
          <w:color w:val="365F91"/>
          <w:sz w:val="28"/>
          <w:szCs w:val="28"/>
        </w:rPr>
        <w:lastRenderedPageBreak/>
        <w:t>IV: MCO Response</w:t>
      </w:r>
      <w:bookmarkEnd w:id="154"/>
      <w:r w:rsidR="004E63DC" w:rsidRPr="00562184">
        <w:rPr>
          <w:rFonts w:ascii="Cambria" w:eastAsia="PMingLiU" w:hAnsi="Cambria" w:cs="Times New Roman"/>
          <w:b/>
          <w:bCs/>
          <w:color w:val="365F91"/>
          <w:sz w:val="28"/>
          <w:szCs w:val="28"/>
        </w:rPr>
        <w:t>s to the Previous EQR Recommendations</w:t>
      </w:r>
      <w:bookmarkEnd w:id="191"/>
    </w:p>
    <w:bookmarkEnd w:id="155"/>
    <w:p w14:paraId="5DA9C8C7" w14:textId="3EA3A4E4" w:rsidR="00562184" w:rsidRDefault="00562184" w:rsidP="00562184">
      <w:pPr>
        <w:rPr>
          <w:rFonts w:eastAsia="Times New Roman"/>
        </w:rPr>
      </w:pPr>
      <w:r>
        <w:rPr>
          <w:rFonts w:eastAsia="Times New Roman"/>
          <w:i/>
          <w:iCs/>
        </w:rPr>
        <w:t xml:space="preserve">Title 42 CFR </w:t>
      </w:r>
      <w:r>
        <w:rPr>
          <w:rFonts w:eastAsia="Times New Roman"/>
          <w:i/>
          <w:iCs/>
          <w:color w:val="000000"/>
          <w:bdr w:val="none" w:sz="0" w:space="0" w:color="auto" w:frame="1"/>
          <w:shd w:val="clear" w:color="auto" w:fill="FFFFFF"/>
        </w:rPr>
        <w:t xml:space="preserve">§ </w:t>
      </w:r>
      <w:r w:rsidRPr="00F34914">
        <w:rPr>
          <w:rFonts w:eastAsia="Times New Roman"/>
          <w:i/>
          <w:iCs/>
        </w:rPr>
        <w:t>438.364 External quality review results (a)(6)</w:t>
      </w:r>
      <w:r>
        <w:rPr>
          <w:rFonts w:eastAsia="Times New Roman"/>
        </w:rPr>
        <w:t xml:space="preserve"> </w:t>
      </w:r>
      <w:r w:rsidRPr="00F34914">
        <w:rPr>
          <w:rFonts w:eastAsia="Times New Roman"/>
        </w:rPr>
        <w:t>require each annual technical report include “an assessment of the degree to which each MCO</w:t>
      </w:r>
      <w:r>
        <w:rPr>
          <w:rFonts w:eastAsia="Times New Roman"/>
        </w:rPr>
        <w:t>,</w:t>
      </w:r>
      <w:r w:rsidRPr="00F34914">
        <w:rPr>
          <w:rFonts w:eastAsia="Times New Roman"/>
        </w:rPr>
        <w:t xml:space="preserve"> PIHP, PAHP, or PCCM entity has effectively addressed the recommendations for QI made by the EQRO d</w:t>
      </w:r>
      <w:r>
        <w:rPr>
          <w:rFonts w:eastAsia="Times New Roman"/>
        </w:rPr>
        <w:t xml:space="preserve">uring the previous year’s EQR.” </w:t>
      </w:r>
      <w:r>
        <w:rPr>
          <w:rFonts w:eastAsia="Times New Roman"/>
          <w:b/>
        </w:rPr>
        <w:t xml:space="preserve">Table </w:t>
      </w:r>
      <w:r w:rsidR="00574166">
        <w:rPr>
          <w:rFonts w:eastAsia="Times New Roman"/>
          <w:b/>
        </w:rPr>
        <w:t>4.1</w:t>
      </w:r>
      <w:r>
        <w:rPr>
          <w:rFonts w:eastAsia="Times New Roman"/>
        </w:rPr>
        <w:t xml:space="preserve"> displays the MCO’s opportunities as well as IPRO’s assessment of their responses. The detailed responses are included in the embedded Word document. In addition to the opportunities identified from the EQR, DHS also required MCOs to develop a root cause analysis around select </w:t>
      </w:r>
      <w:r w:rsidR="00980731">
        <w:rPr>
          <w:rFonts w:eastAsia="Times New Roman"/>
        </w:rPr>
        <w:t>pay-for-performance (</w:t>
      </w:r>
      <w:r>
        <w:rPr>
          <w:rFonts w:eastAsia="Times New Roman"/>
        </w:rPr>
        <w:t>P4P</w:t>
      </w:r>
      <w:r w:rsidR="00980731">
        <w:rPr>
          <w:rFonts w:eastAsia="Times New Roman"/>
        </w:rPr>
        <w:t>)</w:t>
      </w:r>
      <w:r>
        <w:rPr>
          <w:rFonts w:eastAsia="Times New Roman"/>
        </w:rPr>
        <w:t xml:space="preserve"> indicators.</w:t>
      </w:r>
    </w:p>
    <w:p w14:paraId="55885B40" w14:textId="77777777" w:rsidR="00562184" w:rsidRPr="000F0EC3" w:rsidRDefault="00562184" w:rsidP="00562184">
      <w:pPr>
        <w:pStyle w:val="Heading2"/>
      </w:pPr>
      <w:bookmarkStart w:id="192" w:name="_Toc447022731"/>
      <w:bookmarkStart w:id="193" w:name="_Toc449099976"/>
      <w:bookmarkStart w:id="194" w:name="_Toc132641639"/>
      <w:r w:rsidRPr="000F0EC3">
        <w:t>Current and Proposed Interventions</w:t>
      </w:r>
      <w:bookmarkEnd w:id="192"/>
      <w:bookmarkEnd w:id="193"/>
      <w:bookmarkEnd w:id="194"/>
    </w:p>
    <w:p w14:paraId="7F7B012E" w14:textId="77777777" w:rsidR="00562184" w:rsidRPr="000F0EC3" w:rsidRDefault="00562184" w:rsidP="00562184">
      <w:r w:rsidRPr="000F0EC3">
        <w:t xml:space="preserve">The general purpose of this section is to assess the degree to which each </w:t>
      </w:r>
      <w:r>
        <w:t>CHIP</w:t>
      </w:r>
      <w:r w:rsidRPr="000F0EC3">
        <w:t xml:space="preserve"> MCO has addressed the opportunities for improvement made by IPRO in the 20</w:t>
      </w:r>
      <w:r>
        <w:t>21</w:t>
      </w:r>
      <w:r w:rsidRPr="000F0EC3">
        <w:t xml:space="preserve"> EQR Technical Reports, which were distributed </w:t>
      </w:r>
      <w:r>
        <w:t>May 2022. The 2022</w:t>
      </w:r>
      <w:r w:rsidRPr="000F0EC3">
        <w:t xml:space="preserve"> EQR is the </w:t>
      </w:r>
      <w:r>
        <w:t>fourth</w:t>
      </w:r>
      <w:r w:rsidRPr="000F0EC3">
        <w:t xml:space="preserve"> to include descriptions of current and proposed interventions from each </w:t>
      </w:r>
      <w:r>
        <w:t>CHIP</w:t>
      </w:r>
      <w:r w:rsidRPr="000F0EC3">
        <w:t xml:space="preserve"> MCO that address the </w:t>
      </w:r>
      <w:r>
        <w:t>prior year reports’</w:t>
      </w:r>
      <w:r w:rsidRPr="000F0EC3">
        <w:t xml:space="preserve"> recommendations.</w:t>
      </w:r>
    </w:p>
    <w:p w14:paraId="2CE93387" w14:textId="77777777" w:rsidR="00562184" w:rsidRPr="000F0EC3" w:rsidRDefault="00562184" w:rsidP="00562184"/>
    <w:p w14:paraId="096A9897" w14:textId="77777777" w:rsidR="00562184" w:rsidRPr="000F0EC3" w:rsidRDefault="00562184" w:rsidP="00562184">
      <w:r w:rsidRPr="000F0EC3">
        <w:t>DHS requested that MCOs submit descriptions of current and proposed interventions using the Opportunities for Improvement form developed by IPRO to ensure that responses are reported consistently across the MCOs. These activities follow a longitudinal format, and are designed to capture information relating to:</w:t>
      </w:r>
    </w:p>
    <w:p w14:paraId="596C8476" w14:textId="0204781F" w:rsidR="00562184" w:rsidRPr="00231C6F" w:rsidRDefault="00562184" w:rsidP="00F41CA9">
      <w:pPr>
        <w:pStyle w:val="ListParagraph"/>
        <w:numPr>
          <w:ilvl w:val="0"/>
          <w:numId w:val="18"/>
        </w:numPr>
      </w:pPr>
      <w:r w:rsidRPr="00231C6F">
        <w:t xml:space="preserve">Follow-up actions that the MCO has taken through June 30, </w:t>
      </w:r>
      <w:r w:rsidR="00980731" w:rsidRPr="00231C6F">
        <w:t>2022,</w:t>
      </w:r>
      <w:r w:rsidRPr="00231C6F">
        <w:t xml:space="preserve"> to address each recommendation;</w:t>
      </w:r>
    </w:p>
    <w:p w14:paraId="33229822" w14:textId="77777777" w:rsidR="00562184" w:rsidRPr="00231C6F" w:rsidRDefault="00562184" w:rsidP="00F41CA9">
      <w:pPr>
        <w:pStyle w:val="ListParagraph"/>
        <w:numPr>
          <w:ilvl w:val="0"/>
          <w:numId w:val="18"/>
        </w:numPr>
      </w:pPr>
      <w:r w:rsidRPr="00231C6F">
        <w:t>Future actions that are planned to address each recommendation;</w:t>
      </w:r>
    </w:p>
    <w:p w14:paraId="51330E17" w14:textId="77777777" w:rsidR="00562184" w:rsidRPr="00231C6F" w:rsidRDefault="00562184" w:rsidP="00F41CA9">
      <w:pPr>
        <w:pStyle w:val="ListParagraph"/>
        <w:numPr>
          <w:ilvl w:val="0"/>
          <w:numId w:val="18"/>
        </w:numPr>
      </w:pPr>
      <w:r w:rsidRPr="00231C6F">
        <w:t>When and how future actions will be accomplished;</w:t>
      </w:r>
    </w:p>
    <w:p w14:paraId="2EB07BF9" w14:textId="77777777" w:rsidR="00562184" w:rsidRPr="00231C6F" w:rsidRDefault="00562184" w:rsidP="00F41CA9">
      <w:pPr>
        <w:pStyle w:val="ListParagraph"/>
        <w:numPr>
          <w:ilvl w:val="0"/>
          <w:numId w:val="18"/>
        </w:numPr>
      </w:pPr>
      <w:r w:rsidRPr="00231C6F">
        <w:t>The expected outcome or goals of the actions that were taken or will be taken; and</w:t>
      </w:r>
    </w:p>
    <w:p w14:paraId="4390BD59" w14:textId="77777777" w:rsidR="00562184" w:rsidRPr="00231C6F" w:rsidRDefault="00562184" w:rsidP="00F41CA9">
      <w:pPr>
        <w:pStyle w:val="ListParagraph"/>
        <w:numPr>
          <w:ilvl w:val="0"/>
          <w:numId w:val="18"/>
        </w:numPr>
      </w:pPr>
      <w:r w:rsidRPr="00231C6F">
        <w:t>The MCO’s process(es) for monitoring the action to determine the effectiveness of the actions taken.</w:t>
      </w:r>
    </w:p>
    <w:p w14:paraId="22BCDA86" w14:textId="77777777" w:rsidR="00562184" w:rsidRPr="000F0EC3" w:rsidRDefault="00562184" w:rsidP="00562184"/>
    <w:p w14:paraId="58FBCA86" w14:textId="77777777" w:rsidR="00AB379C" w:rsidRPr="000F0EC3" w:rsidRDefault="00AB379C" w:rsidP="00AB379C">
      <w:r w:rsidRPr="000F0EC3">
        <w:t xml:space="preserve">The documents informing the current report include the response submitted to IPRO as of </w:t>
      </w:r>
      <w:r>
        <w:t>September 2022</w:t>
      </w:r>
      <w:r w:rsidRPr="000F0EC3">
        <w:t xml:space="preserve">, as well as any additional relevant documentation provided by </w:t>
      </w:r>
      <w:r>
        <w:t>UPMC</w:t>
      </w:r>
      <w:r w:rsidRPr="000F0EC3">
        <w:t xml:space="preserve">. </w:t>
      </w:r>
    </w:p>
    <w:p w14:paraId="4E955D1B" w14:textId="77777777" w:rsidR="00AB379C" w:rsidRPr="000F0EC3" w:rsidRDefault="00AB379C" w:rsidP="00AB379C"/>
    <w:p w14:paraId="5321BA43" w14:textId="77777777" w:rsidR="00AB379C" w:rsidRDefault="00AB379C" w:rsidP="00AB379C">
      <w:r>
        <w:t>The embedded Word document</w:t>
      </w:r>
      <w:r w:rsidRPr="000F0EC3">
        <w:t xml:space="preserve"> presents </w:t>
      </w:r>
      <w:r>
        <w:t>UPMC</w:t>
      </w:r>
      <w:r w:rsidRPr="000F0EC3">
        <w:t>’s responses to opportunities for improvement cited by IPRO in the 20</w:t>
      </w:r>
      <w:r>
        <w:t>21</w:t>
      </w:r>
      <w:r w:rsidRPr="000F0EC3">
        <w:t xml:space="preserve"> EQR Technical Report, detailing current and proposed interventions.</w:t>
      </w:r>
      <w:r>
        <w:t xml:space="preserve"> </w:t>
      </w:r>
    </w:p>
    <w:p w14:paraId="4FF373EE" w14:textId="77777777" w:rsidR="00AB379C" w:rsidRDefault="00AB379C" w:rsidP="00AB379C"/>
    <w:bookmarkStart w:id="195" w:name="_MON_1730013008"/>
    <w:bookmarkEnd w:id="195"/>
    <w:p w14:paraId="49B35843" w14:textId="633C5C6C" w:rsidR="00AB379C" w:rsidRDefault="00BD5C86" w:rsidP="00AB379C">
      <w:pPr>
        <w:jc w:val="center"/>
      </w:pPr>
      <w:r>
        <w:object w:dxaOrig="1596" w:dyaOrig="1033" w14:anchorId="5EA41D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9.5pt;height:51.75pt" o:ole="">
            <v:imagedata r:id="rId12" o:title=""/>
          </v:shape>
          <o:OLEObject Type="Embed" ProgID="Word.Document.12" ShapeID="_x0000_i1028" DrawAspect="Icon" ObjectID="_1744111260" r:id="rId13">
            <o:FieldCodes>\s</o:FieldCodes>
          </o:OLEObject>
        </w:object>
      </w:r>
    </w:p>
    <w:p w14:paraId="004DE446" w14:textId="77777777" w:rsidR="00AB379C" w:rsidRDefault="00AB379C" w:rsidP="00AB379C">
      <w:pPr>
        <w:pStyle w:val="Heading2"/>
        <w:rPr>
          <w:rFonts w:eastAsia="Times New Roman"/>
        </w:rPr>
      </w:pPr>
      <w:bookmarkStart w:id="196" w:name="_Toc92376790"/>
      <w:bookmarkStart w:id="197" w:name="_Toc132641640"/>
      <w:r>
        <w:rPr>
          <w:rFonts w:eastAsia="Times New Roman"/>
        </w:rPr>
        <w:t>UPMC Response to Previous EQR Recommendations</w:t>
      </w:r>
      <w:bookmarkEnd w:id="196"/>
      <w:bookmarkEnd w:id="197"/>
    </w:p>
    <w:p w14:paraId="28E0A175" w14:textId="3998E4F3" w:rsidR="00562184" w:rsidRPr="00C447B7" w:rsidRDefault="00562184" w:rsidP="00C447B7">
      <w:pPr>
        <w:rPr>
          <w:rFonts w:eastAsia="Times New Roman"/>
          <w:i/>
          <w:iCs/>
        </w:rPr>
      </w:pPr>
      <w:r w:rsidRPr="00F34914">
        <w:rPr>
          <w:rFonts w:eastAsia="Times New Roman"/>
          <w:b/>
          <w:bCs/>
        </w:rPr>
        <w:t xml:space="preserve">Table </w:t>
      </w:r>
      <w:r w:rsidR="00231C6F">
        <w:rPr>
          <w:rFonts w:eastAsia="Times New Roman"/>
          <w:b/>
          <w:bCs/>
        </w:rPr>
        <w:t>4.</w:t>
      </w:r>
      <w:r w:rsidR="006454B4">
        <w:rPr>
          <w:rFonts w:eastAsia="Times New Roman"/>
          <w:b/>
          <w:bCs/>
        </w:rPr>
        <w:t>1</w:t>
      </w:r>
      <w:r w:rsidR="00CF356D" w:rsidRPr="00CF356D">
        <w:rPr>
          <w:rFonts w:eastAsia="Times New Roman"/>
        </w:rPr>
        <w:t xml:space="preserve"> </w:t>
      </w:r>
      <w:r w:rsidR="00AB379C" w:rsidRPr="00F34914">
        <w:rPr>
          <w:rFonts w:eastAsia="Times New Roman"/>
        </w:rPr>
        <w:t>display</w:t>
      </w:r>
      <w:r w:rsidR="00AB379C">
        <w:rPr>
          <w:rFonts w:eastAsia="Times New Roman"/>
        </w:rPr>
        <w:t>s</w:t>
      </w:r>
      <w:r w:rsidR="00AB379C" w:rsidRPr="00F34914">
        <w:rPr>
          <w:rFonts w:eastAsia="Times New Roman"/>
        </w:rPr>
        <w:t xml:space="preserve"> </w:t>
      </w:r>
      <w:r w:rsidR="00AB379C">
        <w:rPr>
          <w:rFonts w:eastAsia="Times New Roman"/>
        </w:rPr>
        <w:t>UPMC’s</w:t>
      </w:r>
      <w:r w:rsidR="00AB379C" w:rsidRPr="00F34914">
        <w:rPr>
          <w:rFonts w:eastAsia="Times New Roman"/>
        </w:rPr>
        <w:t xml:space="preserve"> progr</w:t>
      </w:r>
      <w:r w:rsidR="00AB379C">
        <w:rPr>
          <w:rFonts w:eastAsia="Times New Roman"/>
        </w:rPr>
        <w:t xml:space="preserve">ess related to the </w:t>
      </w:r>
      <w:r w:rsidR="00AB379C" w:rsidRPr="00F94647">
        <w:rPr>
          <w:rFonts w:eastAsia="Times New Roman"/>
          <w:i/>
          <w:iCs/>
        </w:rPr>
        <w:t>202</w:t>
      </w:r>
      <w:r w:rsidR="00AB379C">
        <w:rPr>
          <w:rFonts w:eastAsia="Times New Roman"/>
          <w:i/>
          <w:iCs/>
        </w:rPr>
        <w:t>1</w:t>
      </w:r>
      <w:r w:rsidR="00AB379C" w:rsidRPr="00F94647">
        <w:rPr>
          <w:rFonts w:eastAsia="Times New Roman"/>
          <w:i/>
          <w:iCs/>
        </w:rPr>
        <w:t xml:space="preserve"> External Quality Review Report</w:t>
      </w:r>
      <w:r w:rsidR="00AB379C">
        <w:rPr>
          <w:rFonts w:eastAsia="Times New Roman"/>
          <w:i/>
          <w:iCs/>
        </w:rPr>
        <w:t>,</w:t>
      </w:r>
      <w:r w:rsidR="00AB379C" w:rsidRPr="00F34914">
        <w:rPr>
          <w:rFonts w:eastAsia="Times New Roman"/>
        </w:rPr>
        <w:t xml:space="preserve"> as well</w:t>
      </w:r>
      <w:r w:rsidR="00AB379C">
        <w:rPr>
          <w:rFonts w:eastAsia="Times New Roman"/>
        </w:rPr>
        <w:t xml:space="preserve"> as IPRO’s assessment of UPMC</w:t>
      </w:r>
      <w:r w:rsidR="00AB379C" w:rsidRPr="00F34914">
        <w:rPr>
          <w:rFonts w:eastAsia="Times New Roman"/>
        </w:rPr>
        <w:t>’s response</w:t>
      </w:r>
      <w:r w:rsidR="00E94039" w:rsidRPr="00F34914">
        <w:rPr>
          <w:rFonts w:eastAsia="Times New Roman"/>
        </w:rPr>
        <w:t>.</w:t>
      </w:r>
    </w:p>
    <w:p w14:paraId="4C9EDFB8" w14:textId="5BE1872D" w:rsidR="00562184" w:rsidRPr="00562184" w:rsidRDefault="00562184" w:rsidP="00C447B7">
      <w:pPr>
        <w:pStyle w:val="tableheading"/>
        <w:rPr>
          <w:b/>
          <w:iCs w:val="0"/>
        </w:rPr>
      </w:pPr>
      <w:bookmarkStart w:id="198" w:name="_Toc92376843"/>
      <w:bookmarkStart w:id="199" w:name="_Toc132641673"/>
      <w:r w:rsidRPr="00562184">
        <w:t xml:space="preserve">Table </w:t>
      </w:r>
      <w:r w:rsidRPr="00C447B7">
        <w:fldChar w:fldCharType="begin"/>
      </w:r>
      <w:r w:rsidRPr="00562184">
        <w:instrText xml:space="preserve"> SEQ Table \* ARABIC </w:instrText>
      </w:r>
      <w:r w:rsidRPr="00C447B7">
        <w:fldChar w:fldCharType="separate"/>
      </w:r>
      <w:r w:rsidR="00231C6F" w:rsidRPr="00C447B7">
        <w:t>4.1</w:t>
      </w:r>
      <w:r w:rsidRPr="00C447B7">
        <w:fldChar w:fldCharType="end"/>
      </w:r>
      <w:r w:rsidRPr="00562184">
        <w:t xml:space="preserve">: </w:t>
      </w:r>
      <w:r w:rsidR="00AB379C">
        <w:t>UPMC</w:t>
      </w:r>
      <w:r w:rsidR="006454B4" w:rsidRPr="006454B4">
        <w:t xml:space="preserve"> </w:t>
      </w:r>
      <w:r w:rsidRPr="00562184">
        <w:t>Response to Previous EQR Recommendations</w:t>
      </w:r>
      <w:bookmarkEnd w:id="198"/>
      <w:bookmarkEnd w:id="199"/>
    </w:p>
    <w:tbl>
      <w:tblPr>
        <w:tblStyle w:val="TableGrid"/>
        <w:tblW w:w="5000" w:type="pct"/>
        <w:tblLook w:val="04A0" w:firstRow="1" w:lastRow="0" w:firstColumn="1" w:lastColumn="0" w:noHBand="0" w:noVBand="1"/>
        <w:tblCaption w:val="MCP responses to previous ATR's EQR recommendations"/>
        <w:tblDescription w:val="MCP response to previous ATR's EQR recommendations and IPRO assessment of this response. IPRO assessments are as follows: addressed: MCP’s quality improvement (QI) response resulted in demonstrated improvement; partially addressed: MCP’s QI response was appropriate; however, improvement not yet observed; not addressed: MCP’s QI response did not address the recommendation; improvement not observed or performance decline observed."/>
      </w:tblPr>
      <w:tblGrid>
        <w:gridCol w:w="8964"/>
        <w:gridCol w:w="1826"/>
      </w:tblGrid>
      <w:tr w:rsidR="00AB379C" w:rsidRPr="001B4514" w14:paraId="4063D188" w14:textId="77777777" w:rsidTr="00980731">
        <w:trPr>
          <w:trHeight w:val="277"/>
          <w:tblHeader/>
        </w:trPr>
        <w:tc>
          <w:tcPr>
            <w:tcW w:w="4154" w:type="pct"/>
            <w:shd w:val="clear" w:color="auto" w:fill="5F497A" w:themeFill="accent4" w:themeFillShade="BF"/>
            <w:vAlign w:val="center"/>
          </w:tcPr>
          <w:p w14:paraId="20044D77" w14:textId="77777777" w:rsidR="00AB379C" w:rsidRPr="001B4514" w:rsidRDefault="00AB379C" w:rsidP="007055F6">
            <w:pPr>
              <w:jc w:val="center"/>
              <w:rPr>
                <w:b/>
                <w:color w:val="FFFFFF" w:themeColor="background1"/>
              </w:rPr>
            </w:pPr>
            <w:r w:rsidRPr="001B4514">
              <w:rPr>
                <w:b/>
                <w:color w:val="FFFFFF" w:themeColor="background1"/>
              </w:rPr>
              <w:t>Recommendation</w:t>
            </w:r>
            <w:r>
              <w:rPr>
                <w:b/>
                <w:color w:val="FFFFFF" w:themeColor="background1"/>
              </w:rPr>
              <w:t xml:space="preserve"> for UPMC</w:t>
            </w:r>
          </w:p>
        </w:tc>
        <w:tc>
          <w:tcPr>
            <w:tcW w:w="846" w:type="pct"/>
            <w:shd w:val="clear" w:color="auto" w:fill="5F497A" w:themeFill="accent4" w:themeFillShade="BF"/>
            <w:vAlign w:val="bottom"/>
          </w:tcPr>
          <w:p w14:paraId="601C7FE8" w14:textId="77777777" w:rsidR="00AB379C" w:rsidRPr="001B4514" w:rsidRDefault="00AB379C" w:rsidP="007055F6">
            <w:pPr>
              <w:jc w:val="center"/>
              <w:rPr>
                <w:b/>
                <w:color w:val="FFFFFF" w:themeColor="background1"/>
                <w:vertAlign w:val="superscript"/>
              </w:rPr>
            </w:pPr>
            <w:r w:rsidRPr="001B4514">
              <w:rPr>
                <w:b/>
                <w:color w:val="FFFFFF" w:themeColor="background1"/>
              </w:rPr>
              <w:t>IPRO Assessment of MC</w:t>
            </w:r>
            <w:r>
              <w:rPr>
                <w:b/>
                <w:color w:val="FFFFFF" w:themeColor="background1"/>
              </w:rPr>
              <w:t>O</w:t>
            </w:r>
            <w:r w:rsidRPr="001B4514">
              <w:rPr>
                <w:b/>
                <w:color w:val="FFFFFF" w:themeColor="background1"/>
              </w:rPr>
              <w:t xml:space="preserve"> Response</w:t>
            </w:r>
            <w:r>
              <w:rPr>
                <w:b/>
                <w:color w:val="FFFFFF" w:themeColor="background1"/>
                <w:vertAlign w:val="superscript"/>
              </w:rPr>
              <w:t>1</w:t>
            </w:r>
          </w:p>
        </w:tc>
      </w:tr>
      <w:tr w:rsidR="00AB379C" w:rsidRPr="001B4514" w14:paraId="79D5D59C" w14:textId="77777777" w:rsidTr="00980731">
        <w:trPr>
          <w:trHeight w:val="277"/>
        </w:trPr>
        <w:tc>
          <w:tcPr>
            <w:tcW w:w="4154" w:type="pct"/>
          </w:tcPr>
          <w:p w14:paraId="506A179C" w14:textId="1973BE73" w:rsidR="00AB379C" w:rsidRPr="001B4514" w:rsidRDefault="00AB379C" w:rsidP="007055F6">
            <w:r>
              <w:t xml:space="preserve">Improve </w:t>
            </w:r>
            <w:r w:rsidRPr="001A68B2">
              <w:t>Annual Dental Visit (</w:t>
            </w:r>
            <w:r w:rsidR="00ED244F">
              <w:t xml:space="preserve">Ages </w:t>
            </w:r>
            <w:r w:rsidRPr="001A68B2">
              <w:t>11–14 years)</w:t>
            </w:r>
          </w:p>
        </w:tc>
        <w:tc>
          <w:tcPr>
            <w:tcW w:w="846" w:type="pct"/>
          </w:tcPr>
          <w:p w14:paraId="1118A746" w14:textId="77777777" w:rsidR="00AB379C" w:rsidRPr="001B4514" w:rsidRDefault="00AB379C" w:rsidP="007055F6">
            <w:pPr>
              <w:jc w:val="center"/>
            </w:pPr>
            <w:r>
              <w:t>Addressed</w:t>
            </w:r>
          </w:p>
        </w:tc>
      </w:tr>
      <w:tr w:rsidR="00AB379C" w:rsidRPr="001B4514" w14:paraId="565B35D7" w14:textId="77777777" w:rsidTr="00980731">
        <w:trPr>
          <w:trHeight w:val="277"/>
        </w:trPr>
        <w:tc>
          <w:tcPr>
            <w:tcW w:w="4154" w:type="pct"/>
          </w:tcPr>
          <w:p w14:paraId="1B70AFD2" w14:textId="335D59A0" w:rsidR="00AB379C" w:rsidRPr="001B4514" w:rsidRDefault="00AB379C" w:rsidP="007055F6">
            <w:r>
              <w:t xml:space="preserve">Improve </w:t>
            </w:r>
            <w:r w:rsidRPr="001A68B2">
              <w:t>Annual Dental Visit (</w:t>
            </w:r>
            <w:r w:rsidR="00ED244F">
              <w:t xml:space="preserve">Ages </w:t>
            </w:r>
            <w:r w:rsidRPr="001A68B2">
              <w:t>15–18 years)</w:t>
            </w:r>
          </w:p>
        </w:tc>
        <w:tc>
          <w:tcPr>
            <w:tcW w:w="846" w:type="pct"/>
          </w:tcPr>
          <w:p w14:paraId="4D15BF5D" w14:textId="77777777" w:rsidR="00AB379C" w:rsidRPr="001B4514" w:rsidRDefault="00AB379C" w:rsidP="007055F6">
            <w:pPr>
              <w:jc w:val="center"/>
            </w:pPr>
            <w:r>
              <w:t>Addressed</w:t>
            </w:r>
          </w:p>
        </w:tc>
      </w:tr>
    </w:tbl>
    <w:p w14:paraId="09E2F6E0" w14:textId="573E90A5" w:rsidR="00562184" w:rsidRPr="00980731" w:rsidRDefault="00562184" w:rsidP="00980731">
      <w:pPr>
        <w:pStyle w:val="NormalWeb"/>
        <w:shd w:val="clear" w:color="auto" w:fill="FFFFFF"/>
        <w:spacing w:before="0" w:beforeAutospacing="0" w:after="0" w:afterAutospacing="0"/>
        <w:jc w:val="both"/>
        <w:rPr>
          <w:rFonts w:asciiTheme="minorHAnsi" w:hAnsiTheme="minorHAnsi" w:cstheme="minorHAnsi"/>
          <w:color w:val="201F1E"/>
          <w:sz w:val="20"/>
          <w:szCs w:val="20"/>
        </w:rPr>
      </w:pPr>
      <w:r w:rsidRPr="00980731">
        <w:rPr>
          <w:rFonts w:asciiTheme="minorHAnsi" w:hAnsiTheme="minorHAnsi" w:cstheme="minorHAnsi"/>
          <w:sz w:val="20"/>
          <w:szCs w:val="20"/>
          <w:vertAlign w:val="superscript"/>
        </w:rPr>
        <w:t>1</w:t>
      </w:r>
      <w:r w:rsidRPr="00980731">
        <w:rPr>
          <w:rFonts w:asciiTheme="minorHAnsi" w:hAnsiTheme="minorHAnsi" w:cstheme="minorHAnsi"/>
          <w:sz w:val="20"/>
          <w:szCs w:val="20"/>
        </w:rPr>
        <w:t xml:space="preserve"> IPRO assessments are as follows: </w:t>
      </w:r>
      <w:r w:rsidRPr="00980731">
        <w:rPr>
          <w:rFonts w:asciiTheme="minorHAnsi" w:hAnsiTheme="minorHAnsi" w:cstheme="minorHAnsi"/>
          <w:b/>
          <w:sz w:val="20"/>
          <w:szCs w:val="20"/>
        </w:rPr>
        <w:t>addressed</w:t>
      </w:r>
      <w:r w:rsidRPr="00980731">
        <w:rPr>
          <w:rFonts w:asciiTheme="minorHAnsi" w:hAnsiTheme="minorHAnsi" w:cstheme="minorHAnsi"/>
          <w:sz w:val="20"/>
          <w:szCs w:val="20"/>
        </w:rPr>
        <w:t xml:space="preserve">: </w:t>
      </w:r>
      <w:r w:rsidR="006440FF" w:rsidRPr="00980731">
        <w:rPr>
          <w:rFonts w:asciiTheme="minorHAnsi" w:hAnsiTheme="minorHAnsi" w:cstheme="minorHAnsi"/>
          <w:color w:val="201F1E"/>
          <w:sz w:val="20"/>
          <w:szCs w:val="20"/>
        </w:rPr>
        <w:t>MCO’s</w:t>
      </w:r>
      <w:r w:rsidRPr="00980731">
        <w:rPr>
          <w:rFonts w:asciiTheme="minorHAnsi" w:hAnsiTheme="minorHAnsi" w:cstheme="minorHAnsi"/>
          <w:color w:val="201F1E"/>
          <w:sz w:val="20"/>
          <w:szCs w:val="20"/>
        </w:rPr>
        <w:t xml:space="preserve"> quality improvement (QI) response resulted in demonstrated improvement; </w:t>
      </w:r>
      <w:r w:rsidRPr="00980731">
        <w:rPr>
          <w:rFonts w:asciiTheme="minorHAnsi" w:hAnsiTheme="minorHAnsi" w:cstheme="minorHAnsi"/>
          <w:b/>
          <w:sz w:val="20"/>
          <w:szCs w:val="20"/>
        </w:rPr>
        <w:t>partially addressed</w:t>
      </w:r>
      <w:r w:rsidRPr="00980731">
        <w:rPr>
          <w:rFonts w:asciiTheme="minorHAnsi" w:hAnsiTheme="minorHAnsi" w:cstheme="minorHAnsi"/>
          <w:sz w:val="20"/>
          <w:szCs w:val="20"/>
        </w:rPr>
        <w:t xml:space="preserve">: either of the following 1) </w:t>
      </w:r>
      <w:r w:rsidRPr="00980731">
        <w:rPr>
          <w:rFonts w:asciiTheme="minorHAnsi" w:hAnsiTheme="minorHAnsi" w:cstheme="minorHAnsi"/>
          <w:color w:val="201F1E"/>
          <w:sz w:val="20"/>
          <w:szCs w:val="20"/>
        </w:rPr>
        <w:t xml:space="preserve">improvement was observed, but identified as an opportunity for current year; or 2) improvement not observed, but not identified as an opportunity for current year; </w:t>
      </w:r>
      <w:r w:rsidRPr="00980731">
        <w:rPr>
          <w:rFonts w:ascii="Calibri" w:hAnsi="Calibri" w:cs="Calibri"/>
          <w:b/>
          <w:color w:val="000000"/>
          <w:sz w:val="20"/>
          <w:szCs w:val="20"/>
          <w:shd w:val="clear" w:color="auto" w:fill="FFFFFF"/>
        </w:rPr>
        <w:t>remains an opportunity for improvement</w:t>
      </w:r>
      <w:r w:rsidRPr="00980731">
        <w:rPr>
          <w:rFonts w:asciiTheme="minorHAnsi" w:hAnsiTheme="minorHAnsi" w:cstheme="minorHAnsi"/>
          <w:color w:val="201F1E"/>
          <w:sz w:val="20"/>
          <w:szCs w:val="20"/>
        </w:rPr>
        <w:t xml:space="preserve">: </w:t>
      </w:r>
      <w:r w:rsidR="006440FF" w:rsidRPr="00980731">
        <w:rPr>
          <w:rFonts w:asciiTheme="minorHAnsi" w:hAnsiTheme="minorHAnsi" w:cstheme="minorHAnsi"/>
          <w:color w:val="201F1E"/>
          <w:sz w:val="20"/>
          <w:szCs w:val="20"/>
        </w:rPr>
        <w:t>MCO’s</w:t>
      </w:r>
      <w:r w:rsidRPr="00980731">
        <w:rPr>
          <w:rFonts w:asciiTheme="minorHAnsi" w:hAnsiTheme="minorHAnsi" w:cstheme="minorHAnsi"/>
          <w:color w:val="201F1E"/>
          <w:sz w:val="20"/>
          <w:szCs w:val="20"/>
        </w:rPr>
        <w:t xml:space="preserve"> QI response did not address the recommendation; improvement was not observed or performance declined.</w:t>
      </w:r>
    </w:p>
    <w:p w14:paraId="7AC23665" w14:textId="06DF47B3" w:rsidR="0073486D" w:rsidRDefault="006440FF" w:rsidP="0073486D">
      <w:pPr>
        <w:spacing w:after="480"/>
        <w:rPr>
          <w:rFonts w:asciiTheme="majorHAnsi" w:eastAsiaTheme="majorEastAsia" w:hAnsiTheme="majorHAnsi" w:cstheme="majorBidi"/>
          <w:b/>
          <w:bCs/>
          <w:color w:val="365F91" w:themeColor="accent1" w:themeShade="BF"/>
          <w:sz w:val="28"/>
          <w:szCs w:val="28"/>
        </w:rPr>
      </w:pPr>
      <w:r w:rsidRPr="00980731">
        <w:rPr>
          <w:rFonts w:cstheme="minorHAnsi"/>
          <w:sz w:val="20"/>
          <w:szCs w:val="20"/>
        </w:rPr>
        <w:t>MCO</w:t>
      </w:r>
      <w:r w:rsidR="00562184" w:rsidRPr="00980731">
        <w:rPr>
          <w:rFonts w:cstheme="minorHAnsi"/>
          <w:sz w:val="20"/>
          <w:szCs w:val="20"/>
        </w:rPr>
        <w:t xml:space="preserve">: managed care </w:t>
      </w:r>
      <w:r w:rsidRPr="00980731">
        <w:rPr>
          <w:rFonts w:cstheme="minorHAnsi"/>
          <w:sz w:val="20"/>
          <w:szCs w:val="20"/>
        </w:rPr>
        <w:t>organization</w:t>
      </w:r>
      <w:r w:rsidR="00562184" w:rsidRPr="00980731">
        <w:rPr>
          <w:rFonts w:cstheme="minorHAnsi"/>
          <w:sz w:val="20"/>
          <w:szCs w:val="20"/>
        </w:rPr>
        <w:t>; EQR: external quality review</w:t>
      </w:r>
      <w:r w:rsidRPr="00980731">
        <w:rPr>
          <w:rFonts w:cstheme="minorHAnsi"/>
          <w:sz w:val="20"/>
          <w:szCs w:val="20"/>
        </w:rPr>
        <w:t>.</w:t>
      </w:r>
      <w:r w:rsidRPr="00980731" w:rsidDel="006440FF">
        <w:rPr>
          <w:rFonts w:cstheme="minorHAnsi"/>
          <w:sz w:val="20"/>
          <w:szCs w:val="20"/>
        </w:rPr>
        <w:t xml:space="preserve"> </w:t>
      </w:r>
      <w:bookmarkStart w:id="200" w:name="_Toc35593614"/>
      <w:r w:rsidR="0073486D">
        <w:br w:type="page"/>
      </w:r>
    </w:p>
    <w:p w14:paraId="19DDBB24" w14:textId="16AAA46A" w:rsidR="004630E7" w:rsidRPr="00F7033D" w:rsidRDefault="004630E7" w:rsidP="004630E7">
      <w:pPr>
        <w:pStyle w:val="Heading1"/>
      </w:pPr>
      <w:bookmarkStart w:id="201" w:name="_Toc132641641"/>
      <w:r w:rsidRPr="00F7033D">
        <w:lastRenderedPageBreak/>
        <w:t xml:space="preserve">V: </w:t>
      </w:r>
      <w:r w:rsidR="009830D8" w:rsidRPr="00F7033D">
        <w:t>Strengths</w:t>
      </w:r>
      <w:r w:rsidR="009830D8">
        <w:t>,</w:t>
      </w:r>
      <w:r w:rsidR="009830D8" w:rsidRPr="00F7033D">
        <w:t xml:space="preserve"> Opportunities for Improvement</w:t>
      </w:r>
      <w:r w:rsidR="009830D8">
        <w:t>,</w:t>
      </w:r>
      <w:r w:rsidR="009830D8" w:rsidRPr="00F7033D">
        <w:rPr>
          <w:lang w:eastAsia="zh-TW"/>
        </w:rPr>
        <w:t xml:space="preserve"> </w:t>
      </w:r>
      <w:r w:rsidR="009830D8" w:rsidRPr="00F7033D">
        <w:t>and EQR Recommendations</w:t>
      </w:r>
      <w:bookmarkEnd w:id="201"/>
    </w:p>
    <w:p w14:paraId="38640A4A" w14:textId="77777777" w:rsidR="00AB379C" w:rsidRPr="00F7033D" w:rsidRDefault="00AB379C" w:rsidP="00AB379C">
      <w:r w:rsidRPr="00F7033D">
        <w:t>The review of the MCO’s MY 202</w:t>
      </w:r>
      <w:r>
        <w:t>1</w:t>
      </w:r>
      <w:r w:rsidRPr="00F7033D">
        <w:t xml:space="preserve"> performance against Medicaid and CHIP managed care regulations, performance improvement projects and performance measures identified strengths and opportunities for improvement in the quality outcomes, timeliness of, and access to services for CHIP members served by this MCO.</w:t>
      </w:r>
    </w:p>
    <w:p w14:paraId="70EB7AD1" w14:textId="77777777" w:rsidR="00AB379C" w:rsidRPr="00F7033D" w:rsidRDefault="00AB379C" w:rsidP="00AB379C">
      <w:pPr>
        <w:pStyle w:val="Heading2"/>
      </w:pPr>
      <w:bookmarkStart w:id="202" w:name="_Toc442196293"/>
      <w:bookmarkStart w:id="203" w:name="_Toc447022734"/>
      <w:bookmarkStart w:id="204" w:name="_Toc447022869"/>
      <w:bookmarkStart w:id="205" w:name="_Toc447034828"/>
      <w:bookmarkStart w:id="206" w:name="_Toc447725860"/>
      <w:bookmarkStart w:id="207" w:name="_Toc449099979"/>
      <w:bookmarkStart w:id="208" w:name="_Toc512521034"/>
      <w:bookmarkStart w:id="209" w:name="_Toc98922485"/>
      <w:bookmarkStart w:id="210" w:name="_Toc132641642"/>
      <w:r w:rsidRPr="00DB0649">
        <w:t>Strengths</w:t>
      </w:r>
      <w:bookmarkStart w:id="211" w:name="_Toc512521035"/>
      <w:bookmarkEnd w:id="202"/>
      <w:bookmarkEnd w:id="203"/>
      <w:bookmarkEnd w:id="204"/>
      <w:bookmarkEnd w:id="205"/>
      <w:bookmarkEnd w:id="206"/>
      <w:bookmarkEnd w:id="207"/>
      <w:bookmarkEnd w:id="208"/>
      <w:bookmarkEnd w:id="209"/>
      <w:bookmarkEnd w:id="210"/>
    </w:p>
    <w:p w14:paraId="14D39E23" w14:textId="77777777" w:rsidR="00AB379C" w:rsidRPr="00F7033D" w:rsidRDefault="00AB379C" w:rsidP="00AB379C">
      <w:pPr>
        <w:pStyle w:val="ListParagraph"/>
        <w:numPr>
          <w:ilvl w:val="0"/>
          <w:numId w:val="10"/>
        </w:numPr>
      </w:pPr>
      <w:r w:rsidRPr="00F7033D">
        <w:t>The MCO’s performance was statistically significantly above/better than the MMC weighted average in 202</w:t>
      </w:r>
      <w:r>
        <w:t>2</w:t>
      </w:r>
      <w:r w:rsidRPr="00F7033D">
        <w:t xml:space="preserve"> (MY 202</w:t>
      </w:r>
      <w:r>
        <w:t>1</w:t>
      </w:r>
      <w:r w:rsidRPr="00F7033D">
        <w:t>) on the following measures:</w:t>
      </w:r>
    </w:p>
    <w:p w14:paraId="15666216" w14:textId="4007F1BB" w:rsidR="00AB379C" w:rsidRDefault="00AB379C" w:rsidP="009830D8">
      <w:pPr>
        <w:pStyle w:val="ListParagraph"/>
        <w:numPr>
          <w:ilvl w:val="1"/>
          <w:numId w:val="10"/>
        </w:numPr>
        <w:ind w:left="1080"/>
      </w:pPr>
      <w:r w:rsidRPr="00975611">
        <w:t>Contraceptive Care for All Women (</w:t>
      </w:r>
      <w:r w:rsidR="00D977CD">
        <w:t xml:space="preserve">Ages </w:t>
      </w:r>
      <w:r w:rsidRPr="00975611">
        <w:t>15–20 years): Most or Moderately Effective</w:t>
      </w:r>
      <w:r>
        <w:t>;</w:t>
      </w:r>
    </w:p>
    <w:p w14:paraId="13CD9068" w14:textId="1EF83AE9" w:rsidR="00AB379C" w:rsidRDefault="00AB379C" w:rsidP="009830D8">
      <w:pPr>
        <w:pStyle w:val="ListParagraph"/>
        <w:numPr>
          <w:ilvl w:val="1"/>
          <w:numId w:val="10"/>
        </w:numPr>
        <w:ind w:left="1080"/>
      </w:pPr>
      <w:r>
        <w:t>Well-Child Visits in the First 30 Months of Life (</w:t>
      </w:r>
      <w:r w:rsidR="00D977CD">
        <w:t xml:space="preserve">Age </w:t>
      </w:r>
      <w:r>
        <w:t>15 months ≥ 6 Visits);</w:t>
      </w:r>
    </w:p>
    <w:p w14:paraId="502991EA" w14:textId="28538C67" w:rsidR="00AB379C" w:rsidRDefault="00AB379C" w:rsidP="009830D8">
      <w:pPr>
        <w:pStyle w:val="ListParagraph"/>
        <w:numPr>
          <w:ilvl w:val="1"/>
          <w:numId w:val="10"/>
        </w:numPr>
        <w:ind w:left="1080"/>
      </w:pPr>
      <w:r>
        <w:t>Well-Child Visits in the First 30 Months of Life (</w:t>
      </w:r>
      <w:r w:rsidR="00D977CD">
        <w:t xml:space="preserve">Ages </w:t>
      </w:r>
      <w:r>
        <w:t>15</w:t>
      </w:r>
      <w:r w:rsidR="00D977CD">
        <w:t>–</w:t>
      </w:r>
      <w:r>
        <w:t>30 months ≥ 2 Visits);</w:t>
      </w:r>
    </w:p>
    <w:p w14:paraId="65CF9752" w14:textId="77777777" w:rsidR="00AB379C" w:rsidRDefault="00AB379C" w:rsidP="009830D8">
      <w:pPr>
        <w:pStyle w:val="ListParagraph"/>
        <w:numPr>
          <w:ilvl w:val="1"/>
          <w:numId w:val="10"/>
        </w:numPr>
        <w:ind w:left="1080"/>
      </w:pPr>
      <w:r>
        <w:t>Lead Screening in Children (2 years);</w:t>
      </w:r>
    </w:p>
    <w:p w14:paraId="67ED1268" w14:textId="77777777" w:rsidR="00AB379C" w:rsidRDefault="00AB379C" w:rsidP="009830D8">
      <w:pPr>
        <w:pStyle w:val="ListParagraph"/>
        <w:numPr>
          <w:ilvl w:val="1"/>
          <w:numId w:val="10"/>
        </w:numPr>
        <w:ind w:left="1080"/>
      </w:pPr>
      <w:r>
        <w:t>Developmental Screening in the First Three Years of Life— Total;</w:t>
      </w:r>
    </w:p>
    <w:p w14:paraId="0CE81606" w14:textId="77777777" w:rsidR="00AB379C" w:rsidRDefault="00AB379C" w:rsidP="009830D8">
      <w:pPr>
        <w:pStyle w:val="ListParagraph"/>
        <w:numPr>
          <w:ilvl w:val="1"/>
          <w:numId w:val="10"/>
        </w:numPr>
        <w:ind w:left="1080"/>
      </w:pPr>
      <w:r>
        <w:t>Developmental Screening in the First Three Years of Life—1 year;</w:t>
      </w:r>
    </w:p>
    <w:p w14:paraId="3EA1896B" w14:textId="77777777" w:rsidR="00AB379C" w:rsidRDefault="00AB379C" w:rsidP="009830D8">
      <w:pPr>
        <w:pStyle w:val="ListParagraph"/>
        <w:numPr>
          <w:ilvl w:val="1"/>
          <w:numId w:val="10"/>
        </w:numPr>
        <w:ind w:left="1080"/>
      </w:pPr>
      <w:r>
        <w:t>Developmental Screening in the First Three Years of Life—2 years;</w:t>
      </w:r>
    </w:p>
    <w:p w14:paraId="5621B246" w14:textId="77777777" w:rsidR="00AB379C" w:rsidRDefault="00AB379C" w:rsidP="009830D8">
      <w:pPr>
        <w:pStyle w:val="ListParagraph"/>
        <w:numPr>
          <w:ilvl w:val="1"/>
          <w:numId w:val="10"/>
        </w:numPr>
        <w:ind w:left="1080"/>
      </w:pPr>
      <w:r>
        <w:t>Developmental Screening in the First Three Years of Life—3 years;</w:t>
      </w:r>
    </w:p>
    <w:p w14:paraId="65C1108D" w14:textId="77777777" w:rsidR="00AB379C" w:rsidRDefault="00AB379C" w:rsidP="009830D8">
      <w:pPr>
        <w:pStyle w:val="ListParagraph"/>
        <w:numPr>
          <w:ilvl w:val="1"/>
          <w:numId w:val="10"/>
        </w:numPr>
        <w:ind w:left="1080"/>
      </w:pPr>
      <w:r>
        <w:t>Follow Up Care for Children Prescribed ADHD Medication— Initiation Phase;</w:t>
      </w:r>
    </w:p>
    <w:p w14:paraId="3AA4EB5B" w14:textId="41B88D26" w:rsidR="00AB379C" w:rsidRDefault="00AB379C" w:rsidP="009830D8">
      <w:pPr>
        <w:pStyle w:val="ListParagraph"/>
        <w:numPr>
          <w:ilvl w:val="1"/>
          <w:numId w:val="10"/>
        </w:numPr>
        <w:ind w:left="1080"/>
      </w:pPr>
      <w:r>
        <w:t>Appropriate Testing for Children with Pharyngitis (</w:t>
      </w:r>
      <w:r w:rsidR="00D977CD">
        <w:t>Ages</w:t>
      </w:r>
      <w:r>
        <w:t xml:space="preserve"> 3–17 years); and</w:t>
      </w:r>
    </w:p>
    <w:p w14:paraId="63E5DEBE" w14:textId="155CCD39" w:rsidR="00AB379C" w:rsidRPr="00F7033D" w:rsidRDefault="00AB379C" w:rsidP="009830D8">
      <w:pPr>
        <w:pStyle w:val="ListParagraph"/>
        <w:numPr>
          <w:ilvl w:val="1"/>
          <w:numId w:val="10"/>
        </w:numPr>
        <w:ind w:left="1080"/>
      </w:pPr>
      <w:r>
        <w:t>Asthma Medication Ratio (</w:t>
      </w:r>
      <w:r w:rsidR="00D977CD">
        <w:t xml:space="preserve">Ages </w:t>
      </w:r>
      <w:r>
        <w:t>5–11 years).</w:t>
      </w:r>
    </w:p>
    <w:p w14:paraId="049F1351" w14:textId="77777777" w:rsidR="00AB379C" w:rsidRPr="00F7033D" w:rsidRDefault="00AB379C" w:rsidP="00AB379C">
      <w:pPr>
        <w:pStyle w:val="ListParagraph"/>
      </w:pPr>
    </w:p>
    <w:p w14:paraId="65B4BA4E" w14:textId="77777777" w:rsidR="00AB379C" w:rsidRPr="00DC568D" w:rsidRDefault="00AB379C" w:rsidP="00AB379C">
      <w:pPr>
        <w:pStyle w:val="ListParagraph"/>
        <w:numPr>
          <w:ilvl w:val="0"/>
          <w:numId w:val="10"/>
        </w:numPr>
      </w:pPr>
      <w:bookmarkStart w:id="212" w:name="_Hlk98406849"/>
      <w:r w:rsidRPr="00DC568D">
        <w:t>UPMC was found to be fully compliant on all</w:t>
      </w:r>
      <w:r w:rsidRPr="00DC568D">
        <w:rPr>
          <w:lang w:bidi="en-US"/>
        </w:rPr>
        <w:t xml:space="preserve"> contracts and with state and federal </w:t>
      </w:r>
      <w:r w:rsidRPr="00DC568D">
        <w:t>managed care regulations reviewed.</w:t>
      </w:r>
    </w:p>
    <w:p w14:paraId="615C1ECC" w14:textId="77777777" w:rsidR="00AB379C" w:rsidRPr="00F7033D" w:rsidRDefault="00AB379C" w:rsidP="00AB379C">
      <w:pPr>
        <w:pStyle w:val="Heading2"/>
      </w:pPr>
      <w:bookmarkStart w:id="213" w:name="_Toc98922486"/>
      <w:bookmarkStart w:id="214" w:name="_Toc132641643"/>
      <w:bookmarkEnd w:id="212"/>
      <w:r w:rsidRPr="00DB0649">
        <w:t>Opportunities for Improvement</w:t>
      </w:r>
      <w:bookmarkEnd w:id="211"/>
      <w:bookmarkEnd w:id="213"/>
      <w:bookmarkEnd w:id="214"/>
      <w:r w:rsidRPr="00F7033D">
        <w:t xml:space="preserve"> </w:t>
      </w:r>
    </w:p>
    <w:p w14:paraId="2616577F" w14:textId="77777777" w:rsidR="00AB379C" w:rsidRPr="00DC568D" w:rsidRDefault="00AB379C" w:rsidP="00AB379C">
      <w:pPr>
        <w:pStyle w:val="ListParagraph"/>
        <w:numPr>
          <w:ilvl w:val="0"/>
          <w:numId w:val="10"/>
        </w:numPr>
      </w:pPr>
      <w:r w:rsidRPr="00DC568D">
        <w:t xml:space="preserve">UPMC was found to be partially compliant on one element reviewed for the Dental PIP: Element 2. Aim. </w:t>
      </w:r>
    </w:p>
    <w:p w14:paraId="42275F61" w14:textId="77777777" w:rsidR="00AB379C" w:rsidRPr="00DC568D" w:rsidRDefault="00AB379C" w:rsidP="00AB379C">
      <w:pPr>
        <w:pStyle w:val="ListParagraph"/>
        <w:numPr>
          <w:ilvl w:val="0"/>
          <w:numId w:val="10"/>
        </w:numPr>
      </w:pPr>
      <w:r w:rsidRPr="00DC568D">
        <w:t>UPMC was found to be partially compliant on three elements reviewed for the Lead Screening PIP: Element 2. Aim, Element 3. Methodology, and Element 5. Robust Interventions.</w:t>
      </w:r>
    </w:p>
    <w:p w14:paraId="7B82E793" w14:textId="77777777" w:rsidR="00AB379C" w:rsidRPr="00F7033D" w:rsidRDefault="00AB379C" w:rsidP="00AB379C">
      <w:pPr>
        <w:pStyle w:val="ListParagraph"/>
      </w:pPr>
    </w:p>
    <w:p w14:paraId="67FADC59" w14:textId="77777777" w:rsidR="00AB379C" w:rsidRPr="00F7033D" w:rsidRDefault="00AB379C" w:rsidP="00AB379C">
      <w:pPr>
        <w:pStyle w:val="ListParagraph"/>
        <w:numPr>
          <w:ilvl w:val="0"/>
          <w:numId w:val="10"/>
        </w:numPr>
      </w:pPr>
      <w:r w:rsidRPr="00F7033D">
        <w:t>The MCO’s performance was statistically significantly below/worse than the MMC rate in 202</w:t>
      </w:r>
      <w:r>
        <w:t>2</w:t>
      </w:r>
      <w:r w:rsidRPr="00F7033D">
        <w:t xml:space="preserve"> (MY 202</w:t>
      </w:r>
      <w:r>
        <w:t>1</w:t>
      </w:r>
      <w:r w:rsidRPr="00F7033D">
        <w:t>) as indicated by the following measures:</w:t>
      </w:r>
    </w:p>
    <w:p w14:paraId="1DE43C8B" w14:textId="77777777" w:rsidR="00AB379C" w:rsidRDefault="00AB379C" w:rsidP="009830D8">
      <w:pPr>
        <w:pStyle w:val="ListParagraph"/>
        <w:numPr>
          <w:ilvl w:val="1"/>
          <w:numId w:val="10"/>
        </w:numPr>
        <w:ind w:left="1080"/>
      </w:pPr>
      <w:r>
        <w:t>Weight Assessment and Counseling for Nutrition and Physical Activity for Children/Adolescents—BMI percentile (Total);</w:t>
      </w:r>
    </w:p>
    <w:p w14:paraId="57F35DC9" w14:textId="326F8BE7" w:rsidR="00AB379C" w:rsidRDefault="00AB379C" w:rsidP="009830D8">
      <w:pPr>
        <w:pStyle w:val="ListParagraph"/>
        <w:numPr>
          <w:ilvl w:val="1"/>
          <w:numId w:val="10"/>
        </w:numPr>
        <w:ind w:left="1080"/>
      </w:pPr>
      <w:r>
        <w:t>Weight Assessment and Counseling for Nutrition and Physical Activity for Children/Adolescents—Counseling for Nutrition (</w:t>
      </w:r>
      <w:r w:rsidR="00D977CD">
        <w:t xml:space="preserve">Ages </w:t>
      </w:r>
      <w:r>
        <w:t>3–11 years);</w:t>
      </w:r>
    </w:p>
    <w:p w14:paraId="2E61D830" w14:textId="449A6B78" w:rsidR="00AB379C" w:rsidRDefault="00AB379C" w:rsidP="009830D8">
      <w:pPr>
        <w:pStyle w:val="ListParagraph"/>
        <w:numPr>
          <w:ilvl w:val="1"/>
          <w:numId w:val="10"/>
        </w:numPr>
        <w:ind w:left="1080"/>
      </w:pPr>
      <w:r>
        <w:t>Weight Assessment and Counseling for Nutrition and Physical Activity for Children/Adolescents—Counseling for Nutrition (</w:t>
      </w:r>
      <w:r w:rsidR="00D977CD">
        <w:t xml:space="preserve">Ages </w:t>
      </w:r>
      <w:r>
        <w:t>12–17 years);</w:t>
      </w:r>
    </w:p>
    <w:p w14:paraId="7AAF800D" w14:textId="77777777" w:rsidR="00AB379C" w:rsidRDefault="00AB379C" w:rsidP="009830D8">
      <w:pPr>
        <w:pStyle w:val="ListParagraph"/>
        <w:numPr>
          <w:ilvl w:val="1"/>
          <w:numId w:val="10"/>
        </w:numPr>
        <w:ind w:left="1080"/>
      </w:pPr>
      <w:r>
        <w:t>Weight Assessment and Counseling for Nutrition and Physical Activity for Children/Adolescents—Counseling for Nutrition (Total);</w:t>
      </w:r>
    </w:p>
    <w:p w14:paraId="39D07207" w14:textId="0881D514" w:rsidR="00AB379C" w:rsidRDefault="00AB379C" w:rsidP="009830D8">
      <w:pPr>
        <w:pStyle w:val="ListParagraph"/>
        <w:numPr>
          <w:ilvl w:val="1"/>
          <w:numId w:val="10"/>
        </w:numPr>
        <w:ind w:left="1080"/>
      </w:pPr>
      <w:r>
        <w:t>Weight Assessment and Counseling for Nutrition and Physical Activity for Children/Adolescents—Counseling for Physical Activity (</w:t>
      </w:r>
      <w:r w:rsidR="00D977CD">
        <w:t xml:space="preserve">Ages </w:t>
      </w:r>
      <w:r>
        <w:t>12–17 years);</w:t>
      </w:r>
    </w:p>
    <w:p w14:paraId="0CB34166" w14:textId="77777777" w:rsidR="00AB379C" w:rsidRDefault="00AB379C" w:rsidP="009830D8">
      <w:pPr>
        <w:pStyle w:val="ListParagraph"/>
        <w:numPr>
          <w:ilvl w:val="1"/>
          <w:numId w:val="10"/>
        </w:numPr>
        <w:ind w:left="1080"/>
      </w:pPr>
      <w:r>
        <w:t>Weight Assessment and Counseling for Nutrition and Physical Activity for Children/Adolescents—Counseling for Physical Activity (Total);</w:t>
      </w:r>
    </w:p>
    <w:p w14:paraId="53E0AB23" w14:textId="7D8F8418" w:rsidR="00AB379C" w:rsidRDefault="00AB379C" w:rsidP="009830D8">
      <w:pPr>
        <w:pStyle w:val="ListParagraph"/>
        <w:numPr>
          <w:ilvl w:val="1"/>
          <w:numId w:val="10"/>
        </w:numPr>
        <w:ind w:left="1080"/>
      </w:pPr>
      <w:r>
        <w:t>Annual Dental Visit (</w:t>
      </w:r>
      <w:r w:rsidR="00D977CD">
        <w:t xml:space="preserve">Ages </w:t>
      </w:r>
      <w:r>
        <w:t>2–3 years);</w:t>
      </w:r>
    </w:p>
    <w:p w14:paraId="6D1249AF" w14:textId="57006544" w:rsidR="00AB379C" w:rsidRDefault="00AB379C" w:rsidP="009830D8">
      <w:pPr>
        <w:pStyle w:val="ListParagraph"/>
        <w:numPr>
          <w:ilvl w:val="1"/>
          <w:numId w:val="10"/>
        </w:numPr>
        <w:ind w:left="1080"/>
      </w:pPr>
      <w:r>
        <w:t>Annual Dental Visit (</w:t>
      </w:r>
      <w:r w:rsidR="00D977CD">
        <w:t xml:space="preserve">Ages </w:t>
      </w:r>
      <w:r>
        <w:t>11–14 years);</w:t>
      </w:r>
    </w:p>
    <w:p w14:paraId="71A1B4F5" w14:textId="3012FDD3" w:rsidR="00AB379C" w:rsidRDefault="00AB379C" w:rsidP="009830D8">
      <w:pPr>
        <w:pStyle w:val="ListParagraph"/>
        <w:numPr>
          <w:ilvl w:val="1"/>
          <w:numId w:val="10"/>
        </w:numPr>
        <w:ind w:left="1080"/>
      </w:pPr>
      <w:r>
        <w:t>Annual Dental Visit (</w:t>
      </w:r>
      <w:r w:rsidR="00D977CD">
        <w:t xml:space="preserve">Ages </w:t>
      </w:r>
      <w:r>
        <w:t>15–18 years);</w:t>
      </w:r>
    </w:p>
    <w:p w14:paraId="63A81AE8" w14:textId="77777777" w:rsidR="00AB379C" w:rsidRDefault="00AB379C" w:rsidP="009830D8">
      <w:pPr>
        <w:pStyle w:val="ListParagraph"/>
        <w:numPr>
          <w:ilvl w:val="1"/>
          <w:numId w:val="10"/>
        </w:numPr>
        <w:ind w:left="1080"/>
      </w:pPr>
      <w:r>
        <w:t>Annual Dental Visit (Total);</w:t>
      </w:r>
    </w:p>
    <w:p w14:paraId="431D1285" w14:textId="77777777" w:rsidR="00AB379C" w:rsidRDefault="00AB379C" w:rsidP="009830D8">
      <w:pPr>
        <w:pStyle w:val="ListParagraph"/>
        <w:numPr>
          <w:ilvl w:val="1"/>
          <w:numId w:val="10"/>
        </w:numPr>
        <w:ind w:left="1080"/>
      </w:pPr>
      <w:r>
        <w:t>Sealant Receipt on Permanent First Molars (≥ 1 Molar); and</w:t>
      </w:r>
    </w:p>
    <w:p w14:paraId="4D5C42CB" w14:textId="77777777" w:rsidR="00AB379C" w:rsidRPr="00F7033D" w:rsidRDefault="00AB379C" w:rsidP="009830D8">
      <w:pPr>
        <w:pStyle w:val="ListParagraph"/>
        <w:numPr>
          <w:ilvl w:val="1"/>
          <w:numId w:val="10"/>
        </w:numPr>
        <w:ind w:left="1080"/>
      </w:pPr>
      <w:r>
        <w:t>Sealant Receipt on Permanent First Molars (All 4 Molars).</w:t>
      </w:r>
    </w:p>
    <w:p w14:paraId="677B54B6" w14:textId="1145E0AD" w:rsidR="00590861" w:rsidRDefault="00590861">
      <w:bookmarkStart w:id="215" w:name="_Hlk98406928"/>
      <w:r>
        <w:br w:type="page"/>
      </w:r>
    </w:p>
    <w:p w14:paraId="77CABCE9" w14:textId="77777777" w:rsidR="00590861" w:rsidRDefault="00590861" w:rsidP="00590861">
      <w:pPr>
        <w:pStyle w:val="Heading2"/>
      </w:pPr>
      <w:bookmarkStart w:id="216" w:name="_Toc132641644"/>
      <w:r>
        <w:lastRenderedPageBreak/>
        <w:t>EQR Recommendations</w:t>
      </w:r>
      <w:bookmarkEnd w:id="216"/>
    </w:p>
    <w:p w14:paraId="40C8F66F" w14:textId="37BE2A7C" w:rsidR="00AB379C" w:rsidRPr="00F7033D" w:rsidRDefault="00590861" w:rsidP="00590861">
      <w:r w:rsidRPr="00590861">
        <w:rPr>
          <w:b/>
          <w:bCs/>
        </w:rPr>
        <w:t>Table 5.1</w:t>
      </w:r>
      <w:r>
        <w:t xml:space="preserve"> includes IPRO’s recommendations and the type of standard for selected PIPs and performance measures.</w:t>
      </w:r>
    </w:p>
    <w:p w14:paraId="016DCAB3" w14:textId="77777777" w:rsidR="00AB379C" w:rsidRPr="00F7033D" w:rsidRDefault="00AB379C" w:rsidP="00AB379C">
      <w:pPr>
        <w:pStyle w:val="tableheading"/>
      </w:pPr>
      <w:bookmarkStart w:id="217" w:name="_Toc98403382"/>
      <w:bookmarkStart w:id="218" w:name="_Toc98922512"/>
      <w:bookmarkStart w:id="219" w:name="_Toc132641674"/>
      <w:bookmarkEnd w:id="215"/>
      <w:r w:rsidRPr="00900B1C">
        <w:t>Table 5.1: EQR Recommendations</w:t>
      </w:r>
      <w:bookmarkEnd w:id="217"/>
      <w:bookmarkEnd w:id="218"/>
      <w:bookmarkEnd w:id="219"/>
    </w:p>
    <w:tbl>
      <w:tblPr>
        <w:tblStyle w:val="TableGrid"/>
        <w:tblW w:w="5000" w:type="pct"/>
        <w:tblLook w:val="04A0" w:firstRow="1" w:lastRow="0" w:firstColumn="1" w:lastColumn="0" w:noHBand="0" w:noVBand="1"/>
      </w:tblPr>
      <w:tblGrid>
        <w:gridCol w:w="3632"/>
        <w:gridCol w:w="5818"/>
        <w:gridCol w:w="1340"/>
      </w:tblGrid>
      <w:tr w:rsidR="00AB379C" w:rsidRPr="00F7033D" w14:paraId="3D7C5A93" w14:textId="77777777" w:rsidTr="00894449">
        <w:trPr>
          <w:trHeight w:val="144"/>
          <w:tblHeader/>
        </w:trPr>
        <w:tc>
          <w:tcPr>
            <w:tcW w:w="1683" w:type="pct"/>
            <w:shd w:val="clear" w:color="auto" w:fill="5F497A" w:themeFill="accent4" w:themeFillShade="BF"/>
          </w:tcPr>
          <w:p w14:paraId="6C05DCD0" w14:textId="77777777" w:rsidR="00AB379C" w:rsidRPr="00F7033D" w:rsidRDefault="00AB379C" w:rsidP="007055F6">
            <w:pPr>
              <w:rPr>
                <w:b/>
                <w:bCs/>
                <w:color w:val="FFFFFF" w:themeColor="background1"/>
              </w:rPr>
            </w:pPr>
            <w:r w:rsidRPr="00F7033D">
              <w:rPr>
                <w:b/>
                <w:bCs/>
                <w:color w:val="FFFFFF" w:themeColor="background1"/>
              </w:rPr>
              <w:t>Measure/Project</w:t>
            </w:r>
          </w:p>
        </w:tc>
        <w:tc>
          <w:tcPr>
            <w:tcW w:w="2696" w:type="pct"/>
            <w:shd w:val="clear" w:color="auto" w:fill="5F497A" w:themeFill="accent4" w:themeFillShade="BF"/>
          </w:tcPr>
          <w:p w14:paraId="37F502B6" w14:textId="77777777" w:rsidR="00AB379C" w:rsidRPr="00F7033D" w:rsidRDefault="00AB379C" w:rsidP="007055F6">
            <w:pPr>
              <w:rPr>
                <w:b/>
                <w:bCs/>
                <w:color w:val="FFFFFF" w:themeColor="background1"/>
              </w:rPr>
            </w:pPr>
            <w:r w:rsidRPr="00F7033D">
              <w:rPr>
                <w:b/>
                <w:bCs/>
                <w:color w:val="FFFFFF" w:themeColor="background1"/>
              </w:rPr>
              <w:t>IPRO’s Recommendation</w:t>
            </w:r>
          </w:p>
        </w:tc>
        <w:tc>
          <w:tcPr>
            <w:tcW w:w="621" w:type="pct"/>
            <w:shd w:val="clear" w:color="auto" w:fill="5F497A" w:themeFill="accent4" w:themeFillShade="BF"/>
          </w:tcPr>
          <w:p w14:paraId="4D75DBC1" w14:textId="77777777" w:rsidR="00AB379C" w:rsidRPr="00F7033D" w:rsidRDefault="00AB379C" w:rsidP="007055F6">
            <w:pPr>
              <w:rPr>
                <w:b/>
                <w:bCs/>
                <w:color w:val="FFFFFF" w:themeColor="background1"/>
              </w:rPr>
            </w:pPr>
            <w:r w:rsidRPr="00F7033D">
              <w:rPr>
                <w:b/>
                <w:bCs/>
                <w:color w:val="FFFFFF" w:themeColor="background1"/>
              </w:rPr>
              <w:t>Standard</w:t>
            </w:r>
          </w:p>
        </w:tc>
      </w:tr>
      <w:tr w:rsidR="00AB379C" w:rsidRPr="00F7033D" w14:paraId="18710393" w14:textId="77777777" w:rsidTr="00894449">
        <w:trPr>
          <w:trHeight w:val="144"/>
        </w:trPr>
        <w:tc>
          <w:tcPr>
            <w:tcW w:w="4379" w:type="pct"/>
            <w:gridSpan w:val="2"/>
            <w:shd w:val="clear" w:color="auto" w:fill="CCC0D9" w:themeFill="accent4" w:themeFillTint="66"/>
          </w:tcPr>
          <w:p w14:paraId="66AB7C9C" w14:textId="77777777" w:rsidR="00AB379C" w:rsidRPr="00F7033D" w:rsidRDefault="00AB379C" w:rsidP="007055F6">
            <w:pPr>
              <w:rPr>
                <w:b/>
                <w:bCs/>
              </w:rPr>
            </w:pPr>
            <w:r w:rsidRPr="00F7033D">
              <w:rPr>
                <w:b/>
                <w:bCs/>
              </w:rPr>
              <w:t>Performance Improvement Projects (PIPs)</w:t>
            </w:r>
          </w:p>
        </w:tc>
        <w:tc>
          <w:tcPr>
            <w:tcW w:w="621" w:type="pct"/>
            <w:shd w:val="clear" w:color="auto" w:fill="CCC0D9" w:themeFill="accent4" w:themeFillTint="66"/>
          </w:tcPr>
          <w:p w14:paraId="5BD86A40" w14:textId="77777777" w:rsidR="00AB379C" w:rsidRPr="00F7033D" w:rsidRDefault="00AB379C" w:rsidP="007055F6">
            <w:pPr>
              <w:rPr>
                <w:b/>
                <w:bCs/>
              </w:rPr>
            </w:pPr>
          </w:p>
        </w:tc>
      </w:tr>
      <w:tr w:rsidR="00AB379C" w:rsidRPr="00F7033D" w14:paraId="4EF21AA7" w14:textId="77777777" w:rsidTr="00894449">
        <w:trPr>
          <w:trHeight w:val="144"/>
        </w:trPr>
        <w:tc>
          <w:tcPr>
            <w:tcW w:w="1683" w:type="pct"/>
            <w:vAlign w:val="center"/>
          </w:tcPr>
          <w:p w14:paraId="42A2EE93" w14:textId="77777777" w:rsidR="00AB379C" w:rsidRPr="00F7033D" w:rsidRDefault="00AB379C" w:rsidP="00697A02">
            <w:pPr>
              <w:jc w:val="left"/>
            </w:pPr>
            <w:r w:rsidRPr="00DB0649">
              <w:t>Improving Access to Pediatric Preventive Dental Care</w:t>
            </w:r>
          </w:p>
        </w:tc>
        <w:tc>
          <w:tcPr>
            <w:tcW w:w="2696" w:type="pct"/>
          </w:tcPr>
          <w:p w14:paraId="7FA764E0" w14:textId="77777777" w:rsidR="00AB379C" w:rsidRPr="00900B1C" w:rsidRDefault="00AB379C" w:rsidP="00697A02">
            <w:pPr>
              <w:jc w:val="left"/>
              <w:rPr>
                <w:rFonts w:ascii="Calibri" w:eastAsia="Times New Roman" w:hAnsi="Calibri" w:cs="Times New Roman"/>
                <w:b/>
              </w:rPr>
            </w:pPr>
            <w:r w:rsidRPr="00900B1C">
              <w:rPr>
                <w:rFonts w:ascii="Calibri" w:eastAsia="Calibri" w:hAnsi="Calibri" w:cs="Calibri"/>
              </w:rPr>
              <w:t xml:space="preserve">It was recommended that the MCO </w:t>
            </w:r>
            <w:r w:rsidRPr="00900B1C">
              <w:rPr>
                <w:rFonts w:eastAsia="Times New Roman" w:cs="Times New Roman"/>
                <w:color w:val="000000"/>
              </w:rPr>
              <w:t xml:space="preserve">provide an aim statement in addition to the objectives. The aim statement should answer the questions: what you want to improve, among whom, by how much, and over what timeframe. All information provided in the aim statement should be consistent with what is provided in the objective statements. </w:t>
            </w:r>
          </w:p>
        </w:tc>
        <w:tc>
          <w:tcPr>
            <w:tcW w:w="621" w:type="pct"/>
          </w:tcPr>
          <w:p w14:paraId="53D5DFA8" w14:textId="77777777" w:rsidR="00AB379C" w:rsidRPr="00F7033D" w:rsidRDefault="00AB379C" w:rsidP="00697A02">
            <w:pPr>
              <w:jc w:val="left"/>
            </w:pPr>
            <w:r>
              <w:t>Quality</w:t>
            </w:r>
          </w:p>
        </w:tc>
      </w:tr>
      <w:tr w:rsidR="00AB379C" w:rsidRPr="00F7033D" w14:paraId="56038969" w14:textId="77777777" w:rsidTr="00894449">
        <w:trPr>
          <w:trHeight w:val="144"/>
        </w:trPr>
        <w:tc>
          <w:tcPr>
            <w:tcW w:w="1683" w:type="pct"/>
            <w:vMerge w:val="restart"/>
            <w:vAlign w:val="center"/>
          </w:tcPr>
          <w:p w14:paraId="38F564B7" w14:textId="77777777" w:rsidR="00AB379C" w:rsidRPr="00F7033D" w:rsidRDefault="00AB379C" w:rsidP="00697A02">
            <w:pPr>
              <w:jc w:val="left"/>
            </w:pPr>
            <w:r w:rsidRPr="000028D4">
              <w:t>Improving Blood Lead Screening Rate in Children</w:t>
            </w:r>
          </w:p>
        </w:tc>
        <w:tc>
          <w:tcPr>
            <w:tcW w:w="2696" w:type="pct"/>
          </w:tcPr>
          <w:p w14:paraId="39259779" w14:textId="6E56FE20" w:rsidR="00AB379C" w:rsidRPr="00115115" w:rsidRDefault="00AB379C" w:rsidP="00697A02">
            <w:pPr>
              <w:jc w:val="left"/>
              <w:rPr>
                <w:rFonts w:ascii="Calibri" w:eastAsia="Calibri" w:hAnsi="Calibri" w:cs="Calibri"/>
              </w:rPr>
            </w:pPr>
            <w:r w:rsidRPr="009B2465">
              <w:rPr>
                <w:rFonts w:ascii="Calibri" w:eastAsia="Calibri" w:hAnsi="Calibri" w:cs="Calibri"/>
              </w:rPr>
              <w:t xml:space="preserve">It was recommended that UPMC </w:t>
            </w:r>
            <w:r w:rsidRPr="009B2465">
              <w:rPr>
                <w:rFonts w:eastAsia="Times New Roman" w:cs="Times New Roman"/>
                <w:color w:val="000000"/>
              </w:rPr>
              <w:t xml:space="preserve">better define the rationale for target rates for Indicators 2 </w:t>
            </w:r>
            <w:r w:rsidR="00C65515">
              <w:rPr>
                <w:rFonts w:eastAsia="Times New Roman" w:cs="Times New Roman"/>
                <w:color w:val="000000"/>
              </w:rPr>
              <w:t xml:space="preserve">and </w:t>
            </w:r>
            <w:r w:rsidRPr="009B2465">
              <w:rPr>
                <w:rFonts w:eastAsia="Times New Roman" w:cs="Times New Roman"/>
                <w:color w:val="000000"/>
              </w:rPr>
              <w:t>3. Are there state or national benchmarks you are basing these numbers on?</w:t>
            </w:r>
          </w:p>
        </w:tc>
        <w:tc>
          <w:tcPr>
            <w:tcW w:w="621" w:type="pct"/>
          </w:tcPr>
          <w:p w14:paraId="7230D25F" w14:textId="77777777" w:rsidR="00AB379C" w:rsidRDefault="00AB379C" w:rsidP="00697A02">
            <w:pPr>
              <w:jc w:val="left"/>
            </w:pPr>
            <w:r>
              <w:t>Quality</w:t>
            </w:r>
          </w:p>
        </w:tc>
      </w:tr>
      <w:tr w:rsidR="00AB379C" w:rsidRPr="00F7033D" w14:paraId="10B38497" w14:textId="77777777" w:rsidTr="00894449">
        <w:trPr>
          <w:trHeight w:val="144"/>
        </w:trPr>
        <w:tc>
          <w:tcPr>
            <w:tcW w:w="1683" w:type="pct"/>
            <w:vMerge/>
          </w:tcPr>
          <w:p w14:paraId="60BB6792" w14:textId="77777777" w:rsidR="00AB379C" w:rsidRPr="000028D4" w:rsidRDefault="00AB379C" w:rsidP="00697A02">
            <w:pPr>
              <w:jc w:val="left"/>
            </w:pPr>
          </w:p>
        </w:tc>
        <w:tc>
          <w:tcPr>
            <w:tcW w:w="2696" w:type="pct"/>
          </w:tcPr>
          <w:p w14:paraId="1081317F" w14:textId="77777777" w:rsidR="00AB379C" w:rsidRPr="00115115" w:rsidRDefault="00AB379C" w:rsidP="00697A02">
            <w:pPr>
              <w:jc w:val="left"/>
              <w:rPr>
                <w:rFonts w:ascii="Calibri" w:eastAsia="Calibri" w:hAnsi="Calibri" w:cs="Calibri"/>
              </w:rPr>
            </w:pPr>
            <w:r w:rsidRPr="009B2465">
              <w:rPr>
                <w:rFonts w:ascii="Calibri" w:eastAsia="Calibri" w:hAnsi="Calibri" w:cs="Calibri"/>
              </w:rPr>
              <w:t xml:space="preserve">It was recommended that the MCO include </w:t>
            </w:r>
            <w:r w:rsidRPr="009B2465">
              <w:t>in what way and how often members are identified and referred for outreach.</w:t>
            </w:r>
          </w:p>
        </w:tc>
        <w:tc>
          <w:tcPr>
            <w:tcW w:w="621" w:type="pct"/>
          </w:tcPr>
          <w:p w14:paraId="4754865D" w14:textId="77777777" w:rsidR="00AB379C" w:rsidRDefault="00AB379C" w:rsidP="00697A02">
            <w:pPr>
              <w:jc w:val="left"/>
            </w:pPr>
            <w:r>
              <w:t>Quality</w:t>
            </w:r>
          </w:p>
        </w:tc>
      </w:tr>
      <w:tr w:rsidR="00AB379C" w:rsidRPr="00F7033D" w14:paraId="36ABE329" w14:textId="77777777" w:rsidTr="00894449">
        <w:trPr>
          <w:trHeight w:val="144"/>
        </w:trPr>
        <w:tc>
          <w:tcPr>
            <w:tcW w:w="1683" w:type="pct"/>
            <w:vMerge/>
          </w:tcPr>
          <w:p w14:paraId="51F2506C" w14:textId="77777777" w:rsidR="00AB379C" w:rsidRPr="000028D4" w:rsidRDefault="00AB379C" w:rsidP="00697A02">
            <w:pPr>
              <w:jc w:val="left"/>
            </w:pPr>
          </w:p>
        </w:tc>
        <w:tc>
          <w:tcPr>
            <w:tcW w:w="2696" w:type="pct"/>
          </w:tcPr>
          <w:p w14:paraId="58042895" w14:textId="77777777" w:rsidR="00AB379C" w:rsidRPr="00115115" w:rsidRDefault="00AB379C" w:rsidP="00697A02">
            <w:pPr>
              <w:jc w:val="left"/>
              <w:rPr>
                <w:rFonts w:ascii="Calibri" w:eastAsia="Calibri" w:hAnsi="Calibri" w:cs="Calibri"/>
              </w:rPr>
            </w:pPr>
            <w:r w:rsidRPr="009B2465">
              <w:rPr>
                <w:rFonts w:ascii="Calibri" w:eastAsia="Calibri" w:hAnsi="Calibri" w:cs="Calibri"/>
              </w:rPr>
              <w:t xml:space="preserve">It was recommended that the MCO </w:t>
            </w:r>
            <w:r w:rsidRPr="009B2465">
              <w:t>include actual start date for all interventions.</w:t>
            </w:r>
          </w:p>
        </w:tc>
        <w:tc>
          <w:tcPr>
            <w:tcW w:w="621" w:type="pct"/>
          </w:tcPr>
          <w:p w14:paraId="3295C4CE" w14:textId="77777777" w:rsidR="00AB379C" w:rsidRDefault="00AB379C" w:rsidP="00697A02">
            <w:pPr>
              <w:jc w:val="left"/>
            </w:pPr>
            <w:r>
              <w:t>Quality</w:t>
            </w:r>
          </w:p>
        </w:tc>
      </w:tr>
      <w:tr w:rsidR="00AB379C" w:rsidRPr="00F7033D" w14:paraId="442B3961" w14:textId="77777777" w:rsidTr="00894449">
        <w:trPr>
          <w:trHeight w:val="144"/>
        </w:trPr>
        <w:tc>
          <w:tcPr>
            <w:tcW w:w="4379" w:type="pct"/>
            <w:gridSpan w:val="2"/>
            <w:shd w:val="clear" w:color="auto" w:fill="CCC0D9" w:themeFill="accent4" w:themeFillTint="66"/>
          </w:tcPr>
          <w:p w14:paraId="7B366AF1" w14:textId="77777777" w:rsidR="00AB379C" w:rsidRPr="00F7033D" w:rsidRDefault="00AB379C" w:rsidP="00697A02">
            <w:pPr>
              <w:jc w:val="left"/>
              <w:rPr>
                <w:b/>
                <w:bCs/>
              </w:rPr>
            </w:pPr>
            <w:r w:rsidRPr="00F7033D">
              <w:rPr>
                <w:b/>
                <w:bCs/>
              </w:rPr>
              <w:t>Performance Measures and CAHPS Survey</w:t>
            </w:r>
          </w:p>
        </w:tc>
        <w:tc>
          <w:tcPr>
            <w:tcW w:w="621" w:type="pct"/>
            <w:shd w:val="clear" w:color="auto" w:fill="CCC0D9" w:themeFill="accent4" w:themeFillTint="66"/>
          </w:tcPr>
          <w:p w14:paraId="71B19197" w14:textId="77777777" w:rsidR="00AB379C" w:rsidRPr="00F7033D" w:rsidRDefault="00AB379C" w:rsidP="00697A02">
            <w:pPr>
              <w:jc w:val="left"/>
              <w:rPr>
                <w:b/>
                <w:bCs/>
              </w:rPr>
            </w:pPr>
          </w:p>
        </w:tc>
      </w:tr>
      <w:tr w:rsidR="00AB379C" w:rsidRPr="00F7033D" w14:paraId="435B3061" w14:textId="77777777" w:rsidTr="00894449">
        <w:trPr>
          <w:trHeight w:val="144"/>
        </w:trPr>
        <w:tc>
          <w:tcPr>
            <w:tcW w:w="1683" w:type="pct"/>
            <w:vAlign w:val="center"/>
          </w:tcPr>
          <w:p w14:paraId="49450AE4" w14:textId="77777777" w:rsidR="00AB379C" w:rsidRPr="00F7033D" w:rsidRDefault="00AB379C" w:rsidP="00697A02">
            <w:pPr>
              <w:jc w:val="left"/>
            </w:pPr>
            <w:r>
              <w:t>Timeliness of Screenings</w:t>
            </w:r>
          </w:p>
        </w:tc>
        <w:tc>
          <w:tcPr>
            <w:tcW w:w="2696" w:type="pct"/>
          </w:tcPr>
          <w:p w14:paraId="78BF9FB2" w14:textId="1F1AA968" w:rsidR="00AB379C" w:rsidRPr="00F7033D" w:rsidRDefault="00AB379C" w:rsidP="00697A02">
            <w:pPr>
              <w:jc w:val="left"/>
            </w:pPr>
            <w:r w:rsidRPr="00281E7C">
              <w:t>I</w:t>
            </w:r>
            <w:r w:rsidRPr="00BC385F">
              <w:t>t is recommended that the MCO improve access to screenings for its members. Lead Screening in Children (</w:t>
            </w:r>
            <w:r w:rsidR="007E63F8">
              <w:t xml:space="preserve">Age </w:t>
            </w:r>
            <w:r w:rsidRPr="00BC385F">
              <w:t>2 years) and Developmental Screening in the First Three Years of Life (all cohorts) was an opportunity in 2022.</w:t>
            </w:r>
          </w:p>
        </w:tc>
        <w:tc>
          <w:tcPr>
            <w:tcW w:w="621" w:type="pct"/>
          </w:tcPr>
          <w:p w14:paraId="6A5E6BD1" w14:textId="77777777" w:rsidR="00AB379C" w:rsidRPr="00F7033D" w:rsidRDefault="00AB379C" w:rsidP="00697A02">
            <w:pPr>
              <w:jc w:val="left"/>
            </w:pPr>
            <w:r w:rsidRPr="00F7033D">
              <w:t>Access</w:t>
            </w:r>
            <w:r>
              <w:t>, Timeliness</w:t>
            </w:r>
          </w:p>
        </w:tc>
      </w:tr>
      <w:tr w:rsidR="00AB379C" w:rsidRPr="00F7033D" w14:paraId="4E8ED737" w14:textId="77777777" w:rsidTr="00894449">
        <w:trPr>
          <w:trHeight w:val="144"/>
        </w:trPr>
        <w:tc>
          <w:tcPr>
            <w:tcW w:w="4379" w:type="pct"/>
            <w:gridSpan w:val="2"/>
            <w:shd w:val="clear" w:color="auto" w:fill="CCC0D9"/>
          </w:tcPr>
          <w:p w14:paraId="1C5BD1F5" w14:textId="77777777" w:rsidR="00AB379C" w:rsidRPr="00F7033D" w:rsidRDefault="00AB379C" w:rsidP="00697A02">
            <w:pPr>
              <w:jc w:val="left"/>
            </w:pPr>
            <w:r w:rsidRPr="00F7033D">
              <w:rPr>
                <w:b/>
                <w:bCs/>
              </w:rPr>
              <w:t xml:space="preserve">Compliance with Medicaid and CHIP Managed Care Regulations  </w:t>
            </w:r>
          </w:p>
        </w:tc>
        <w:tc>
          <w:tcPr>
            <w:tcW w:w="621" w:type="pct"/>
            <w:shd w:val="clear" w:color="auto" w:fill="CCC0D9"/>
          </w:tcPr>
          <w:p w14:paraId="099259E2" w14:textId="77777777" w:rsidR="00AB379C" w:rsidRPr="00F7033D" w:rsidRDefault="00AB379C" w:rsidP="00697A02">
            <w:pPr>
              <w:jc w:val="left"/>
            </w:pPr>
          </w:p>
        </w:tc>
      </w:tr>
      <w:tr w:rsidR="00AB379C" w:rsidRPr="00F7033D" w14:paraId="5AFB22EC" w14:textId="77777777" w:rsidTr="00894449">
        <w:trPr>
          <w:trHeight w:val="144"/>
        </w:trPr>
        <w:tc>
          <w:tcPr>
            <w:tcW w:w="4379" w:type="pct"/>
            <w:gridSpan w:val="2"/>
            <w:vAlign w:val="center"/>
          </w:tcPr>
          <w:p w14:paraId="58E347F3" w14:textId="77777777" w:rsidR="00AB379C" w:rsidRPr="00F7033D" w:rsidRDefault="00AB379C" w:rsidP="00697A02">
            <w:pPr>
              <w:jc w:val="left"/>
            </w:pPr>
            <w:r w:rsidRPr="00F7033D">
              <w:t xml:space="preserve">There are no recommendations related to compliance with Medicaid and CHIP Managed Care Regulations for the MCO for the current review year. </w:t>
            </w:r>
          </w:p>
        </w:tc>
        <w:tc>
          <w:tcPr>
            <w:tcW w:w="621" w:type="pct"/>
          </w:tcPr>
          <w:p w14:paraId="224C0F7E" w14:textId="77777777" w:rsidR="00AB379C" w:rsidRPr="00F7033D" w:rsidRDefault="00AB379C" w:rsidP="00697A02">
            <w:pPr>
              <w:jc w:val="left"/>
            </w:pPr>
            <w:r w:rsidRPr="00F7033D">
              <w:t>N/A</w:t>
            </w:r>
          </w:p>
        </w:tc>
      </w:tr>
    </w:tbl>
    <w:p w14:paraId="6F77A2E1" w14:textId="77777777" w:rsidR="00AB379C" w:rsidRPr="00F7033D" w:rsidRDefault="00AB379C" w:rsidP="001376C8">
      <w:pPr>
        <w:rPr>
          <w:sz w:val="20"/>
          <w:szCs w:val="20"/>
        </w:rPr>
      </w:pPr>
      <w:r w:rsidRPr="00F7033D">
        <w:rPr>
          <w:sz w:val="20"/>
          <w:szCs w:val="20"/>
        </w:rPr>
        <w:t>EQR: external quality review; PIP: performance improvement project; MCO: managed care organization; CAHPS: Consumer Assessment of Healthcare Providers and Systems; ED: emergency department; N/A: not applicable.</w:t>
      </w:r>
    </w:p>
    <w:p w14:paraId="0107137F" w14:textId="5EF00105" w:rsidR="0036245B" w:rsidRPr="00F7033D" w:rsidRDefault="0036245B" w:rsidP="0036245B">
      <w:pPr>
        <w:jc w:val="left"/>
        <w:rPr>
          <w:sz w:val="20"/>
          <w:szCs w:val="20"/>
        </w:rPr>
      </w:pPr>
    </w:p>
    <w:p w14:paraId="3CC2E07B" w14:textId="1CC0C9D6" w:rsidR="00D92D64" w:rsidRPr="00566362" w:rsidRDefault="00D92D64" w:rsidP="00566362">
      <w:pPr>
        <w:jc w:val="left"/>
        <w:rPr>
          <w:sz w:val="20"/>
          <w:szCs w:val="20"/>
        </w:rPr>
      </w:pPr>
      <w:r w:rsidRPr="004602C2">
        <w:rPr>
          <w:highlight w:val="yellow"/>
        </w:rPr>
        <w:br w:type="page"/>
      </w:r>
    </w:p>
    <w:p w14:paraId="6749991B" w14:textId="4E520CD3" w:rsidR="005D10B2" w:rsidRPr="004630E7" w:rsidRDefault="005D10B2" w:rsidP="005D10B2">
      <w:pPr>
        <w:pStyle w:val="Heading1"/>
        <w:spacing w:before="0"/>
      </w:pPr>
      <w:bookmarkStart w:id="220" w:name="_Toc132641645"/>
      <w:r w:rsidRPr="004630E7">
        <w:lastRenderedPageBreak/>
        <w:t>VI: Summary of Activities</w:t>
      </w:r>
      <w:bookmarkEnd w:id="200"/>
      <w:bookmarkEnd w:id="220"/>
    </w:p>
    <w:p w14:paraId="2736A0CD" w14:textId="77777777" w:rsidR="00AB379C" w:rsidRPr="004630E7" w:rsidRDefault="00AB379C" w:rsidP="00AB379C">
      <w:pPr>
        <w:pStyle w:val="Heading2"/>
      </w:pPr>
      <w:bookmarkStart w:id="221" w:name="_Toc442196298"/>
      <w:bookmarkStart w:id="222" w:name="_Toc447022742"/>
      <w:bookmarkStart w:id="223" w:name="_Toc447022877"/>
      <w:bookmarkStart w:id="224" w:name="_Toc447034836"/>
      <w:bookmarkStart w:id="225" w:name="_Toc447725865"/>
      <w:bookmarkStart w:id="226" w:name="_Toc449099984"/>
      <w:bookmarkStart w:id="227" w:name="_Toc35593616"/>
      <w:bookmarkStart w:id="228" w:name="_Toc128478770"/>
      <w:bookmarkStart w:id="229" w:name="_Toc132641646"/>
      <w:r w:rsidRPr="004630E7">
        <w:t>Performance Improvement Projects</w:t>
      </w:r>
      <w:bookmarkEnd w:id="221"/>
      <w:bookmarkEnd w:id="222"/>
      <w:bookmarkEnd w:id="223"/>
      <w:bookmarkEnd w:id="224"/>
      <w:bookmarkEnd w:id="225"/>
      <w:bookmarkEnd w:id="226"/>
      <w:bookmarkEnd w:id="227"/>
      <w:bookmarkEnd w:id="228"/>
      <w:bookmarkEnd w:id="229"/>
      <w:r w:rsidRPr="004630E7">
        <w:t xml:space="preserve"> </w:t>
      </w:r>
    </w:p>
    <w:p w14:paraId="75C39B61" w14:textId="77777777" w:rsidR="00AB379C" w:rsidRPr="004630E7" w:rsidRDefault="00AB379C" w:rsidP="00D04F97">
      <w:pPr>
        <w:numPr>
          <w:ilvl w:val="0"/>
          <w:numId w:val="11"/>
        </w:numPr>
        <w:ind w:left="720"/>
      </w:pPr>
      <w:r>
        <w:t>UPMC</w:t>
      </w:r>
      <w:r w:rsidRPr="004630E7">
        <w:t>’s Lead Screening and Dental PIP 2022 Baseline Reports were both validated. The MCO received feedback and subsequent information related to these activities from IPRO and CHIP in 2022.</w:t>
      </w:r>
    </w:p>
    <w:p w14:paraId="6C2CE04E" w14:textId="77777777" w:rsidR="00AB379C" w:rsidRPr="004630E7" w:rsidRDefault="00AB379C" w:rsidP="00AB379C">
      <w:pPr>
        <w:pStyle w:val="Heading2"/>
      </w:pPr>
      <w:bookmarkStart w:id="230" w:name="_Toc442196299"/>
      <w:bookmarkStart w:id="231" w:name="_Toc447022743"/>
      <w:bookmarkStart w:id="232" w:name="_Toc447022878"/>
      <w:bookmarkStart w:id="233" w:name="_Toc447034837"/>
      <w:bookmarkStart w:id="234" w:name="_Toc447725866"/>
      <w:bookmarkStart w:id="235" w:name="_Toc449099985"/>
      <w:bookmarkStart w:id="236" w:name="_Toc35593617"/>
      <w:bookmarkStart w:id="237" w:name="_Toc128478771"/>
      <w:bookmarkStart w:id="238" w:name="_Toc132641647"/>
      <w:r w:rsidRPr="004630E7">
        <w:t>Performance Measures</w:t>
      </w:r>
      <w:bookmarkEnd w:id="230"/>
      <w:bookmarkEnd w:id="231"/>
      <w:bookmarkEnd w:id="232"/>
      <w:bookmarkEnd w:id="233"/>
      <w:bookmarkEnd w:id="234"/>
      <w:bookmarkEnd w:id="235"/>
      <w:bookmarkEnd w:id="236"/>
      <w:bookmarkEnd w:id="237"/>
      <w:bookmarkEnd w:id="238"/>
    </w:p>
    <w:p w14:paraId="10A60B26" w14:textId="77777777" w:rsidR="00AB379C" w:rsidRPr="004630E7" w:rsidRDefault="00AB379C" w:rsidP="00D04F97">
      <w:pPr>
        <w:numPr>
          <w:ilvl w:val="0"/>
          <w:numId w:val="11"/>
        </w:numPr>
        <w:ind w:left="720"/>
      </w:pPr>
      <w:r>
        <w:t>UPMC</w:t>
      </w:r>
      <w:r w:rsidRPr="004630E7">
        <w:t xml:space="preserve"> reported all HEDIS, PA-Specific, and CAHPS Survey performance measures in 2022 for which the MCO had a sufficient denominator.</w:t>
      </w:r>
    </w:p>
    <w:p w14:paraId="4D065931" w14:textId="77777777" w:rsidR="00AB379C" w:rsidRPr="004630E7" w:rsidRDefault="00AB379C" w:rsidP="00AB379C">
      <w:pPr>
        <w:pStyle w:val="Heading2"/>
      </w:pPr>
      <w:bookmarkStart w:id="239" w:name="_Toc442196297"/>
      <w:bookmarkStart w:id="240" w:name="_Toc447022741"/>
      <w:bookmarkStart w:id="241" w:name="_Toc447022876"/>
      <w:bookmarkStart w:id="242" w:name="_Toc447034835"/>
      <w:bookmarkStart w:id="243" w:name="_Toc447725864"/>
      <w:bookmarkStart w:id="244" w:name="_Toc449099983"/>
      <w:bookmarkStart w:id="245" w:name="_Toc35593615"/>
      <w:bookmarkStart w:id="246" w:name="_Toc128478772"/>
      <w:bookmarkStart w:id="247" w:name="_Toc132641648"/>
      <w:r w:rsidRPr="004630E7">
        <w:t>Structure and Operations Standards</w:t>
      </w:r>
      <w:bookmarkEnd w:id="239"/>
      <w:bookmarkEnd w:id="240"/>
      <w:bookmarkEnd w:id="241"/>
      <w:bookmarkEnd w:id="242"/>
      <w:bookmarkEnd w:id="243"/>
      <w:bookmarkEnd w:id="244"/>
      <w:bookmarkEnd w:id="245"/>
      <w:bookmarkEnd w:id="246"/>
      <w:bookmarkEnd w:id="247"/>
      <w:r w:rsidRPr="004630E7">
        <w:t xml:space="preserve"> </w:t>
      </w:r>
    </w:p>
    <w:p w14:paraId="079882F9" w14:textId="77777777" w:rsidR="00AB379C" w:rsidRPr="004630E7" w:rsidRDefault="00AB379C" w:rsidP="00D04F97">
      <w:pPr>
        <w:numPr>
          <w:ilvl w:val="0"/>
          <w:numId w:val="12"/>
        </w:numPr>
        <w:ind w:left="720"/>
      </w:pPr>
      <w:r>
        <w:t>UPMC</w:t>
      </w:r>
      <w:r w:rsidRPr="004630E7">
        <w:t xml:space="preserve"> was found to be fully compliant on all subparts.  Items that were not reviewed for 2022 will be reviewed during the 2023 review cycle. Compliance review findings from the RY 202</w:t>
      </w:r>
      <w:r>
        <w:t>1</w:t>
      </w:r>
      <w:r w:rsidRPr="004630E7">
        <w:t xml:space="preserve"> SMART database populated by PA CHIP were used to make the determinations for </w:t>
      </w:r>
      <w:r>
        <w:t>UPMC</w:t>
      </w:r>
      <w:r w:rsidRPr="004630E7">
        <w:t>.</w:t>
      </w:r>
    </w:p>
    <w:p w14:paraId="00E53997" w14:textId="77777777" w:rsidR="00AB379C" w:rsidRPr="004630E7" w:rsidRDefault="00AB379C" w:rsidP="00AB379C">
      <w:pPr>
        <w:pStyle w:val="Heading2"/>
      </w:pPr>
      <w:bookmarkStart w:id="248" w:name="_Toc442196300"/>
      <w:bookmarkStart w:id="249" w:name="_Toc447022744"/>
      <w:bookmarkStart w:id="250" w:name="_Toc447022879"/>
      <w:bookmarkStart w:id="251" w:name="_Toc447034838"/>
      <w:bookmarkStart w:id="252" w:name="_Toc447725867"/>
      <w:bookmarkStart w:id="253" w:name="_Toc449099986"/>
      <w:bookmarkStart w:id="254" w:name="_Toc35593618"/>
      <w:bookmarkStart w:id="255" w:name="_Toc128478773"/>
      <w:bookmarkStart w:id="256" w:name="_Toc132641649"/>
      <w:r w:rsidRPr="004630E7">
        <w:t xml:space="preserve">2021 </w:t>
      </w:r>
      <w:r>
        <w:t xml:space="preserve">Opportunities </w:t>
      </w:r>
      <w:r w:rsidRPr="004630E7">
        <w:t>for Improvement MCO Response</w:t>
      </w:r>
      <w:bookmarkEnd w:id="248"/>
      <w:bookmarkEnd w:id="249"/>
      <w:bookmarkEnd w:id="250"/>
      <w:bookmarkEnd w:id="251"/>
      <w:bookmarkEnd w:id="252"/>
      <w:bookmarkEnd w:id="253"/>
      <w:bookmarkEnd w:id="254"/>
      <w:bookmarkEnd w:id="255"/>
      <w:bookmarkEnd w:id="256"/>
    </w:p>
    <w:p w14:paraId="74DF12FE" w14:textId="4A2FDB9F" w:rsidR="00AB379C" w:rsidRPr="004630E7" w:rsidRDefault="00AB379C" w:rsidP="00D04F97">
      <w:pPr>
        <w:numPr>
          <w:ilvl w:val="0"/>
          <w:numId w:val="11"/>
        </w:numPr>
        <w:ind w:left="720"/>
      </w:pPr>
      <w:r>
        <w:t>UPMC</w:t>
      </w:r>
      <w:r w:rsidRPr="004630E7">
        <w:t xml:space="preserve"> provided a response to the </w:t>
      </w:r>
      <w:r w:rsidR="00D017B4">
        <w:t>o</w:t>
      </w:r>
      <w:r>
        <w:t xml:space="preserve">pportunities </w:t>
      </w:r>
      <w:r w:rsidRPr="004630E7">
        <w:t>for improvement issued in the 2021 annual technical report for those measures that were identified as statistically significantly below or worse than the MMC weighted average.</w:t>
      </w:r>
    </w:p>
    <w:p w14:paraId="2CE8A2DF" w14:textId="77777777" w:rsidR="00AB379C" w:rsidRPr="004630E7" w:rsidRDefault="00AB379C" w:rsidP="00AB379C">
      <w:pPr>
        <w:pStyle w:val="Heading2"/>
      </w:pPr>
      <w:bookmarkStart w:id="257" w:name="_Toc442196301"/>
      <w:bookmarkStart w:id="258" w:name="_Toc447022745"/>
      <w:bookmarkStart w:id="259" w:name="_Toc447022880"/>
      <w:bookmarkStart w:id="260" w:name="_Toc447034839"/>
      <w:bookmarkStart w:id="261" w:name="_Toc447725868"/>
      <w:bookmarkStart w:id="262" w:name="_Toc449099987"/>
      <w:bookmarkStart w:id="263" w:name="_Toc35593619"/>
      <w:bookmarkStart w:id="264" w:name="_Toc128478774"/>
      <w:bookmarkStart w:id="265" w:name="_Toc132641650"/>
      <w:r w:rsidRPr="004630E7">
        <w:t xml:space="preserve">2022 Strengths and </w:t>
      </w:r>
      <w:r>
        <w:t xml:space="preserve">Opportunities </w:t>
      </w:r>
      <w:r w:rsidRPr="004630E7">
        <w:t>for Improvement</w:t>
      </w:r>
      <w:bookmarkEnd w:id="257"/>
      <w:bookmarkEnd w:id="258"/>
      <w:bookmarkEnd w:id="259"/>
      <w:bookmarkEnd w:id="260"/>
      <w:bookmarkEnd w:id="261"/>
      <w:bookmarkEnd w:id="262"/>
      <w:bookmarkEnd w:id="263"/>
      <w:bookmarkEnd w:id="264"/>
      <w:bookmarkEnd w:id="265"/>
    </w:p>
    <w:p w14:paraId="60972545" w14:textId="1CE324B1" w:rsidR="005D10B2" w:rsidRPr="00AB379C" w:rsidRDefault="00AB379C" w:rsidP="00D04F97">
      <w:pPr>
        <w:numPr>
          <w:ilvl w:val="0"/>
          <w:numId w:val="11"/>
        </w:numPr>
        <w:ind w:left="720"/>
        <w:rPr>
          <w:b/>
          <w:bCs/>
        </w:rPr>
      </w:pPr>
      <w:r w:rsidRPr="004630E7">
        <w:rPr>
          <w:bCs/>
        </w:rPr>
        <w:t xml:space="preserve">Both strengths and </w:t>
      </w:r>
      <w:r w:rsidR="00D017B4">
        <w:rPr>
          <w:bCs/>
        </w:rPr>
        <w:t>o</w:t>
      </w:r>
      <w:r>
        <w:rPr>
          <w:bCs/>
        </w:rPr>
        <w:t xml:space="preserve">pportunities </w:t>
      </w:r>
      <w:r w:rsidRPr="004630E7">
        <w:rPr>
          <w:bCs/>
        </w:rPr>
        <w:t xml:space="preserve">for improvement have been noted for </w:t>
      </w:r>
      <w:r>
        <w:t>UPMC</w:t>
      </w:r>
      <w:r w:rsidRPr="004630E7">
        <w:t xml:space="preserve"> </w:t>
      </w:r>
      <w:r w:rsidRPr="004630E7">
        <w:rPr>
          <w:bCs/>
        </w:rPr>
        <w:t xml:space="preserve">in 2022. A response will be required by the MCO for the noted </w:t>
      </w:r>
      <w:r w:rsidR="00D017B4">
        <w:rPr>
          <w:bCs/>
        </w:rPr>
        <w:t>o</w:t>
      </w:r>
      <w:r>
        <w:rPr>
          <w:bCs/>
        </w:rPr>
        <w:t xml:space="preserve">pportunities </w:t>
      </w:r>
      <w:r w:rsidRPr="004630E7">
        <w:rPr>
          <w:bCs/>
        </w:rPr>
        <w:t>for improvement in 2023.</w:t>
      </w:r>
      <w:r w:rsidR="005D10B2" w:rsidRPr="00AB379C">
        <w:rPr>
          <w:rFonts w:asciiTheme="majorHAnsi" w:eastAsiaTheme="majorEastAsia" w:hAnsiTheme="majorHAnsi" w:cstheme="majorBidi"/>
          <w:b/>
          <w:bCs/>
          <w:color w:val="365F91" w:themeColor="accent1" w:themeShade="BF"/>
          <w:sz w:val="28"/>
          <w:szCs w:val="28"/>
          <w:highlight w:val="yellow"/>
        </w:rPr>
        <w:br w:type="page"/>
      </w:r>
    </w:p>
    <w:p w14:paraId="089CB817" w14:textId="77777777" w:rsidR="00FF55AD" w:rsidRPr="00F41CA9" w:rsidRDefault="00FF55AD" w:rsidP="00DF437D">
      <w:pPr>
        <w:pStyle w:val="Heading1"/>
        <w:spacing w:before="0"/>
      </w:pPr>
      <w:bookmarkStart w:id="266" w:name="_Toc98067737"/>
      <w:bookmarkStart w:id="267" w:name="_Toc132641651"/>
      <w:bookmarkStart w:id="268" w:name="_Toc64633770"/>
      <w:bookmarkStart w:id="269" w:name="_Toc67387376"/>
      <w:bookmarkStart w:id="270" w:name="_Toc68527471"/>
      <w:r w:rsidRPr="00F41CA9">
        <w:lastRenderedPageBreak/>
        <w:t>Appendix</w:t>
      </w:r>
      <w:bookmarkEnd w:id="266"/>
      <w:bookmarkEnd w:id="267"/>
    </w:p>
    <w:p w14:paraId="7F4F0086" w14:textId="77777777" w:rsidR="00FF55AD" w:rsidRPr="004602C2" w:rsidRDefault="00FF55AD" w:rsidP="00FF55AD">
      <w:pPr>
        <w:rPr>
          <w:rFonts w:ascii="Calibri" w:eastAsia="PMingLiU" w:hAnsi="Calibri" w:cs="Times New Roman"/>
          <w:highlight w:val="yellow"/>
        </w:rPr>
      </w:pPr>
    </w:p>
    <w:p w14:paraId="14D42166" w14:textId="352CD3C1" w:rsidR="00FF55AD" w:rsidRPr="0074172F" w:rsidRDefault="003608D4" w:rsidP="00DF437D">
      <w:pPr>
        <w:pStyle w:val="Heading2"/>
      </w:pPr>
      <w:bookmarkStart w:id="271" w:name="_Toc132641652"/>
      <w:r w:rsidRPr="0074172F">
        <w:t xml:space="preserve">A.1.1. </w:t>
      </w:r>
      <w:r w:rsidR="00FF55AD" w:rsidRPr="0074172F">
        <w:t>Performance Improvement Project Interventions</w:t>
      </w:r>
      <w:bookmarkEnd w:id="271"/>
      <w:r w:rsidR="00FF55AD" w:rsidRPr="0074172F">
        <w:t xml:space="preserve"> </w:t>
      </w:r>
    </w:p>
    <w:p w14:paraId="32569FCD" w14:textId="5D4E2218" w:rsidR="00FF55AD" w:rsidRPr="0074172F" w:rsidRDefault="00FF55AD" w:rsidP="00FF55AD">
      <w:pPr>
        <w:rPr>
          <w:rFonts w:ascii="Calibri" w:eastAsia="PMingLiU" w:hAnsi="Calibri" w:cs="Times New Roman"/>
        </w:rPr>
      </w:pPr>
      <w:r w:rsidRPr="0074172F">
        <w:rPr>
          <w:rFonts w:ascii="Calibri" w:eastAsia="PMingLiU" w:hAnsi="Calibri" w:cs="Times New Roman"/>
        </w:rPr>
        <w:t xml:space="preserve">As referenced in </w:t>
      </w:r>
      <w:r w:rsidRPr="0074172F">
        <w:rPr>
          <w:rFonts w:ascii="Calibri" w:eastAsia="PMingLiU" w:hAnsi="Calibri" w:cs="Times New Roman"/>
          <w:b/>
        </w:rPr>
        <w:t>Section I: Validation of Performance Improvement Projects</w:t>
      </w:r>
      <w:r w:rsidRPr="0074172F">
        <w:rPr>
          <w:rFonts w:ascii="Calibri" w:eastAsia="PMingLiU" w:hAnsi="Calibri" w:cs="Times New Roman"/>
        </w:rPr>
        <w:t xml:space="preserve">, </w:t>
      </w:r>
      <w:r w:rsidR="00766F7C" w:rsidRPr="0074172F">
        <w:rPr>
          <w:rFonts w:ascii="Calibri" w:eastAsia="PMingLiU" w:hAnsi="Calibri" w:cs="Times New Roman"/>
          <w:b/>
          <w:bCs/>
        </w:rPr>
        <w:t>Table A.1.1</w:t>
      </w:r>
      <w:r w:rsidRPr="0074172F">
        <w:rPr>
          <w:rFonts w:ascii="Calibri" w:eastAsia="PMingLiU" w:hAnsi="Calibri" w:cs="Times New Roman"/>
        </w:rPr>
        <w:t xml:space="preserve"> lists all of the interventions outlined in the MCO’s most recent PIP submission for the review year.</w:t>
      </w:r>
    </w:p>
    <w:p w14:paraId="403D59A8" w14:textId="5C9A7814" w:rsidR="00FF55AD" w:rsidRPr="0074172F" w:rsidRDefault="005B13B0" w:rsidP="00E20C5E">
      <w:pPr>
        <w:pStyle w:val="tableheading"/>
        <w:rPr>
          <w:rFonts w:eastAsia="Times New Roman"/>
        </w:rPr>
      </w:pPr>
      <w:bookmarkStart w:id="272" w:name="_Toc132641675"/>
      <w:r w:rsidRPr="0074172F">
        <w:rPr>
          <w:rFonts w:eastAsia="Times New Roman"/>
        </w:rPr>
        <w:t>Table A.</w:t>
      </w:r>
      <w:r w:rsidR="00FF55AD" w:rsidRPr="0074172F">
        <w:rPr>
          <w:rFonts w:eastAsia="Times New Roman"/>
        </w:rPr>
        <w:t>1.1: PIP Interventions</w:t>
      </w:r>
      <w:bookmarkEnd w:id="272"/>
      <w:r w:rsidR="00FF55AD" w:rsidRPr="0074172F">
        <w:rPr>
          <w:rFonts w:eastAsia="Times New Roman"/>
        </w:rPr>
        <w:t xml:space="preserve"> </w:t>
      </w:r>
      <w:bookmarkEnd w:id="268"/>
      <w:bookmarkEnd w:id="269"/>
      <w:bookmarkEnd w:id="2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FF55AD" w:rsidRPr="0074172F" w14:paraId="409C9658" w14:textId="77777777" w:rsidTr="008635EB">
        <w:trPr>
          <w:trHeight w:val="288"/>
          <w:tblHeader/>
        </w:trPr>
        <w:tc>
          <w:tcPr>
            <w:tcW w:w="5000" w:type="pct"/>
            <w:tcBorders>
              <w:bottom w:val="single" w:sz="4" w:space="0" w:color="auto"/>
            </w:tcBorders>
            <w:shd w:val="clear" w:color="auto" w:fill="5F497A"/>
            <w:vAlign w:val="center"/>
          </w:tcPr>
          <w:p w14:paraId="0CA5683D" w14:textId="424352E4" w:rsidR="00FF55AD" w:rsidRPr="0074172F" w:rsidRDefault="00FF55AD" w:rsidP="0095723D">
            <w:pPr>
              <w:rPr>
                <w:rFonts w:eastAsia="PMingLiU" w:cstheme="minorHAnsi"/>
                <w:b/>
                <w:bCs/>
                <w:color w:val="FFFFFF"/>
              </w:rPr>
            </w:pPr>
            <w:bookmarkStart w:id="273" w:name="_Hlk95314185"/>
            <w:r w:rsidRPr="0074172F">
              <w:rPr>
                <w:rFonts w:eastAsia="PMingLiU" w:cstheme="minorHAnsi"/>
                <w:b/>
                <w:bCs/>
                <w:color w:val="FFFFFF"/>
              </w:rPr>
              <w:t>Summary of Intervention</w:t>
            </w:r>
            <w:r w:rsidR="00F5464F" w:rsidRPr="0074172F">
              <w:rPr>
                <w:rFonts w:eastAsia="PMingLiU" w:cstheme="minorHAnsi"/>
                <w:b/>
                <w:bCs/>
                <w:color w:val="FFFFFF"/>
              </w:rPr>
              <w:t>s</w:t>
            </w:r>
          </w:p>
        </w:tc>
      </w:tr>
      <w:tr w:rsidR="00FF55AD" w:rsidRPr="0074172F" w14:paraId="122AF06A" w14:textId="77777777" w:rsidTr="008635EB">
        <w:trPr>
          <w:trHeight w:val="288"/>
        </w:trPr>
        <w:tc>
          <w:tcPr>
            <w:tcW w:w="5000" w:type="pct"/>
            <w:shd w:val="clear" w:color="auto" w:fill="CCC0D9"/>
            <w:vAlign w:val="center"/>
          </w:tcPr>
          <w:p w14:paraId="524091EC" w14:textId="04D635A0" w:rsidR="00FF55AD" w:rsidRPr="0074172F" w:rsidRDefault="00AB379C" w:rsidP="0095723D">
            <w:pPr>
              <w:rPr>
                <w:rFonts w:eastAsia="PMingLiU" w:cstheme="minorHAnsi"/>
                <w:b/>
                <w:bCs/>
              </w:rPr>
            </w:pPr>
            <w:bookmarkStart w:id="274" w:name="_Hlk95299610"/>
            <w:bookmarkStart w:id="275" w:name="_Hlk95381705"/>
            <w:bookmarkEnd w:id="273"/>
            <w:r>
              <w:rPr>
                <w:rFonts w:eastAsia="PMingLiU" w:cstheme="minorHAnsi"/>
                <w:b/>
                <w:bCs/>
              </w:rPr>
              <w:t>UPMC for Kids (UPMC)</w:t>
            </w:r>
            <w:r w:rsidR="00D16936">
              <w:rPr>
                <w:rFonts w:eastAsia="PMingLiU" w:cstheme="minorHAnsi"/>
                <w:b/>
                <w:bCs/>
              </w:rPr>
              <w:t xml:space="preserve"> </w:t>
            </w:r>
            <w:r w:rsidR="00FF55AD" w:rsidRPr="0074172F">
              <w:rPr>
                <w:rFonts w:eastAsia="PMingLiU" w:cstheme="minorHAnsi"/>
                <w:b/>
                <w:bCs/>
              </w:rPr>
              <w:t xml:space="preserve">– </w:t>
            </w:r>
            <w:r w:rsidR="0074172F" w:rsidRPr="0074172F">
              <w:rPr>
                <w:rFonts w:eastAsia="PMingLiU" w:cstheme="minorHAnsi"/>
                <w:b/>
                <w:bCs/>
              </w:rPr>
              <w:t xml:space="preserve">Preventive Dental </w:t>
            </w:r>
          </w:p>
        </w:tc>
      </w:tr>
      <w:tr w:rsidR="00FF55AD" w:rsidRPr="0074172F" w14:paraId="3C64E604" w14:textId="77777777" w:rsidTr="008635EB">
        <w:trPr>
          <w:trHeight w:val="288"/>
        </w:trPr>
        <w:bookmarkEnd w:id="275" w:displacedByCustomXml="next"/>
        <w:bookmarkEnd w:id="274" w:displacedByCustomXml="next"/>
        <w:sdt>
          <w:sdtPr>
            <w:rPr>
              <w:rStyle w:val="Style10-Arial10"/>
              <w:rFonts w:asciiTheme="minorHAnsi" w:hAnsiTheme="minorHAnsi" w:cstheme="minorHAnsi"/>
              <w:sz w:val="22"/>
            </w:rPr>
            <w:id w:val="1413818454"/>
          </w:sdtPr>
          <w:sdtEndPr>
            <w:rPr>
              <w:rStyle w:val="Style10-Arial10"/>
            </w:rPr>
          </w:sdtEndPr>
          <w:sdtContent>
            <w:tc>
              <w:tcPr>
                <w:tcW w:w="5000" w:type="pct"/>
                <w:vAlign w:val="center"/>
              </w:tcPr>
              <w:p w14:paraId="1455D8A5" w14:textId="38655E75" w:rsidR="00FF55AD" w:rsidRPr="0074172F" w:rsidRDefault="00FF55AD" w:rsidP="00CA0058">
                <w:pPr>
                  <w:jc w:val="left"/>
                  <w:rPr>
                    <w:rStyle w:val="Style10-Arial10"/>
                    <w:rFonts w:asciiTheme="minorHAnsi" w:hAnsiTheme="minorHAnsi" w:cstheme="minorHAnsi"/>
                    <w:sz w:val="22"/>
                  </w:rPr>
                </w:pPr>
                <w:r w:rsidRPr="0074172F">
                  <w:rPr>
                    <w:rStyle w:val="Style10-Arial10"/>
                    <w:rFonts w:asciiTheme="minorHAnsi" w:hAnsiTheme="minorHAnsi" w:cstheme="minorHAnsi"/>
                    <w:sz w:val="22"/>
                  </w:rPr>
                  <w:t>1.</w:t>
                </w:r>
                <w:r w:rsidR="00D16936">
                  <w:rPr>
                    <w:rStyle w:val="Style10-Arial10"/>
                    <w:rFonts w:asciiTheme="minorHAnsi" w:hAnsiTheme="minorHAnsi" w:cstheme="minorHAnsi"/>
                    <w:sz w:val="22"/>
                  </w:rPr>
                  <w:t xml:space="preserve"> </w:t>
                </w:r>
                <w:r w:rsidR="00AB379C" w:rsidRPr="00AB379C">
                  <w:rPr>
                    <w:rStyle w:val="Style10-Arial10"/>
                    <w:rFonts w:asciiTheme="minorHAnsi" w:hAnsiTheme="minorHAnsi" w:cstheme="minorHAnsi"/>
                    <w:sz w:val="22"/>
                  </w:rPr>
                  <w:t>Hire a PHDHP to educate members on oral hygiene and preventive dental care</w:t>
                </w:r>
                <w:r w:rsidR="00211938" w:rsidRPr="00211938">
                  <w:rPr>
                    <w:rStyle w:val="Style10-Arial10"/>
                    <w:rFonts w:asciiTheme="minorHAnsi" w:hAnsiTheme="minorHAnsi" w:cstheme="minorHAnsi"/>
                    <w:sz w:val="22"/>
                  </w:rPr>
                  <w:t>.</w:t>
                </w:r>
              </w:p>
            </w:tc>
          </w:sdtContent>
        </w:sdt>
      </w:tr>
      <w:tr w:rsidR="00FF55AD" w:rsidRPr="0074172F" w14:paraId="7274FC02" w14:textId="77777777" w:rsidTr="008635EB">
        <w:trPr>
          <w:trHeight w:val="288"/>
        </w:trPr>
        <w:tc>
          <w:tcPr>
            <w:tcW w:w="5000" w:type="pct"/>
            <w:vAlign w:val="center"/>
          </w:tcPr>
          <w:p w14:paraId="05D90A83" w14:textId="51B200CB" w:rsidR="00FF55AD" w:rsidRPr="0074172F" w:rsidRDefault="00FF55AD" w:rsidP="00CA0058">
            <w:pPr>
              <w:jc w:val="left"/>
              <w:rPr>
                <w:rStyle w:val="Style10-Arial10"/>
                <w:rFonts w:asciiTheme="minorHAnsi" w:hAnsiTheme="minorHAnsi" w:cstheme="minorHAnsi"/>
                <w:sz w:val="22"/>
              </w:rPr>
            </w:pPr>
            <w:r w:rsidRPr="0074172F">
              <w:rPr>
                <w:rStyle w:val="Style10-Arial10"/>
                <w:rFonts w:asciiTheme="minorHAnsi" w:hAnsiTheme="minorHAnsi" w:cstheme="minorHAnsi"/>
                <w:sz w:val="22"/>
              </w:rPr>
              <w:t>2.</w:t>
            </w:r>
            <w:r w:rsidR="006454B4">
              <w:t xml:space="preserve"> </w:t>
            </w:r>
            <w:r w:rsidR="00AB379C" w:rsidRPr="00AB379C">
              <w:rPr>
                <w:rStyle w:val="Style10-Arial10"/>
                <w:rFonts w:asciiTheme="minorHAnsi" w:hAnsiTheme="minorHAnsi" w:cstheme="minorHAnsi"/>
                <w:sz w:val="22"/>
              </w:rPr>
              <w:t>Utilize Clark Resources vendor to assist the member with scheduling a dental appointment</w:t>
            </w:r>
            <w:r w:rsidR="00566362">
              <w:rPr>
                <w:rStyle w:val="Style10-Arial10"/>
                <w:rFonts w:asciiTheme="minorHAnsi" w:hAnsiTheme="minorHAnsi" w:cstheme="minorHAnsi"/>
                <w:sz w:val="22"/>
              </w:rPr>
              <w:t>.</w:t>
            </w:r>
          </w:p>
        </w:tc>
      </w:tr>
      <w:tr w:rsidR="00D16936" w:rsidRPr="0074172F" w14:paraId="62741FB6" w14:textId="77777777" w:rsidTr="008635EB">
        <w:trPr>
          <w:trHeight w:val="288"/>
        </w:trPr>
        <w:tc>
          <w:tcPr>
            <w:tcW w:w="5000" w:type="pct"/>
            <w:vAlign w:val="center"/>
          </w:tcPr>
          <w:p w14:paraId="79057C07" w14:textId="26D37A29" w:rsidR="00D16936" w:rsidRPr="0074172F" w:rsidRDefault="00D16936" w:rsidP="00CA0058">
            <w:pPr>
              <w:jc w:val="left"/>
              <w:rPr>
                <w:rStyle w:val="Style10-Arial10"/>
                <w:rFonts w:asciiTheme="minorHAnsi" w:hAnsiTheme="minorHAnsi" w:cstheme="minorHAnsi"/>
                <w:sz w:val="22"/>
              </w:rPr>
            </w:pPr>
            <w:r>
              <w:rPr>
                <w:rStyle w:val="Style10-Arial10"/>
                <w:rFonts w:asciiTheme="minorHAnsi" w:hAnsiTheme="minorHAnsi" w:cstheme="minorHAnsi"/>
                <w:sz w:val="22"/>
              </w:rPr>
              <w:t>3</w:t>
            </w:r>
            <w:r w:rsidRPr="0074172F">
              <w:rPr>
                <w:rStyle w:val="Style10-Arial10"/>
                <w:rFonts w:asciiTheme="minorHAnsi" w:hAnsiTheme="minorHAnsi" w:cstheme="minorHAnsi"/>
                <w:sz w:val="22"/>
              </w:rPr>
              <w:t xml:space="preserve">. </w:t>
            </w:r>
            <w:r w:rsidR="00AB379C" w:rsidRPr="00AB379C">
              <w:rPr>
                <w:rStyle w:val="Style10-Arial10"/>
                <w:rFonts w:asciiTheme="minorHAnsi" w:hAnsiTheme="minorHAnsi" w:cstheme="minorHAnsi"/>
                <w:sz w:val="22"/>
              </w:rPr>
              <w:t>Educate physical health providers on topical fluoride varnish application</w:t>
            </w:r>
            <w:r>
              <w:rPr>
                <w:rStyle w:val="Style10-Arial10"/>
                <w:rFonts w:asciiTheme="minorHAnsi" w:hAnsiTheme="minorHAnsi" w:cstheme="minorHAnsi"/>
                <w:sz w:val="22"/>
              </w:rPr>
              <w:t>.</w:t>
            </w:r>
          </w:p>
        </w:tc>
      </w:tr>
      <w:tr w:rsidR="00D16936" w:rsidRPr="0074172F" w14:paraId="595160EE" w14:textId="77777777" w:rsidTr="008635EB">
        <w:trPr>
          <w:trHeight w:val="288"/>
        </w:trPr>
        <w:tc>
          <w:tcPr>
            <w:tcW w:w="5000" w:type="pct"/>
            <w:shd w:val="clear" w:color="auto" w:fill="CCC0D9"/>
            <w:vAlign w:val="center"/>
          </w:tcPr>
          <w:p w14:paraId="3C2B0451" w14:textId="0F5A29F2" w:rsidR="00D16936" w:rsidRPr="0074172F" w:rsidRDefault="00AB379C" w:rsidP="00CA0058">
            <w:pPr>
              <w:jc w:val="left"/>
              <w:rPr>
                <w:rFonts w:eastAsia="PMingLiU" w:cstheme="minorHAnsi"/>
                <w:b/>
                <w:bCs/>
              </w:rPr>
            </w:pPr>
            <w:r>
              <w:rPr>
                <w:rFonts w:eastAsia="PMingLiU" w:cstheme="minorHAnsi"/>
                <w:b/>
                <w:bCs/>
              </w:rPr>
              <w:t xml:space="preserve">UPMC for Kids (UPMC) </w:t>
            </w:r>
            <w:r w:rsidR="00D16936" w:rsidRPr="0074172F">
              <w:rPr>
                <w:rFonts w:eastAsia="PMingLiU" w:cstheme="minorHAnsi"/>
                <w:b/>
                <w:bCs/>
              </w:rPr>
              <w:t>– Lead Screening</w:t>
            </w:r>
          </w:p>
        </w:tc>
      </w:tr>
      <w:tr w:rsidR="00D16936" w:rsidRPr="0074172F" w14:paraId="052B831B" w14:textId="77777777" w:rsidTr="008635EB">
        <w:trPr>
          <w:trHeight w:val="288"/>
        </w:trPr>
        <w:tc>
          <w:tcPr>
            <w:tcW w:w="5000" w:type="pct"/>
            <w:vAlign w:val="center"/>
          </w:tcPr>
          <w:p w14:paraId="22006B92" w14:textId="3C5B4221" w:rsidR="00D16936" w:rsidRPr="00F41CA9" w:rsidRDefault="00D16936" w:rsidP="00CA0058">
            <w:pPr>
              <w:jc w:val="left"/>
              <w:rPr>
                <w:rStyle w:val="Style10-Arial10"/>
                <w:rFonts w:asciiTheme="minorHAnsi" w:hAnsiTheme="minorHAnsi" w:cstheme="minorHAnsi"/>
                <w:sz w:val="22"/>
              </w:rPr>
            </w:pPr>
            <w:r w:rsidRPr="00F41CA9">
              <w:rPr>
                <w:rStyle w:val="Style10-Arial10"/>
                <w:rFonts w:asciiTheme="minorHAnsi" w:hAnsiTheme="minorHAnsi" w:cstheme="minorHAnsi"/>
                <w:sz w:val="22"/>
              </w:rPr>
              <w:t xml:space="preserve">1. </w:t>
            </w:r>
            <w:r w:rsidR="00AB379C">
              <w:rPr>
                <w:rStyle w:val="Style10-Arial10"/>
                <w:rFonts w:asciiTheme="minorHAnsi" w:hAnsiTheme="minorHAnsi" w:cstheme="minorHAnsi"/>
                <w:sz w:val="22"/>
              </w:rPr>
              <w:t>E</w:t>
            </w:r>
            <w:r w:rsidR="00AB379C" w:rsidRPr="00AB379C">
              <w:rPr>
                <w:rStyle w:val="Style10-Arial10"/>
                <w:rFonts w:asciiTheme="minorHAnsi" w:hAnsiTheme="minorHAnsi" w:cstheme="minorHAnsi"/>
                <w:sz w:val="22"/>
              </w:rPr>
              <w:t>nhance targeted marketing outreach to members living in high lead areas</w:t>
            </w:r>
            <w:r w:rsidRPr="007474D2">
              <w:rPr>
                <w:rStyle w:val="Style10-Arial10"/>
                <w:rFonts w:asciiTheme="minorHAnsi" w:hAnsiTheme="minorHAnsi" w:cstheme="minorHAnsi"/>
                <w:sz w:val="22"/>
              </w:rPr>
              <w:t>.</w:t>
            </w:r>
          </w:p>
        </w:tc>
      </w:tr>
      <w:tr w:rsidR="00D16936" w:rsidRPr="0074172F" w14:paraId="55ECBCC5" w14:textId="77777777" w:rsidTr="008635EB">
        <w:trPr>
          <w:trHeight w:val="288"/>
        </w:trPr>
        <w:tc>
          <w:tcPr>
            <w:tcW w:w="5000" w:type="pct"/>
            <w:shd w:val="clear" w:color="auto" w:fill="auto"/>
            <w:vAlign w:val="center"/>
          </w:tcPr>
          <w:p w14:paraId="715145B9" w14:textId="2586D7C1" w:rsidR="00D16936" w:rsidRPr="0074172F" w:rsidRDefault="00D16936" w:rsidP="00CA0058">
            <w:pPr>
              <w:jc w:val="left"/>
              <w:rPr>
                <w:rStyle w:val="Style10-Arial10"/>
                <w:rFonts w:asciiTheme="minorHAnsi" w:hAnsiTheme="minorHAnsi" w:cstheme="minorHAnsi"/>
                <w:sz w:val="22"/>
              </w:rPr>
            </w:pPr>
            <w:r>
              <w:rPr>
                <w:rStyle w:val="Style10-Arial10"/>
                <w:rFonts w:asciiTheme="minorHAnsi" w:hAnsiTheme="minorHAnsi" w:cstheme="minorHAnsi"/>
                <w:sz w:val="22"/>
              </w:rPr>
              <w:t xml:space="preserve">2. </w:t>
            </w:r>
            <w:r w:rsidR="00AB379C">
              <w:rPr>
                <w:rStyle w:val="Style10-Arial10"/>
                <w:rFonts w:asciiTheme="minorHAnsi" w:hAnsiTheme="minorHAnsi" w:cstheme="minorHAnsi"/>
                <w:sz w:val="22"/>
              </w:rPr>
              <w:t>Re</w:t>
            </w:r>
            <w:r w:rsidR="00AB379C" w:rsidRPr="00AB379C">
              <w:rPr>
                <w:rStyle w:val="Style10-Arial10"/>
                <w:rFonts w:asciiTheme="minorHAnsi" w:hAnsiTheme="minorHAnsi" w:cstheme="minorHAnsi"/>
                <w:sz w:val="22"/>
              </w:rPr>
              <w:t>fined telephonic outreach to members with an initial elevated capillary blood lead screen to encourage the completion of a second confirmatory venous blood lead screening</w:t>
            </w:r>
            <w:r w:rsidRPr="00566362">
              <w:rPr>
                <w:rStyle w:val="Style10-Arial10"/>
                <w:rFonts w:asciiTheme="minorHAnsi" w:hAnsiTheme="minorHAnsi" w:cstheme="minorHAnsi"/>
                <w:sz w:val="22"/>
              </w:rPr>
              <w:t>.</w:t>
            </w:r>
          </w:p>
        </w:tc>
      </w:tr>
      <w:tr w:rsidR="005C4D1C" w:rsidRPr="0074172F" w14:paraId="32690F75" w14:textId="77777777" w:rsidTr="008635EB">
        <w:trPr>
          <w:trHeight w:val="288"/>
        </w:trPr>
        <w:tc>
          <w:tcPr>
            <w:tcW w:w="5000" w:type="pct"/>
            <w:shd w:val="clear" w:color="auto" w:fill="auto"/>
            <w:vAlign w:val="center"/>
          </w:tcPr>
          <w:p w14:paraId="37A0E474" w14:textId="5A37FB1C" w:rsidR="005C4D1C" w:rsidRDefault="005C4D1C" w:rsidP="00CA0058">
            <w:pPr>
              <w:jc w:val="left"/>
              <w:rPr>
                <w:rStyle w:val="Style10-Arial10"/>
                <w:rFonts w:asciiTheme="minorHAnsi" w:hAnsiTheme="minorHAnsi" w:cstheme="minorHAnsi"/>
                <w:sz w:val="22"/>
              </w:rPr>
            </w:pPr>
            <w:r>
              <w:rPr>
                <w:rStyle w:val="Style10-Arial10"/>
                <w:rFonts w:asciiTheme="minorHAnsi" w:hAnsiTheme="minorHAnsi" w:cstheme="minorHAnsi"/>
                <w:sz w:val="22"/>
              </w:rPr>
              <w:t xml:space="preserve">3. </w:t>
            </w:r>
            <w:r w:rsidR="00AB379C" w:rsidRPr="00AB379C">
              <w:rPr>
                <w:rStyle w:val="Style10-Arial10"/>
                <w:rFonts w:asciiTheme="minorHAnsi" w:hAnsiTheme="minorHAnsi" w:cstheme="minorHAnsi"/>
                <w:sz w:val="22"/>
              </w:rPr>
              <w:t>Enhance case management follow-up intervention protocols for members with a confirmed elevated blood lead level</w:t>
            </w:r>
            <w:r w:rsidRPr="00566362">
              <w:rPr>
                <w:rStyle w:val="Style10-Arial10"/>
                <w:rFonts w:asciiTheme="minorHAnsi" w:hAnsiTheme="minorHAnsi" w:cstheme="minorHAnsi"/>
                <w:sz w:val="22"/>
              </w:rPr>
              <w:t>.</w:t>
            </w:r>
          </w:p>
        </w:tc>
      </w:tr>
    </w:tbl>
    <w:p w14:paraId="314CC522" w14:textId="30E9C85B" w:rsidR="00015EBA" w:rsidRPr="0074172F" w:rsidRDefault="00731906" w:rsidP="00731906">
      <w:pPr>
        <w:spacing w:after="480"/>
        <w:rPr>
          <w:rFonts w:eastAsiaTheme="majorEastAsia"/>
          <w:sz w:val="20"/>
          <w:szCs w:val="20"/>
        </w:rPr>
      </w:pPr>
      <w:r w:rsidRPr="0074172F">
        <w:rPr>
          <w:rFonts w:eastAsiaTheme="majorEastAsia"/>
          <w:sz w:val="20"/>
          <w:szCs w:val="20"/>
        </w:rPr>
        <w:t>PIP: performance improvement project.</w:t>
      </w:r>
    </w:p>
    <w:p w14:paraId="7ED7A669" w14:textId="77777777" w:rsidR="00015EBA" w:rsidRPr="00F41CA9" w:rsidRDefault="00015EBA" w:rsidP="00DF437D">
      <w:pPr>
        <w:pStyle w:val="Heading2"/>
      </w:pPr>
      <w:bookmarkStart w:id="276" w:name="_Toc132641653"/>
      <w:r w:rsidRPr="00F41CA9">
        <w:t>A.2.1. Comprehensive Compliance Standards List</w:t>
      </w:r>
      <w:bookmarkEnd w:id="276"/>
    </w:p>
    <w:p w14:paraId="3217F5AB" w14:textId="6B5E36DD" w:rsidR="00015EBA" w:rsidRPr="00F41CA9" w:rsidRDefault="00015EBA" w:rsidP="00015EBA">
      <w:pPr>
        <w:rPr>
          <w:rFonts w:ascii="Calibri" w:eastAsia="PMingLiU" w:hAnsi="Calibri" w:cs="Times New Roman"/>
        </w:rPr>
      </w:pPr>
      <w:r w:rsidRPr="00F41CA9">
        <w:rPr>
          <w:rFonts w:ascii="Calibri" w:eastAsia="PMingLiU" w:hAnsi="Calibri" w:cs="Times New Roman"/>
        </w:rPr>
        <w:t xml:space="preserve">Revised CMS protocols include updates to the structure and compliance standards, including which standards are required for compliance review. Under the most recent protocols, there are 11 standards that CMS has now designated as required to be subject to compliance review. Several previously required standards have been deemed by CMS as incorporated into the compliance review through interaction with the new required </w:t>
      </w:r>
      <w:r w:rsidR="00CA0058" w:rsidRPr="00F41CA9">
        <w:rPr>
          <w:rFonts w:ascii="Calibri" w:eastAsia="PMingLiU" w:hAnsi="Calibri" w:cs="Times New Roman"/>
        </w:rPr>
        <w:t>standards and</w:t>
      </w:r>
      <w:r w:rsidRPr="00F41CA9">
        <w:rPr>
          <w:rFonts w:ascii="Calibri" w:eastAsia="PMingLiU" w:hAnsi="Calibri" w:cs="Times New Roman"/>
        </w:rPr>
        <w:t xml:space="preserve"> appear to assess items that are related to the required standards. </w:t>
      </w:r>
      <w:r w:rsidRPr="00F41CA9">
        <w:rPr>
          <w:rFonts w:ascii="Calibri" w:eastAsia="PMingLiU" w:hAnsi="Calibri" w:cs="Times New Roman"/>
          <w:b/>
        </w:rPr>
        <w:t>Table A.2.1</w:t>
      </w:r>
      <w:r w:rsidRPr="00F41CA9">
        <w:rPr>
          <w:rFonts w:ascii="Calibri" w:eastAsia="PMingLiU" w:hAnsi="Calibri" w:cs="Times New Roman"/>
        </w:rPr>
        <w:t xml:space="preserve"> lists the standards in the updated protocol, designated as one of the 11 required standards or one of those deemed as a related standard.</w:t>
      </w:r>
    </w:p>
    <w:p w14:paraId="5C386DC5" w14:textId="77777777" w:rsidR="00015EBA" w:rsidRPr="00F41CA9" w:rsidRDefault="00015EBA" w:rsidP="00E20C5E">
      <w:pPr>
        <w:pStyle w:val="tableheading"/>
        <w:rPr>
          <w:rFonts w:eastAsia="Times New Roman"/>
        </w:rPr>
      </w:pPr>
      <w:bookmarkStart w:id="277" w:name="_Toc132641676"/>
      <w:r w:rsidRPr="00F41CA9">
        <w:rPr>
          <w:rFonts w:eastAsia="Times New Roman"/>
        </w:rPr>
        <w:t>Table A.2.1: Required and Related Structure and Compliance Standards</w:t>
      </w:r>
      <w:bookmarkEnd w:id="277"/>
    </w:p>
    <w:tbl>
      <w:tblPr>
        <w:tblW w:w="92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39"/>
        <w:gridCol w:w="1350"/>
        <w:gridCol w:w="1350"/>
      </w:tblGrid>
      <w:tr w:rsidR="00015EBA" w:rsidRPr="00F41CA9" w14:paraId="7F187A75" w14:textId="77777777" w:rsidTr="000D1B95">
        <w:trPr>
          <w:trHeight w:val="288"/>
          <w:tblHeader/>
        </w:trPr>
        <w:tc>
          <w:tcPr>
            <w:tcW w:w="6539" w:type="dxa"/>
            <w:tcBorders>
              <w:bottom w:val="single" w:sz="4" w:space="0" w:color="auto"/>
            </w:tcBorders>
            <w:shd w:val="clear" w:color="auto" w:fill="5F497A"/>
            <w:vAlign w:val="center"/>
          </w:tcPr>
          <w:p w14:paraId="7BD817CC" w14:textId="77777777" w:rsidR="00015EBA" w:rsidRPr="00F41CA9" w:rsidRDefault="00015EBA" w:rsidP="0095723D">
            <w:pPr>
              <w:rPr>
                <w:rFonts w:ascii="Calibri" w:eastAsia="PMingLiU" w:hAnsi="Calibri" w:cs="Times New Roman"/>
                <w:b/>
                <w:bCs/>
                <w:color w:val="FFFFFF"/>
              </w:rPr>
            </w:pPr>
            <w:smartTag w:uri="urn:schemas-microsoft-com:office:smarttags" w:element="stockticker">
              <w:r w:rsidRPr="00F41CA9">
                <w:rPr>
                  <w:rFonts w:ascii="Calibri" w:eastAsia="PMingLiU" w:hAnsi="Calibri" w:cs="Times New Roman"/>
                  <w:b/>
                  <w:bCs/>
                  <w:color w:val="FFFFFF"/>
                </w:rPr>
                <w:t>BBA</w:t>
              </w:r>
            </w:smartTag>
            <w:r w:rsidRPr="00F41CA9">
              <w:rPr>
                <w:rFonts w:ascii="Calibri" w:eastAsia="PMingLiU" w:hAnsi="Calibri" w:cs="Times New Roman"/>
                <w:b/>
                <w:bCs/>
                <w:color w:val="FFFFFF"/>
              </w:rPr>
              <w:t xml:space="preserve"> Regulation</w:t>
            </w:r>
          </w:p>
        </w:tc>
        <w:tc>
          <w:tcPr>
            <w:tcW w:w="1350" w:type="dxa"/>
            <w:tcBorders>
              <w:bottom w:val="single" w:sz="4" w:space="0" w:color="auto"/>
            </w:tcBorders>
            <w:shd w:val="clear" w:color="auto" w:fill="5F497A"/>
          </w:tcPr>
          <w:p w14:paraId="2C15E944" w14:textId="77777777" w:rsidR="00015EBA" w:rsidRPr="00F41CA9" w:rsidRDefault="00015EBA" w:rsidP="0095723D">
            <w:pPr>
              <w:jc w:val="center"/>
              <w:rPr>
                <w:rFonts w:ascii="Calibri" w:eastAsia="PMingLiU" w:hAnsi="Calibri" w:cs="Times New Roman"/>
                <w:b/>
                <w:bCs/>
                <w:color w:val="FFFFFF"/>
              </w:rPr>
            </w:pPr>
            <w:r w:rsidRPr="00F41CA9">
              <w:rPr>
                <w:rFonts w:ascii="Calibri" w:eastAsia="PMingLiU" w:hAnsi="Calibri" w:cs="Times New Roman"/>
                <w:b/>
                <w:bCs/>
                <w:color w:val="FFFFFF"/>
              </w:rPr>
              <w:t>Required</w:t>
            </w:r>
          </w:p>
        </w:tc>
        <w:tc>
          <w:tcPr>
            <w:tcW w:w="1350" w:type="dxa"/>
            <w:tcBorders>
              <w:bottom w:val="single" w:sz="4" w:space="0" w:color="auto"/>
            </w:tcBorders>
            <w:shd w:val="clear" w:color="auto" w:fill="5F497A"/>
          </w:tcPr>
          <w:p w14:paraId="5FA2AECB" w14:textId="77777777" w:rsidR="00015EBA" w:rsidRPr="00F41CA9" w:rsidRDefault="00015EBA" w:rsidP="0095723D">
            <w:pPr>
              <w:jc w:val="center"/>
              <w:rPr>
                <w:rFonts w:ascii="Calibri" w:eastAsia="PMingLiU" w:hAnsi="Calibri" w:cs="Times New Roman"/>
                <w:b/>
                <w:bCs/>
                <w:color w:val="FFFFFF"/>
              </w:rPr>
            </w:pPr>
            <w:r w:rsidRPr="00F41CA9">
              <w:rPr>
                <w:rFonts w:ascii="Calibri" w:eastAsia="PMingLiU" w:hAnsi="Calibri" w:cs="Times New Roman"/>
                <w:b/>
                <w:bCs/>
                <w:color w:val="FFFFFF"/>
              </w:rPr>
              <w:t>Related</w:t>
            </w:r>
          </w:p>
        </w:tc>
      </w:tr>
      <w:tr w:rsidR="00015EBA" w:rsidRPr="00F41CA9" w14:paraId="60151F5C" w14:textId="77777777" w:rsidTr="000D1B95">
        <w:trPr>
          <w:trHeight w:val="288"/>
        </w:trPr>
        <w:tc>
          <w:tcPr>
            <w:tcW w:w="9239" w:type="dxa"/>
            <w:gridSpan w:val="3"/>
            <w:shd w:val="clear" w:color="auto" w:fill="CCC0D9"/>
            <w:vAlign w:val="center"/>
          </w:tcPr>
          <w:p w14:paraId="691EDD1A" w14:textId="77777777" w:rsidR="00015EBA" w:rsidRPr="00F41CA9" w:rsidRDefault="00015EBA" w:rsidP="0095723D">
            <w:pPr>
              <w:rPr>
                <w:rFonts w:ascii="Calibri" w:eastAsia="PMingLiU" w:hAnsi="Calibri" w:cs="Times New Roman"/>
                <w:b/>
                <w:bCs/>
              </w:rPr>
            </w:pPr>
            <w:r w:rsidRPr="00F41CA9">
              <w:rPr>
                <w:rFonts w:ascii="Calibri" w:eastAsia="PMingLiU" w:hAnsi="Calibri" w:cs="Times New Roman"/>
                <w:b/>
                <w:bCs/>
              </w:rPr>
              <w:t>Subpart C: Enrollee Rights and Protections</w:t>
            </w:r>
          </w:p>
        </w:tc>
      </w:tr>
      <w:tr w:rsidR="00015EBA" w:rsidRPr="00F41CA9" w14:paraId="06F88EF3" w14:textId="77777777" w:rsidTr="000D1B95">
        <w:trPr>
          <w:trHeight w:val="288"/>
        </w:trPr>
        <w:tc>
          <w:tcPr>
            <w:tcW w:w="6539" w:type="dxa"/>
            <w:vAlign w:val="center"/>
          </w:tcPr>
          <w:p w14:paraId="2561025C"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Enrollee Rights</w:t>
            </w:r>
          </w:p>
        </w:tc>
        <w:tc>
          <w:tcPr>
            <w:tcW w:w="1350" w:type="dxa"/>
            <w:vAlign w:val="center"/>
          </w:tcPr>
          <w:p w14:paraId="15A45984" w14:textId="77777777" w:rsidR="00015EBA" w:rsidRPr="00F41CA9" w:rsidRDefault="00015EBA" w:rsidP="0095723D">
            <w:pPr>
              <w:jc w:val="center"/>
              <w:rPr>
                <w:rFonts w:ascii="Calibri" w:eastAsia="PMingLiU" w:hAnsi="Calibri" w:cs="Times New Roman"/>
              </w:rPr>
            </w:pPr>
          </w:p>
        </w:tc>
        <w:tc>
          <w:tcPr>
            <w:tcW w:w="1350" w:type="dxa"/>
            <w:vAlign w:val="center"/>
          </w:tcPr>
          <w:p w14:paraId="5D0AEB7A"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22680C11" w14:textId="77777777" w:rsidTr="000D1B95">
        <w:trPr>
          <w:trHeight w:val="288"/>
        </w:trPr>
        <w:tc>
          <w:tcPr>
            <w:tcW w:w="6539" w:type="dxa"/>
            <w:vAlign w:val="center"/>
          </w:tcPr>
          <w:p w14:paraId="0890BBC6"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Provider-Enrollee Communication</w:t>
            </w:r>
          </w:p>
        </w:tc>
        <w:tc>
          <w:tcPr>
            <w:tcW w:w="1350" w:type="dxa"/>
            <w:vAlign w:val="center"/>
          </w:tcPr>
          <w:p w14:paraId="338056F3" w14:textId="77777777" w:rsidR="00015EBA" w:rsidRPr="00F41CA9" w:rsidRDefault="00015EBA" w:rsidP="0095723D">
            <w:pPr>
              <w:jc w:val="center"/>
              <w:rPr>
                <w:rFonts w:ascii="Calibri" w:eastAsia="PMingLiU" w:hAnsi="Calibri" w:cs="Times New Roman"/>
              </w:rPr>
            </w:pPr>
          </w:p>
        </w:tc>
        <w:tc>
          <w:tcPr>
            <w:tcW w:w="1350" w:type="dxa"/>
            <w:vAlign w:val="center"/>
          </w:tcPr>
          <w:p w14:paraId="5D946EB5"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5E54C203" w14:textId="77777777" w:rsidTr="000D1B95">
        <w:trPr>
          <w:trHeight w:val="288"/>
        </w:trPr>
        <w:tc>
          <w:tcPr>
            <w:tcW w:w="6539" w:type="dxa"/>
            <w:vAlign w:val="center"/>
          </w:tcPr>
          <w:p w14:paraId="0CA3BAC0"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Marketing Activities</w:t>
            </w:r>
          </w:p>
        </w:tc>
        <w:tc>
          <w:tcPr>
            <w:tcW w:w="1350" w:type="dxa"/>
            <w:vAlign w:val="center"/>
          </w:tcPr>
          <w:p w14:paraId="004011AC" w14:textId="77777777" w:rsidR="00015EBA" w:rsidRPr="00F41CA9" w:rsidRDefault="00015EBA" w:rsidP="0095723D">
            <w:pPr>
              <w:jc w:val="center"/>
              <w:rPr>
                <w:rFonts w:ascii="Calibri" w:eastAsia="PMingLiU" w:hAnsi="Calibri" w:cs="Times New Roman"/>
              </w:rPr>
            </w:pPr>
          </w:p>
        </w:tc>
        <w:tc>
          <w:tcPr>
            <w:tcW w:w="1350" w:type="dxa"/>
            <w:vAlign w:val="center"/>
          </w:tcPr>
          <w:p w14:paraId="34F2B69F"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1A8CD4FF" w14:textId="77777777" w:rsidTr="000D1B95">
        <w:trPr>
          <w:trHeight w:val="288"/>
        </w:trPr>
        <w:tc>
          <w:tcPr>
            <w:tcW w:w="6539" w:type="dxa"/>
            <w:vAlign w:val="center"/>
          </w:tcPr>
          <w:p w14:paraId="74A3C38E"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Emergency and Post-Stabilization Services – Definition</w:t>
            </w:r>
          </w:p>
        </w:tc>
        <w:tc>
          <w:tcPr>
            <w:tcW w:w="1350" w:type="dxa"/>
            <w:vAlign w:val="center"/>
          </w:tcPr>
          <w:p w14:paraId="49920FF4" w14:textId="77777777" w:rsidR="00015EBA" w:rsidRPr="00F41CA9" w:rsidRDefault="00015EBA" w:rsidP="0095723D">
            <w:pPr>
              <w:jc w:val="center"/>
              <w:rPr>
                <w:rFonts w:ascii="Calibri" w:eastAsia="PMingLiU" w:hAnsi="Calibri" w:cs="Times New Roman"/>
              </w:rPr>
            </w:pPr>
          </w:p>
        </w:tc>
        <w:tc>
          <w:tcPr>
            <w:tcW w:w="1350" w:type="dxa"/>
            <w:vAlign w:val="center"/>
          </w:tcPr>
          <w:p w14:paraId="037AD6BD"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2167CE4C" w14:textId="77777777" w:rsidTr="000D1B95">
        <w:trPr>
          <w:trHeight w:val="288"/>
        </w:trPr>
        <w:tc>
          <w:tcPr>
            <w:tcW w:w="6539" w:type="dxa"/>
            <w:vAlign w:val="center"/>
          </w:tcPr>
          <w:p w14:paraId="27D4074A"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Emergency Services: Coverage and Payment</w:t>
            </w:r>
          </w:p>
        </w:tc>
        <w:tc>
          <w:tcPr>
            <w:tcW w:w="1350" w:type="dxa"/>
            <w:vAlign w:val="center"/>
          </w:tcPr>
          <w:p w14:paraId="0C2874C2" w14:textId="77777777" w:rsidR="00015EBA" w:rsidRPr="00F41CA9" w:rsidRDefault="00015EBA" w:rsidP="0095723D">
            <w:pPr>
              <w:jc w:val="center"/>
              <w:rPr>
                <w:rFonts w:ascii="Calibri" w:eastAsia="PMingLiU" w:hAnsi="Calibri" w:cs="Times New Roman"/>
              </w:rPr>
            </w:pPr>
          </w:p>
        </w:tc>
        <w:tc>
          <w:tcPr>
            <w:tcW w:w="1350" w:type="dxa"/>
            <w:vAlign w:val="center"/>
          </w:tcPr>
          <w:p w14:paraId="0713E5E9"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1A5A826B" w14:textId="77777777" w:rsidTr="000D1B95">
        <w:trPr>
          <w:trHeight w:val="288"/>
        </w:trPr>
        <w:tc>
          <w:tcPr>
            <w:tcW w:w="9239" w:type="dxa"/>
            <w:gridSpan w:val="3"/>
            <w:shd w:val="clear" w:color="auto" w:fill="CCC0D9"/>
            <w:vAlign w:val="center"/>
          </w:tcPr>
          <w:p w14:paraId="26620B5C" w14:textId="77777777" w:rsidR="00015EBA" w:rsidRPr="00F41CA9" w:rsidRDefault="00015EBA" w:rsidP="0095723D">
            <w:pPr>
              <w:rPr>
                <w:rFonts w:ascii="Calibri" w:eastAsia="PMingLiU" w:hAnsi="Calibri" w:cs="Times New Roman"/>
                <w:b/>
                <w:bCs/>
              </w:rPr>
            </w:pPr>
            <w:r w:rsidRPr="00F41CA9">
              <w:rPr>
                <w:rFonts w:ascii="Calibri" w:eastAsia="PMingLiU" w:hAnsi="Calibri" w:cs="Times New Roman"/>
                <w:b/>
                <w:bCs/>
              </w:rPr>
              <w:t>Subpart D: MCO, PIHP and PAHP Standards</w:t>
            </w:r>
          </w:p>
        </w:tc>
      </w:tr>
      <w:tr w:rsidR="00015EBA" w:rsidRPr="00F41CA9" w14:paraId="4C763093" w14:textId="77777777" w:rsidTr="000D1B95">
        <w:trPr>
          <w:trHeight w:val="288"/>
        </w:trPr>
        <w:tc>
          <w:tcPr>
            <w:tcW w:w="6539" w:type="dxa"/>
            <w:vAlign w:val="center"/>
          </w:tcPr>
          <w:p w14:paraId="1D4A0CFA"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Availability of Services</w:t>
            </w:r>
          </w:p>
        </w:tc>
        <w:tc>
          <w:tcPr>
            <w:tcW w:w="1350" w:type="dxa"/>
            <w:vAlign w:val="center"/>
          </w:tcPr>
          <w:p w14:paraId="3CE09EF3"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103E98BC" w14:textId="77777777" w:rsidR="00015EBA" w:rsidRPr="00F41CA9" w:rsidRDefault="00015EBA" w:rsidP="0095723D">
            <w:pPr>
              <w:jc w:val="center"/>
              <w:rPr>
                <w:rFonts w:ascii="Calibri" w:eastAsia="PMingLiU" w:hAnsi="Calibri" w:cs="Times New Roman"/>
              </w:rPr>
            </w:pPr>
          </w:p>
        </w:tc>
      </w:tr>
      <w:tr w:rsidR="00015EBA" w:rsidRPr="00F41CA9" w14:paraId="0E04D87D" w14:textId="77777777" w:rsidTr="000D1B95">
        <w:trPr>
          <w:trHeight w:val="288"/>
        </w:trPr>
        <w:tc>
          <w:tcPr>
            <w:tcW w:w="6539" w:type="dxa"/>
            <w:vAlign w:val="center"/>
          </w:tcPr>
          <w:p w14:paraId="6D324DCB"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Assurances of adequate capacity and services</w:t>
            </w:r>
          </w:p>
        </w:tc>
        <w:tc>
          <w:tcPr>
            <w:tcW w:w="1350" w:type="dxa"/>
            <w:vAlign w:val="center"/>
          </w:tcPr>
          <w:p w14:paraId="3DDF4F25"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3AEC1595" w14:textId="77777777" w:rsidR="00015EBA" w:rsidRPr="00F41CA9" w:rsidRDefault="00015EBA" w:rsidP="0095723D">
            <w:pPr>
              <w:jc w:val="center"/>
              <w:rPr>
                <w:rFonts w:ascii="Calibri" w:eastAsia="PMingLiU" w:hAnsi="Calibri" w:cs="Times New Roman"/>
              </w:rPr>
            </w:pPr>
          </w:p>
        </w:tc>
      </w:tr>
      <w:tr w:rsidR="00015EBA" w:rsidRPr="00F41CA9" w14:paraId="6651E707" w14:textId="77777777" w:rsidTr="000D1B95">
        <w:trPr>
          <w:trHeight w:val="288"/>
        </w:trPr>
        <w:tc>
          <w:tcPr>
            <w:tcW w:w="6539" w:type="dxa"/>
            <w:vAlign w:val="center"/>
          </w:tcPr>
          <w:p w14:paraId="6AF1E157"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Coordination and Continuity of Care</w:t>
            </w:r>
          </w:p>
        </w:tc>
        <w:tc>
          <w:tcPr>
            <w:tcW w:w="1350" w:type="dxa"/>
            <w:vAlign w:val="center"/>
          </w:tcPr>
          <w:p w14:paraId="5C5EADB5"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373AD032" w14:textId="77777777" w:rsidR="00015EBA" w:rsidRPr="00F41CA9" w:rsidRDefault="00015EBA" w:rsidP="0095723D">
            <w:pPr>
              <w:jc w:val="center"/>
              <w:rPr>
                <w:rFonts w:ascii="Calibri" w:eastAsia="PMingLiU" w:hAnsi="Calibri" w:cs="Times New Roman"/>
              </w:rPr>
            </w:pPr>
          </w:p>
        </w:tc>
      </w:tr>
      <w:tr w:rsidR="00015EBA" w:rsidRPr="00F41CA9" w14:paraId="60002EB7" w14:textId="77777777" w:rsidTr="000D1B95">
        <w:trPr>
          <w:trHeight w:val="288"/>
        </w:trPr>
        <w:tc>
          <w:tcPr>
            <w:tcW w:w="6539" w:type="dxa"/>
            <w:vAlign w:val="center"/>
          </w:tcPr>
          <w:p w14:paraId="6F18E1B7"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Coverage and Authorization of Services</w:t>
            </w:r>
          </w:p>
        </w:tc>
        <w:tc>
          <w:tcPr>
            <w:tcW w:w="1350" w:type="dxa"/>
            <w:vAlign w:val="center"/>
          </w:tcPr>
          <w:p w14:paraId="28981215"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6CFA78FB" w14:textId="77777777" w:rsidR="00015EBA" w:rsidRPr="00F41CA9" w:rsidRDefault="00015EBA" w:rsidP="0095723D">
            <w:pPr>
              <w:jc w:val="center"/>
              <w:rPr>
                <w:rFonts w:ascii="Calibri" w:eastAsia="PMingLiU" w:hAnsi="Calibri" w:cs="Times New Roman"/>
              </w:rPr>
            </w:pPr>
          </w:p>
        </w:tc>
      </w:tr>
      <w:tr w:rsidR="00015EBA" w:rsidRPr="00F41CA9" w14:paraId="74889116" w14:textId="77777777" w:rsidTr="000D1B95">
        <w:trPr>
          <w:trHeight w:val="288"/>
        </w:trPr>
        <w:tc>
          <w:tcPr>
            <w:tcW w:w="6539" w:type="dxa"/>
            <w:vAlign w:val="center"/>
          </w:tcPr>
          <w:p w14:paraId="020D144D"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Provider Selection</w:t>
            </w:r>
          </w:p>
        </w:tc>
        <w:tc>
          <w:tcPr>
            <w:tcW w:w="1350" w:type="dxa"/>
            <w:vAlign w:val="center"/>
          </w:tcPr>
          <w:p w14:paraId="4AD07E14"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3B819046" w14:textId="77777777" w:rsidR="00015EBA" w:rsidRPr="00F41CA9" w:rsidRDefault="00015EBA" w:rsidP="0095723D">
            <w:pPr>
              <w:jc w:val="center"/>
              <w:rPr>
                <w:rFonts w:ascii="Calibri" w:eastAsia="PMingLiU" w:hAnsi="Calibri" w:cs="Times New Roman"/>
              </w:rPr>
            </w:pPr>
          </w:p>
        </w:tc>
      </w:tr>
      <w:tr w:rsidR="00015EBA" w:rsidRPr="00F41CA9" w14:paraId="74E56F96" w14:textId="77777777" w:rsidTr="000D1B95">
        <w:trPr>
          <w:trHeight w:val="288"/>
        </w:trPr>
        <w:tc>
          <w:tcPr>
            <w:tcW w:w="6539" w:type="dxa"/>
            <w:vAlign w:val="center"/>
          </w:tcPr>
          <w:p w14:paraId="3632FA05"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Provider Discrimination Prohibited</w:t>
            </w:r>
          </w:p>
        </w:tc>
        <w:tc>
          <w:tcPr>
            <w:tcW w:w="1350" w:type="dxa"/>
            <w:vAlign w:val="center"/>
          </w:tcPr>
          <w:p w14:paraId="5CAE6390" w14:textId="77777777" w:rsidR="00015EBA" w:rsidRPr="00F41CA9" w:rsidRDefault="00015EBA" w:rsidP="0095723D">
            <w:pPr>
              <w:jc w:val="center"/>
              <w:rPr>
                <w:rFonts w:ascii="Calibri" w:eastAsia="PMingLiU" w:hAnsi="Calibri" w:cs="Times New Roman"/>
              </w:rPr>
            </w:pPr>
          </w:p>
        </w:tc>
        <w:tc>
          <w:tcPr>
            <w:tcW w:w="1350" w:type="dxa"/>
            <w:vAlign w:val="center"/>
          </w:tcPr>
          <w:p w14:paraId="292E6BAC"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51DAFAF8" w14:textId="77777777" w:rsidTr="000D1B95">
        <w:trPr>
          <w:trHeight w:val="288"/>
        </w:trPr>
        <w:tc>
          <w:tcPr>
            <w:tcW w:w="6539" w:type="dxa"/>
            <w:vAlign w:val="center"/>
          </w:tcPr>
          <w:p w14:paraId="20F6BFFC"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Confidentiality</w:t>
            </w:r>
          </w:p>
        </w:tc>
        <w:tc>
          <w:tcPr>
            <w:tcW w:w="1350" w:type="dxa"/>
            <w:vAlign w:val="center"/>
          </w:tcPr>
          <w:p w14:paraId="352FEF01"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0AF0C5A5" w14:textId="77777777" w:rsidR="00015EBA" w:rsidRPr="00F41CA9" w:rsidRDefault="00015EBA" w:rsidP="0095723D">
            <w:pPr>
              <w:jc w:val="center"/>
              <w:rPr>
                <w:rFonts w:ascii="Calibri" w:eastAsia="PMingLiU" w:hAnsi="Calibri" w:cs="Times New Roman"/>
              </w:rPr>
            </w:pPr>
          </w:p>
        </w:tc>
      </w:tr>
      <w:tr w:rsidR="00015EBA" w:rsidRPr="00F41CA9" w14:paraId="6A745E14" w14:textId="77777777" w:rsidTr="000D1B95">
        <w:trPr>
          <w:trHeight w:val="288"/>
        </w:trPr>
        <w:tc>
          <w:tcPr>
            <w:tcW w:w="6539" w:type="dxa"/>
            <w:vAlign w:val="center"/>
          </w:tcPr>
          <w:p w14:paraId="58DAE67E"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Enrollment and Disenrollment</w:t>
            </w:r>
          </w:p>
        </w:tc>
        <w:tc>
          <w:tcPr>
            <w:tcW w:w="1350" w:type="dxa"/>
            <w:vAlign w:val="center"/>
          </w:tcPr>
          <w:p w14:paraId="60C946EA" w14:textId="77777777" w:rsidR="00015EBA" w:rsidRPr="00F41CA9" w:rsidRDefault="00015EBA" w:rsidP="0095723D">
            <w:pPr>
              <w:jc w:val="center"/>
              <w:rPr>
                <w:rFonts w:ascii="Calibri" w:eastAsia="PMingLiU" w:hAnsi="Calibri" w:cs="Times New Roman"/>
              </w:rPr>
            </w:pPr>
          </w:p>
        </w:tc>
        <w:tc>
          <w:tcPr>
            <w:tcW w:w="1350" w:type="dxa"/>
            <w:vAlign w:val="center"/>
          </w:tcPr>
          <w:p w14:paraId="24B2625D"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36F0C32B" w14:textId="77777777" w:rsidTr="000D1B95">
        <w:trPr>
          <w:trHeight w:val="288"/>
        </w:trPr>
        <w:tc>
          <w:tcPr>
            <w:tcW w:w="6539" w:type="dxa"/>
            <w:vAlign w:val="center"/>
          </w:tcPr>
          <w:p w14:paraId="0D4A0C5F" w14:textId="3191C95F" w:rsidR="00015EBA" w:rsidRPr="00F41CA9" w:rsidRDefault="00015EBA" w:rsidP="0095723D">
            <w:pPr>
              <w:rPr>
                <w:rFonts w:ascii="Calibri" w:eastAsia="PMingLiU" w:hAnsi="Calibri" w:cs="Times New Roman"/>
              </w:rPr>
            </w:pPr>
            <w:r w:rsidRPr="00F41CA9">
              <w:rPr>
                <w:rFonts w:ascii="Calibri" w:eastAsia="PMingLiU" w:hAnsi="Calibri" w:cs="Times New Roman"/>
              </w:rPr>
              <w:t xml:space="preserve">Grievance and </w:t>
            </w:r>
            <w:r w:rsidR="002C48C3">
              <w:rPr>
                <w:rFonts w:ascii="Calibri" w:eastAsia="PMingLiU" w:hAnsi="Calibri" w:cs="Times New Roman"/>
              </w:rPr>
              <w:t>Ap</w:t>
            </w:r>
            <w:r w:rsidR="002C48C3" w:rsidRPr="00F41CA9">
              <w:rPr>
                <w:rFonts w:ascii="Calibri" w:eastAsia="PMingLiU" w:hAnsi="Calibri" w:cs="Times New Roman"/>
              </w:rPr>
              <w:t xml:space="preserve">peal </w:t>
            </w:r>
            <w:r w:rsidRPr="00F41CA9">
              <w:rPr>
                <w:rFonts w:ascii="Calibri" w:eastAsia="PMingLiU" w:hAnsi="Calibri" w:cs="Times New Roman"/>
              </w:rPr>
              <w:t>Systems</w:t>
            </w:r>
          </w:p>
        </w:tc>
        <w:tc>
          <w:tcPr>
            <w:tcW w:w="1350" w:type="dxa"/>
            <w:vAlign w:val="center"/>
          </w:tcPr>
          <w:p w14:paraId="6CC94996"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0118FEB9" w14:textId="77777777" w:rsidR="00015EBA" w:rsidRPr="00F41CA9" w:rsidRDefault="00015EBA" w:rsidP="0095723D">
            <w:pPr>
              <w:jc w:val="center"/>
              <w:rPr>
                <w:rFonts w:ascii="Calibri" w:eastAsia="PMingLiU" w:hAnsi="Calibri" w:cs="Times New Roman"/>
              </w:rPr>
            </w:pPr>
          </w:p>
        </w:tc>
      </w:tr>
      <w:tr w:rsidR="00015EBA" w:rsidRPr="00F41CA9" w14:paraId="0268F706" w14:textId="77777777" w:rsidTr="000D1B95">
        <w:trPr>
          <w:trHeight w:val="288"/>
        </w:trPr>
        <w:tc>
          <w:tcPr>
            <w:tcW w:w="6539" w:type="dxa"/>
            <w:vAlign w:val="center"/>
          </w:tcPr>
          <w:p w14:paraId="4D7C18CC" w14:textId="77777777" w:rsidR="00015EBA" w:rsidRPr="00F41CA9" w:rsidRDefault="00015EBA" w:rsidP="0095723D">
            <w:pPr>
              <w:rPr>
                <w:rFonts w:ascii="Calibri" w:eastAsia="PMingLiU" w:hAnsi="Calibri" w:cs="Times New Roman"/>
              </w:rPr>
            </w:pPr>
            <w:proofErr w:type="spellStart"/>
            <w:r w:rsidRPr="00F41CA9">
              <w:rPr>
                <w:rFonts w:ascii="Calibri" w:eastAsia="PMingLiU" w:hAnsi="Calibri" w:cs="Times New Roman"/>
              </w:rPr>
              <w:t>Subcontractual</w:t>
            </w:r>
            <w:proofErr w:type="spellEnd"/>
            <w:r w:rsidRPr="00F41CA9">
              <w:rPr>
                <w:rFonts w:ascii="Calibri" w:eastAsia="PMingLiU" w:hAnsi="Calibri" w:cs="Times New Roman"/>
              </w:rPr>
              <w:t xml:space="preserve"> Relationships and Delegations</w:t>
            </w:r>
          </w:p>
        </w:tc>
        <w:tc>
          <w:tcPr>
            <w:tcW w:w="1350" w:type="dxa"/>
            <w:vAlign w:val="center"/>
          </w:tcPr>
          <w:p w14:paraId="2CD016B0"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460329D7" w14:textId="77777777" w:rsidR="00015EBA" w:rsidRPr="00F41CA9" w:rsidRDefault="00015EBA" w:rsidP="0095723D">
            <w:pPr>
              <w:jc w:val="center"/>
              <w:rPr>
                <w:rFonts w:ascii="Calibri" w:eastAsia="PMingLiU" w:hAnsi="Calibri" w:cs="Times New Roman"/>
              </w:rPr>
            </w:pPr>
          </w:p>
        </w:tc>
      </w:tr>
      <w:tr w:rsidR="00015EBA" w:rsidRPr="00F41CA9" w14:paraId="64B497EF" w14:textId="77777777" w:rsidTr="000D1B95">
        <w:trPr>
          <w:trHeight w:val="288"/>
        </w:trPr>
        <w:tc>
          <w:tcPr>
            <w:tcW w:w="6539" w:type="dxa"/>
            <w:vAlign w:val="center"/>
          </w:tcPr>
          <w:p w14:paraId="0FD95376"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Practice Guidelines</w:t>
            </w:r>
          </w:p>
        </w:tc>
        <w:tc>
          <w:tcPr>
            <w:tcW w:w="1350" w:type="dxa"/>
            <w:vAlign w:val="center"/>
          </w:tcPr>
          <w:p w14:paraId="1F6384C7"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47E98588" w14:textId="77777777" w:rsidR="00015EBA" w:rsidRPr="00F41CA9" w:rsidRDefault="00015EBA" w:rsidP="0095723D">
            <w:pPr>
              <w:jc w:val="center"/>
              <w:rPr>
                <w:rFonts w:ascii="Calibri" w:eastAsia="PMingLiU" w:hAnsi="Calibri" w:cs="Times New Roman"/>
              </w:rPr>
            </w:pPr>
          </w:p>
        </w:tc>
      </w:tr>
      <w:tr w:rsidR="00015EBA" w:rsidRPr="00F41CA9" w14:paraId="158E4491" w14:textId="77777777" w:rsidTr="000D1B95">
        <w:trPr>
          <w:trHeight w:val="288"/>
        </w:trPr>
        <w:tc>
          <w:tcPr>
            <w:tcW w:w="6539" w:type="dxa"/>
            <w:vAlign w:val="center"/>
          </w:tcPr>
          <w:p w14:paraId="7F358A61"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Health Information Systems</w:t>
            </w:r>
          </w:p>
        </w:tc>
        <w:tc>
          <w:tcPr>
            <w:tcW w:w="1350" w:type="dxa"/>
            <w:vAlign w:val="center"/>
          </w:tcPr>
          <w:p w14:paraId="440AB448"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c>
          <w:tcPr>
            <w:tcW w:w="1350" w:type="dxa"/>
            <w:vAlign w:val="center"/>
          </w:tcPr>
          <w:p w14:paraId="69B31089" w14:textId="77777777" w:rsidR="00015EBA" w:rsidRPr="00F41CA9" w:rsidRDefault="00015EBA" w:rsidP="0095723D">
            <w:pPr>
              <w:jc w:val="center"/>
              <w:rPr>
                <w:rFonts w:ascii="Calibri" w:eastAsia="PMingLiU" w:hAnsi="Calibri" w:cs="Times New Roman"/>
              </w:rPr>
            </w:pPr>
          </w:p>
        </w:tc>
      </w:tr>
      <w:tr w:rsidR="00015EBA" w:rsidRPr="00F41CA9" w14:paraId="481452B2" w14:textId="77777777" w:rsidTr="000D1B95">
        <w:trPr>
          <w:trHeight w:val="288"/>
        </w:trPr>
        <w:tc>
          <w:tcPr>
            <w:tcW w:w="9239" w:type="dxa"/>
            <w:gridSpan w:val="3"/>
            <w:shd w:val="clear" w:color="auto" w:fill="CCC0D9"/>
            <w:vAlign w:val="center"/>
          </w:tcPr>
          <w:p w14:paraId="0DE93EA1" w14:textId="77777777" w:rsidR="00015EBA" w:rsidRPr="00F41CA9" w:rsidRDefault="00015EBA" w:rsidP="0095723D">
            <w:pPr>
              <w:rPr>
                <w:rFonts w:ascii="Calibri" w:eastAsia="PMingLiU" w:hAnsi="Calibri" w:cs="Times New Roman"/>
                <w:b/>
                <w:bCs/>
              </w:rPr>
            </w:pPr>
            <w:r w:rsidRPr="00F41CA9">
              <w:rPr>
                <w:rFonts w:ascii="Calibri" w:eastAsia="PMingLiU" w:hAnsi="Calibri" w:cs="Times New Roman"/>
                <w:b/>
                <w:bCs/>
              </w:rPr>
              <w:lastRenderedPageBreak/>
              <w:t>Subpart E: Quality Measurement and Improvement; External Quality Review</w:t>
            </w:r>
          </w:p>
        </w:tc>
      </w:tr>
      <w:tr w:rsidR="00015EBA" w:rsidRPr="00F41CA9" w14:paraId="08928790" w14:textId="77777777" w:rsidTr="000D1B95">
        <w:trPr>
          <w:trHeight w:val="288"/>
        </w:trPr>
        <w:tc>
          <w:tcPr>
            <w:tcW w:w="6539" w:type="dxa"/>
            <w:tcBorders>
              <w:bottom w:val="single" w:sz="4" w:space="0" w:color="auto"/>
            </w:tcBorders>
            <w:shd w:val="clear" w:color="auto" w:fill="auto"/>
            <w:vAlign w:val="center"/>
          </w:tcPr>
          <w:p w14:paraId="4EB556F2" w14:textId="77777777" w:rsidR="00015EBA" w:rsidRPr="00F41CA9" w:rsidRDefault="00015EBA" w:rsidP="0095723D">
            <w:pPr>
              <w:rPr>
                <w:rFonts w:ascii="Calibri" w:eastAsia="PMingLiU" w:hAnsi="Calibri" w:cs="Times New Roman"/>
                <w:bCs/>
              </w:rPr>
            </w:pPr>
            <w:r w:rsidRPr="00F41CA9">
              <w:rPr>
                <w:rFonts w:ascii="Calibri" w:eastAsia="PMingLiU" w:hAnsi="Calibri" w:cs="Times New Roman"/>
                <w:bCs/>
              </w:rPr>
              <w:t>Quality assessment and performance improvement program (QAPI)</w:t>
            </w:r>
          </w:p>
        </w:tc>
        <w:tc>
          <w:tcPr>
            <w:tcW w:w="1350" w:type="dxa"/>
            <w:tcBorders>
              <w:bottom w:val="single" w:sz="4" w:space="0" w:color="auto"/>
            </w:tcBorders>
            <w:vAlign w:val="center"/>
          </w:tcPr>
          <w:p w14:paraId="1DD56B6A" w14:textId="77777777" w:rsidR="00015EBA" w:rsidRPr="00F41CA9" w:rsidRDefault="00015EBA" w:rsidP="0095723D">
            <w:pPr>
              <w:jc w:val="center"/>
              <w:rPr>
                <w:rFonts w:ascii="Calibri" w:eastAsia="PMingLiU" w:hAnsi="Calibri" w:cs="Times New Roman"/>
                <w:b/>
                <w:bCs/>
              </w:rPr>
            </w:pPr>
            <w:r w:rsidRPr="00F41CA9">
              <w:rPr>
                <w:rFonts w:ascii="Calibri" w:eastAsia="PMingLiU" w:hAnsi="Calibri" w:cs="Times New Roman"/>
              </w:rPr>
              <w:sym w:font="Wingdings" w:char="F0FC"/>
            </w:r>
          </w:p>
        </w:tc>
        <w:tc>
          <w:tcPr>
            <w:tcW w:w="1350" w:type="dxa"/>
            <w:tcBorders>
              <w:bottom w:val="single" w:sz="4" w:space="0" w:color="auto"/>
            </w:tcBorders>
            <w:vAlign w:val="center"/>
          </w:tcPr>
          <w:p w14:paraId="1F8691C2" w14:textId="77777777" w:rsidR="00015EBA" w:rsidRPr="00F41CA9" w:rsidRDefault="00015EBA" w:rsidP="0095723D">
            <w:pPr>
              <w:jc w:val="center"/>
              <w:rPr>
                <w:rFonts w:ascii="Calibri" w:eastAsia="PMingLiU" w:hAnsi="Calibri" w:cs="Times New Roman"/>
                <w:b/>
                <w:bCs/>
              </w:rPr>
            </w:pPr>
          </w:p>
        </w:tc>
      </w:tr>
      <w:tr w:rsidR="00015EBA" w:rsidRPr="00F41CA9" w14:paraId="2D5EB263" w14:textId="77777777" w:rsidTr="000D1B95">
        <w:trPr>
          <w:trHeight w:val="288"/>
        </w:trPr>
        <w:tc>
          <w:tcPr>
            <w:tcW w:w="9239" w:type="dxa"/>
            <w:gridSpan w:val="3"/>
            <w:shd w:val="clear" w:color="auto" w:fill="CCC0D9"/>
            <w:vAlign w:val="center"/>
          </w:tcPr>
          <w:p w14:paraId="786748BF" w14:textId="77777777" w:rsidR="00015EBA" w:rsidRPr="00F41CA9" w:rsidRDefault="00015EBA" w:rsidP="0095723D">
            <w:pPr>
              <w:rPr>
                <w:rFonts w:ascii="Calibri" w:eastAsia="PMingLiU" w:hAnsi="Calibri" w:cs="Times New Roman"/>
                <w:b/>
                <w:bCs/>
              </w:rPr>
            </w:pPr>
            <w:r w:rsidRPr="00F41CA9">
              <w:rPr>
                <w:rFonts w:ascii="Calibri" w:eastAsia="PMingLiU" w:hAnsi="Calibri" w:cs="Times New Roman"/>
                <w:b/>
                <w:bCs/>
              </w:rPr>
              <w:t>Subpart F: Grievance and Appeal System</w:t>
            </w:r>
          </w:p>
        </w:tc>
      </w:tr>
      <w:tr w:rsidR="00015EBA" w:rsidRPr="00F41CA9" w14:paraId="5F94EC8C" w14:textId="77777777" w:rsidTr="000D1B95">
        <w:trPr>
          <w:trHeight w:val="288"/>
        </w:trPr>
        <w:tc>
          <w:tcPr>
            <w:tcW w:w="6539" w:type="dxa"/>
            <w:vAlign w:val="center"/>
          </w:tcPr>
          <w:p w14:paraId="24EE4221"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General Requirements</w:t>
            </w:r>
          </w:p>
        </w:tc>
        <w:tc>
          <w:tcPr>
            <w:tcW w:w="1350" w:type="dxa"/>
            <w:vAlign w:val="center"/>
          </w:tcPr>
          <w:p w14:paraId="636BAE5F" w14:textId="77777777" w:rsidR="00015EBA" w:rsidRPr="00F41CA9" w:rsidRDefault="00015EBA" w:rsidP="0095723D">
            <w:pPr>
              <w:jc w:val="center"/>
              <w:rPr>
                <w:rFonts w:ascii="Calibri" w:eastAsia="PMingLiU" w:hAnsi="Calibri" w:cs="Times New Roman"/>
              </w:rPr>
            </w:pPr>
          </w:p>
        </w:tc>
        <w:tc>
          <w:tcPr>
            <w:tcW w:w="1350" w:type="dxa"/>
            <w:vAlign w:val="center"/>
          </w:tcPr>
          <w:p w14:paraId="350D702B"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2CE06959" w14:textId="77777777" w:rsidTr="000D1B95">
        <w:trPr>
          <w:trHeight w:val="288"/>
        </w:trPr>
        <w:tc>
          <w:tcPr>
            <w:tcW w:w="6539" w:type="dxa"/>
            <w:vAlign w:val="center"/>
          </w:tcPr>
          <w:p w14:paraId="6F43A946"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Notice of Action</w:t>
            </w:r>
          </w:p>
        </w:tc>
        <w:tc>
          <w:tcPr>
            <w:tcW w:w="1350" w:type="dxa"/>
            <w:vAlign w:val="center"/>
          </w:tcPr>
          <w:p w14:paraId="11C1CA49" w14:textId="77777777" w:rsidR="00015EBA" w:rsidRPr="00F41CA9" w:rsidRDefault="00015EBA" w:rsidP="0095723D">
            <w:pPr>
              <w:jc w:val="center"/>
              <w:rPr>
                <w:rFonts w:ascii="Calibri" w:eastAsia="PMingLiU" w:hAnsi="Calibri" w:cs="Times New Roman"/>
              </w:rPr>
            </w:pPr>
          </w:p>
        </w:tc>
        <w:tc>
          <w:tcPr>
            <w:tcW w:w="1350" w:type="dxa"/>
            <w:vAlign w:val="center"/>
          </w:tcPr>
          <w:p w14:paraId="5279FCB4"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15845DAF" w14:textId="77777777" w:rsidTr="000D1B95">
        <w:trPr>
          <w:trHeight w:val="288"/>
        </w:trPr>
        <w:tc>
          <w:tcPr>
            <w:tcW w:w="6539" w:type="dxa"/>
            <w:vAlign w:val="center"/>
          </w:tcPr>
          <w:p w14:paraId="38363AA6"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Handling of Grievances and Appeals</w:t>
            </w:r>
          </w:p>
        </w:tc>
        <w:tc>
          <w:tcPr>
            <w:tcW w:w="1350" w:type="dxa"/>
            <w:vAlign w:val="center"/>
          </w:tcPr>
          <w:p w14:paraId="1374B871" w14:textId="77777777" w:rsidR="00015EBA" w:rsidRPr="00F41CA9" w:rsidRDefault="00015EBA" w:rsidP="0095723D">
            <w:pPr>
              <w:jc w:val="center"/>
              <w:rPr>
                <w:rFonts w:ascii="Calibri" w:eastAsia="PMingLiU" w:hAnsi="Calibri" w:cs="Times New Roman"/>
              </w:rPr>
            </w:pPr>
          </w:p>
        </w:tc>
        <w:tc>
          <w:tcPr>
            <w:tcW w:w="1350" w:type="dxa"/>
            <w:vAlign w:val="center"/>
          </w:tcPr>
          <w:p w14:paraId="7FD47B1F"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17993FA5" w14:textId="77777777" w:rsidTr="000D1B95">
        <w:trPr>
          <w:trHeight w:val="288"/>
        </w:trPr>
        <w:tc>
          <w:tcPr>
            <w:tcW w:w="6539" w:type="dxa"/>
            <w:vAlign w:val="center"/>
          </w:tcPr>
          <w:p w14:paraId="120ABB26"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Resolution and Notification</w:t>
            </w:r>
          </w:p>
        </w:tc>
        <w:tc>
          <w:tcPr>
            <w:tcW w:w="1350" w:type="dxa"/>
            <w:vAlign w:val="center"/>
          </w:tcPr>
          <w:p w14:paraId="40BA599A" w14:textId="77777777" w:rsidR="00015EBA" w:rsidRPr="00F41CA9" w:rsidRDefault="00015EBA" w:rsidP="0095723D">
            <w:pPr>
              <w:jc w:val="center"/>
              <w:rPr>
                <w:rFonts w:ascii="Calibri" w:eastAsia="PMingLiU" w:hAnsi="Calibri" w:cs="Times New Roman"/>
              </w:rPr>
            </w:pPr>
          </w:p>
        </w:tc>
        <w:tc>
          <w:tcPr>
            <w:tcW w:w="1350" w:type="dxa"/>
            <w:vAlign w:val="center"/>
          </w:tcPr>
          <w:p w14:paraId="480C36A5"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2EAECDFC" w14:textId="77777777" w:rsidTr="000D1B95">
        <w:trPr>
          <w:trHeight w:val="288"/>
        </w:trPr>
        <w:tc>
          <w:tcPr>
            <w:tcW w:w="6539" w:type="dxa"/>
            <w:vAlign w:val="center"/>
          </w:tcPr>
          <w:p w14:paraId="6D2B5F66"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Expedited Resolution</w:t>
            </w:r>
          </w:p>
        </w:tc>
        <w:tc>
          <w:tcPr>
            <w:tcW w:w="1350" w:type="dxa"/>
            <w:vAlign w:val="center"/>
          </w:tcPr>
          <w:p w14:paraId="33F7D0AE" w14:textId="77777777" w:rsidR="00015EBA" w:rsidRPr="00F41CA9" w:rsidRDefault="00015EBA" w:rsidP="0095723D">
            <w:pPr>
              <w:jc w:val="center"/>
              <w:rPr>
                <w:rFonts w:ascii="Calibri" w:eastAsia="PMingLiU" w:hAnsi="Calibri" w:cs="Times New Roman"/>
              </w:rPr>
            </w:pPr>
          </w:p>
        </w:tc>
        <w:tc>
          <w:tcPr>
            <w:tcW w:w="1350" w:type="dxa"/>
            <w:vAlign w:val="center"/>
          </w:tcPr>
          <w:p w14:paraId="450D6A2B"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39DA809F" w14:textId="77777777" w:rsidTr="000D1B95">
        <w:trPr>
          <w:trHeight w:val="288"/>
        </w:trPr>
        <w:tc>
          <w:tcPr>
            <w:tcW w:w="6539" w:type="dxa"/>
            <w:vAlign w:val="center"/>
          </w:tcPr>
          <w:p w14:paraId="032118A3"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Information to Providers and Subcontractors</w:t>
            </w:r>
          </w:p>
        </w:tc>
        <w:tc>
          <w:tcPr>
            <w:tcW w:w="1350" w:type="dxa"/>
            <w:vAlign w:val="center"/>
          </w:tcPr>
          <w:p w14:paraId="27BAE1C2" w14:textId="77777777" w:rsidR="00015EBA" w:rsidRPr="00F41CA9" w:rsidRDefault="00015EBA" w:rsidP="0095723D">
            <w:pPr>
              <w:jc w:val="center"/>
              <w:rPr>
                <w:rFonts w:ascii="Calibri" w:eastAsia="PMingLiU" w:hAnsi="Calibri" w:cs="Times New Roman"/>
              </w:rPr>
            </w:pPr>
          </w:p>
        </w:tc>
        <w:tc>
          <w:tcPr>
            <w:tcW w:w="1350" w:type="dxa"/>
            <w:vAlign w:val="center"/>
          </w:tcPr>
          <w:p w14:paraId="4773A054"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1CC81A81" w14:textId="77777777" w:rsidTr="000D1B95">
        <w:trPr>
          <w:trHeight w:val="288"/>
        </w:trPr>
        <w:tc>
          <w:tcPr>
            <w:tcW w:w="6539" w:type="dxa"/>
            <w:vAlign w:val="center"/>
          </w:tcPr>
          <w:p w14:paraId="0E851FE4"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Recordkeeping and Recording</w:t>
            </w:r>
          </w:p>
        </w:tc>
        <w:tc>
          <w:tcPr>
            <w:tcW w:w="1350" w:type="dxa"/>
            <w:vAlign w:val="center"/>
          </w:tcPr>
          <w:p w14:paraId="24253649" w14:textId="77777777" w:rsidR="00015EBA" w:rsidRPr="00F41CA9" w:rsidRDefault="00015EBA" w:rsidP="0095723D">
            <w:pPr>
              <w:jc w:val="center"/>
              <w:rPr>
                <w:rFonts w:ascii="Calibri" w:eastAsia="PMingLiU" w:hAnsi="Calibri" w:cs="Times New Roman"/>
              </w:rPr>
            </w:pPr>
          </w:p>
        </w:tc>
        <w:tc>
          <w:tcPr>
            <w:tcW w:w="1350" w:type="dxa"/>
            <w:vAlign w:val="center"/>
          </w:tcPr>
          <w:p w14:paraId="42A05ACC"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72BAD442" w14:textId="77777777" w:rsidTr="000D1B95">
        <w:trPr>
          <w:trHeight w:val="288"/>
        </w:trPr>
        <w:tc>
          <w:tcPr>
            <w:tcW w:w="6539" w:type="dxa"/>
            <w:vAlign w:val="center"/>
          </w:tcPr>
          <w:p w14:paraId="43AD8AE6"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Continuation of Benefits Pending Appeal and State Fair Hearings</w:t>
            </w:r>
          </w:p>
        </w:tc>
        <w:tc>
          <w:tcPr>
            <w:tcW w:w="1350" w:type="dxa"/>
            <w:vAlign w:val="center"/>
          </w:tcPr>
          <w:p w14:paraId="73B670B2" w14:textId="77777777" w:rsidR="00015EBA" w:rsidRPr="00F41CA9" w:rsidRDefault="00015EBA" w:rsidP="0095723D">
            <w:pPr>
              <w:jc w:val="center"/>
              <w:rPr>
                <w:rFonts w:ascii="Calibri" w:eastAsia="PMingLiU" w:hAnsi="Calibri" w:cs="Times New Roman"/>
              </w:rPr>
            </w:pPr>
          </w:p>
        </w:tc>
        <w:tc>
          <w:tcPr>
            <w:tcW w:w="1350" w:type="dxa"/>
            <w:vAlign w:val="center"/>
          </w:tcPr>
          <w:p w14:paraId="390E4005"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r w:rsidR="00015EBA" w:rsidRPr="00F41CA9" w14:paraId="40C2DA11" w14:textId="77777777" w:rsidTr="000D1B95">
        <w:trPr>
          <w:trHeight w:val="288"/>
        </w:trPr>
        <w:tc>
          <w:tcPr>
            <w:tcW w:w="6539" w:type="dxa"/>
            <w:vAlign w:val="center"/>
          </w:tcPr>
          <w:p w14:paraId="046DDD05" w14:textId="77777777" w:rsidR="00015EBA" w:rsidRPr="00F41CA9" w:rsidRDefault="00015EBA" w:rsidP="0095723D">
            <w:pPr>
              <w:rPr>
                <w:rFonts w:ascii="Calibri" w:eastAsia="PMingLiU" w:hAnsi="Calibri" w:cs="Times New Roman"/>
              </w:rPr>
            </w:pPr>
            <w:r w:rsidRPr="00F41CA9">
              <w:rPr>
                <w:rFonts w:ascii="Calibri" w:eastAsia="PMingLiU" w:hAnsi="Calibri" w:cs="Times New Roman"/>
              </w:rPr>
              <w:t>Effectuation of Reversed Resolutions</w:t>
            </w:r>
          </w:p>
        </w:tc>
        <w:tc>
          <w:tcPr>
            <w:tcW w:w="1350" w:type="dxa"/>
            <w:vAlign w:val="center"/>
          </w:tcPr>
          <w:p w14:paraId="05C4B1CE" w14:textId="77777777" w:rsidR="00015EBA" w:rsidRPr="00F41CA9" w:rsidRDefault="00015EBA" w:rsidP="0095723D">
            <w:pPr>
              <w:jc w:val="center"/>
              <w:rPr>
                <w:rFonts w:ascii="Calibri" w:eastAsia="PMingLiU" w:hAnsi="Calibri" w:cs="Times New Roman"/>
              </w:rPr>
            </w:pPr>
          </w:p>
        </w:tc>
        <w:tc>
          <w:tcPr>
            <w:tcW w:w="1350" w:type="dxa"/>
            <w:vAlign w:val="center"/>
          </w:tcPr>
          <w:p w14:paraId="65E5ED06" w14:textId="77777777" w:rsidR="00015EBA" w:rsidRPr="00F41CA9" w:rsidRDefault="00015EBA" w:rsidP="0095723D">
            <w:pPr>
              <w:jc w:val="center"/>
              <w:rPr>
                <w:rFonts w:ascii="Calibri" w:eastAsia="PMingLiU" w:hAnsi="Calibri" w:cs="Times New Roman"/>
              </w:rPr>
            </w:pPr>
            <w:r w:rsidRPr="00F41CA9">
              <w:rPr>
                <w:rFonts w:ascii="Calibri" w:eastAsia="PMingLiU" w:hAnsi="Calibri" w:cs="Times New Roman"/>
              </w:rPr>
              <w:sym w:font="Wingdings" w:char="F0FC"/>
            </w:r>
          </w:p>
        </w:tc>
      </w:tr>
    </w:tbl>
    <w:p w14:paraId="01741098" w14:textId="6CD85780" w:rsidR="00731906" w:rsidRPr="00F41CA9" w:rsidRDefault="00731906" w:rsidP="00731906">
      <w:pPr>
        <w:spacing w:after="480"/>
        <w:ind w:right="1620"/>
        <w:rPr>
          <w:sz w:val="20"/>
          <w:szCs w:val="20"/>
        </w:rPr>
      </w:pPr>
      <w:r w:rsidRPr="00F41CA9">
        <w:rPr>
          <w:sz w:val="20"/>
          <w:szCs w:val="20"/>
        </w:rPr>
        <w:t xml:space="preserve">BBA: Balanced Budget Act; MCO: managed care organization; PIHP: prepaid inpatient health plan; PAHP: prepaid ambulatory health plan. </w:t>
      </w:r>
    </w:p>
    <w:p w14:paraId="0E893E0D" w14:textId="7B9F74A3" w:rsidR="00015EBA" w:rsidRPr="0014602C" w:rsidRDefault="00015EBA" w:rsidP="00DF437D">
      <w:pPr>
        <w:pStyle w:val="Heading2"/>
      </w:pPr>
      <w:bookmarkStart w:id="278" w:name="_Toc132641654"/>
      <w:r w:rsidRPr="0014602C">
        <w:t>A.3.1. Performance Measure Graphs</w:t>
      </w:r>
      <w:bookmarkEnd w:id="278"/>
    </w:p>
    <w:p w14:paraId="3DADE285" w14:textId="0F59DE94" w:rsidR="00FC1426" w:rsidRPr="0014602C" w:rsidRDefault="00FC1426" w:rsidP="00FC1426">
      <w:pPr>
        <w:pStyle w:val="tableheading"/>
      </w:pPr>
      <w:bookmarkStart w:id="279" w:name="_Toc66955619"/>
      <w:bookmarkStart w:id="280" w:name="_Toc132641677"/>
      <w:r w:rsidRPr="0014602C">
        <w:t>Figure A.3.</w:t>
      </w:r>
      <w:r w:rsidR="00BD5C86">
        <w:fldChar w:fldCharType="begin"/>
      </w:r>
      <w:r w:rsidR="00BD5C86">
        <w:instrText xml:space="preserve"> SEQ Figure \* ARABIC </w:instrText>
      </w:r>
      <w:r w:rsidR="00BD5C86">
        <w:fldChar w:fldCharType="separate"/>
      </w:r>
      <w:r w:rsidR="00F81138" w:rsidRPr="0014602C">
        <w:rPr>
          <w:noProof/>
        </w:rPr>
        <w:t>1</w:t>
      </w:r>
      <w:r w:rsidR="00BD5C86">
        <w:rPr>
          <w:noProof/>
        </w:rPr>
        <w:fldChar w:fldCharType="end"/>
      </w:r>
      <w:r w:rsidRPr="0014602C">
        <w:t>: Access to Care</w:t>
      </w:r>
      <w:bookmarkEnd w:id="279"/>
      <w:bookmarkEnd w:id="280"/>
    </w:p>
    <w:p w14:paraId="2A535C5F" w14:textId="61D33614" w:rsidR="00FC1426" w:rsidRPr="0014602C" w:rsidRDefault="00AB379C" w:rsidP="00A60B24">
      <w:pPr>
        <w:rPr>
          <w:rFonts w:asciiTheme="majorHAnsi" w:eastAsiaTheme="majorEastAsia" w:hAnsiTheme="majorHAnsi" w:cstheme="majorBidi"/>
          <w:b/>
          <w:bCs/>
          <w:color w:val="365F91" w:themeColor="accent1" w:themeShade="BF"/>
          <w:sz w:val="28"/>
          <w:szCs w:val="28"/>
        </w:rPr>
      </w:pPr>
      <w:r>
        <w:rPr>
          <w:noProof/>
        </w:rPr>
        <w:drawing>
          <wp:inline distT="0" distB="0" distL="0" distR="0" wp14:anchorId="7ECE7813" wp14:editId="13C00827">
            <wp:extent cx="6400800" cy="3606800"/>
            <wp:effectExtent l="0" t="0" r="0" b="12700"/>
            <wp:docPr id="4" name="Chart 4">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4BCF63" w14:textId="08E18E0E" w:rsidR="00FC1426" w:rsidRPr="0014602C" w:rsidRDefault="00FC1426" w:rsidP="00FC1426">
      <w:pPr>
        <w:pStyle w:val="tableheading"/>
      </w:pPr>
      <w:bookmarkStart w:id="281" w:name="_Toc66955621"/>
      <w:bookmarkStart w:id="282" w:name="_Toc132641678"/>
      <w:r w:rsidRPr="0014602C">
        <w:lastRenderedPageBreak/>
        <w:t>Figure A.3.2: Dental Care for Children I</w:t>
      </w:r>
      <w:bookmarkEnd w:id="281"/>
      <w:bookmarkEnd w:id="282"/>
    </w:p>
    <w:p w14:paraId="02CF83B0" w14:textId="0CEB714A" w:rsidR="00FC1426" w:rsidRPr="0014602C" w:rsidRDefault="00AB379C" w:rsidP="005B13B0">
      <w:pPr>
        <w:spacing w:after="120"/>
        <w:rPr>
          <w:rFonts w:asciiTheme="majorHAnsi" w:eastAsiaTheme="majorEastAsia" w:hAnsiTheme="majorHAnsi" w:cstheme="majorBidi"/>
          <w:b/>
          <w:bCs/>
          <w:color w:val="365F91" w:themeColor="accent1" w:themeShade="BF"/>
          <w:sz w:val="28"/>
          <w:szCs w:val="28"/>
        </w:rPr>
      </w:pPr>
      <w:r>
        <w:rPr>
          <w:noProof/>
        </w:rPr>
        <w:drawing>
          <wp:inline distT="0" distB="0" distL="0" distR="0" wp14:anchorId="3F65EE49" wp14:editId="1253F61C">
            <wp:extent cx="6400800" cy="3657600"/>
            <wp:effectExtent l="0" t="0" r="0" b="0"/>
            <wp:docPr id="1" name="Chart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CCE3289" w14:textId="397EA312" w:rsidR="00FC1426" w:rsidRPr="0014602C" w:rsidRDefault="00FC1426" w:rsidP="00A60B24">
      <w:pPr>
        <w:rPr>
          <w:rFonts w:asciiTheme="majorHAnsi" w:eastAsiaTheme="majorEastAsia" w:hAnsiTheme="majorHAnsi" w:cstheme="majorBidi"/>
          <w:b/>
          <w:bCs/>
          <w:color w:val="365F91" w:themeColor="accent1" w:themeShade="BF"/>
          <w:sz w:val="28"/>
          <w:szCs w:val="28"/>
        </w:rPr>
      </w:pPr>
    </w:p>
    <w:p w14:paraId="1DCE290E" w14:textId="68B81BCC" w:rsidR="002F357D" w:rsidRPr="0014602C" w:rsidRDefault="002F357D">
      <w:pPr>
        <w:rPr>
          <w:rFonts w:asciiTheme="majorHAnsi" w:eastAsiaTheme="majorEastAsia" w:hAnsiTheme="majorHAnsi" w:cstheme="majorBidi"/>
          <w:bCs/>
          <w:iCs/>
          <w:color w:val="244061" w:themeColor="accent1" w:themeShade="80"/>
        </w:rPr>
      </w:pPr>
    </w:p>
    <w:p w14:paraId="779790E0" w14:textId="77777777" w:rsidR="003B3310" w:rsidRPr="0014602C" w:rsidRDefault="003B3310">
      <w:pPr>
        <w:rPr>
          <w:rFonts w:asciiTheme="majorHAnsi" w:eastAsiaTheme="majorEastAsia" w:hAnsiTheme="majorHAnsi" w:cstheme="majorBidi"/>
          <w:bCs/>
          <w:iCs/>
          <w:color w:val="244061" w:themeColor="accent1" w:themeShade="80"/>
        </w:rPr>
      </w:pPr>
    </w:p>
    <w:p w14:paraId="1E50998B" w14:textId="58810560" w:rsidR="002F357D" w:rsidRPr="0014602C" w:rsidRDefault="002F357D" w:rsidP="005B13B0">
      <w:pPr>
        <w:pStyle w:val="tableheading"/>
      </w:pPr>
      <w:bookmarkStart w:id="283" w:name="_Toc132641679"/>
      <w:r w:rsidRPr="0014602C">
        <w:t>Figure A.3.3: Dental Care for Children II</w:t>
      </w:r>
      <w:bookmarkEnd w:id="283"/>
    </w:p>
    <w:p w14:paraId="488E78B8" w14:textId="352BDEEE" w:rsidR="002F357D" w:rsidRPr="0014602C" w:rsidRDefault="00AB379C" w:rsidP="005B13B0">
      <w:pPr>
        <w:spacing w:after="120"/>
      </w:pPr>
      <w:r>
        <w:rPr>
          <w:noProof/>
        </w:rPr>
        <w:drawing>
          <wp:inline distT="0" distB="0" distL="0" distR="0" wp14:anchorId="6F1411B9" wp14:editId="70568C08">
            <wp:extent cx="6400800" cy="3657600"/>
            <wp:effectExtent l="0" t="0" r="0" b="0"/>
            <wp:docPr id="5" name="Chart 5">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E76FBAA" w14:textId="77777777" w:rsidR="002F357D" w:rsidRPr="0014602C" w:rsidRDefault="002F357D" w:rsidP="002F357D">
      <w:pPr>
        <w:rPr>
          <w:rFonts w:asciiTheme="majorHAnsi" w:eastAsiaTheme="majorEastAsia" w:hAnsiTheme="majorHAnsi" w:cstheme="majorBidi"/>
          <w:bCs/>
          <w:iCs/>
          <w:color w:val="244061" w:themeColor="accent1" w:themeShade="80"/>
        </w:rPr>
      </w:pPr>
    </w:p>
    <w:p w14:paraId="3AB63001" w14:textId="138FC251" w:rsidR="005B13B0" w:rsidRPr="0014602C" w:rsidRDefault="005B13B0">
      <w:pPr>
        <w:rPr>
          <w:rFonts w:asciiTheme="majorHAnsi" w:eastAsiaTheme="majorEastAsia" w:hAnsiTheme="majorHAnsi" w:cstheme="majorBidi"/>
          <w:bCs/>
          <w:iCs/>
          <w:color w:val="244061" w:themeColor="accent1" w:themeShade="80"/>
        </w:rPr>
      </w:pPr>
    </w:p>
    <w:p w14:paraId="38D8DDEC" w14:textId="7A5C5E5E" w:rsidR="002F357D" w:rsidRPr="0014602C" w:rsidRDefault="002F357D" w:rsidP="005B13B0">
      <w:pPr>
        <w:pStyle w:val="tableheading"/>
      </w:pPr>
      <w:bookmarkStart w:id="284" w:name="_Toc132641680"/>
      <w:r w:rsidRPr="0014602C">
        <w:lastRenderedPageBreak/>
        <w:t>Figure A.3.4: EPSDT: Screenings and Follow-Up I</w:t>
      </w:r>
      <w:bookmarkEnd w:id="284"/>
    </w:p>
    <w:p w14:paraId="72C674E2" w14:textId="4AD5FFAE" w:rsidR="002F357D" w:rsidRPr="0014602C" w:rsidRDefault="00AB379C" w:rsidP="005B13B0">
      <w:pPr>
        <w:spacing w:after="120"/>
      </w:pPr>
      <w:r>
        <w:rPr>
          <w:noProof/>
        </w:rPr>
        <w:drawing>
          <wp:inline distT="0" distB="0" distL="0" distR="0" wp14:anchorId="0EBE9BF8" wp14:editId="6A22B085">
            <wp:extent cx="6400800" cy="3657600"/>
            <wp:effectExtent l="0" t="0" r="0" b="0"/>
            <wp:docPr id="6" name="Chart 6">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D68DCA" w14:textId="77777777" w:rsidR="002F357D" w:rsidRPr="0014602C" w:rsidRDefault="002F357D"/>
    <w:p w14:paraId="38D38F42" w14:textId="449D2B58" w:rsidR="002F357D" w:rsidRPr="0014602C" w:rsidRDefault="002F357D"/>
    <w:p w14:paraId="7B654867" w14:textId="77777777" w:rsidR="003B3310" w:rsidRPr="0014602C" w:rsidRDefault="003B3310"/>
    <w:p w14:paraId="0FB329B3" w14:textId="07BD9891" w:rsidR="002F357D" w:rsidRPr="0014602C" w:rsidRDefault="002F357D" w:rsidP="005B13B0">
      <w:pPr>
        <w:pStyle w:val="tableheading"/>
      </w:pPr>
      <w:bookmarkStart w:id="285" w:name="_Toc132641681"/>
      <w:r w:rsidRPr="0014602C">
        <w:t>Figure A.3.5: EPSDT: Screenings and Follow-Up II</w:t>
      </w:r>
      <w:bookmarkEnd w:id="285"/>
    </w:p>
    <w:p w14:paraId="6753643C" w14:textId="52F178E4" w:rsidR="002F357D" w:rsidRPr="0014602C" w:rsidRDefault="00AB379C" w:rsidP="005B13B0">
      <w:pPr>
        <w:spacing w:after="120"/>
      </w:pPr>
      <w:r>
        <w:rPr>
          <w:noProof/>
        </w:rPr>
        <w:drawing>
          <wp:inline distT="0" distB="0" distL="0" distR="0" wp14:anchorId="14B7A0F1" wp14:editId="2F75BF16">
            <wp:extent cx="6400800" cy="3657600"/>
            <wp:effectExtent l="0" t="0" r="0" b="0"/>
            <wp:docPr id="7" name="Chart 7">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C555F1F" w14:textId="6CFB49D4" w:rsidR="002F357D" w:rsidRPr="0014602C" w:rsidRDefault="002F357D" w:rsidP="002F357D"/>
    <w:p w14:paraId="665B6A40" w14:textId="06C3E4EC" w:rsidR="002F357D" w:rsidRPr="0014602C" w:rsidRDefault="002F357D" w:rsidP="005B13B0">
      <w:pPr>
        <w:pStyle w:val="tableheading"/>
      </w:pPr>
      <w:bookmarkStart w:id="286" w:name="_Toc132641682"/>
      <w:r w:rsidRPr="0014602C">
        <w:lastRenderedPageBreak/>
        <w:t>Figure A.3.6: Respiratory Conditions</w:t>
      </w:r>
      <w:bookmarkEnd w:id="286"/>
    </w:p>
    <w:p w14:paraId="5C07F45D" w14:textId="04E7D106" w:rsidR="002F357D" w:rsidRPr="0014602C" w:rsidRDefault="00885A0E" w:rsidP="005B13B0">
      <w:pPr>
        <w:spacing w:after="120"/>
      </w:pPr>
      <w:r>
        <w:rPr>
          <w:noProof/>
        </w:rPr>
        <w:drawing>
          <wp:inline distT="0" distB="0" distL="0" distR="0" wp14:anchorId="4C4A77F8" wp14:editId="5FE9460D">
            <wp:extent cx="6400800" cy="3657600"/>
            <wp:effectExtent l="0" t="0" r="0" b="0"/>
            <wp:docPr id="13" name="Chart 13">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F4C3CE1" w14:textId="77777777" w:rsidR="002F357D" w:rsidRPr="0014602C" w:rsidRDefault="002F357D" w:rsidP="002F357D"/>
    <w:p w14:paraId="42247288" w14:textId="0B4A9BA8" w:rsidR="002F357D" w:rsidRPr="0014602C" w:rsidRDefault="002F357D"/>
    <w:p w14:paraId="58A2DF81" w14:textId="77777777" w:rsidR="003B3310" w:rsidRPr="0014602C" w:rsidRDefault="003B3310"/>
    <w:p w14:paraId="608093E0" w14:textId="2431ECB4" w:rsidR="002F357D" w:rsidRPr="0014602C" w:rsidRDefault="002F357D" w:rsidP="005B13B0">
      <w:pPr>
        <w:pStyle w:val="tableheading"/>
      </w:pPr>
      <w:bookmarkStart w:id="287" w:name="_Toc132641683"/>
      <w:r w:rsidRPr="0014602C">
        <w:t>Figure A.3.7: Well Care I</w:t>
      </w:r>
      <w:bookmarkEnd w:id="287"/>
    </w:p>
    <w:p w14:paraId="3FB5E0E6" w14:textId="13CA143E" w:rsidR="002F357D" w:rsidRPr="0014602C" w:rsidRDefault="00AB379C" w:rsidP="005B13B0">
      <w:pPr>
        <w:spacing w:after="120"/>
      </w:pPr>
      <w:r>
        <w:rPr>
          <w:noProof/>
        </w:rPr>
        <w:drawing>
          <wp:inline distT="0" distB="0" distL="0" distR="0" wp14:anchorId="4A7751F5" wp14:editId="2F462DBD">
            <wp:extent cx="6400800" cy="3657600"/>
            <wp:effectExtent l="0" t="0" r="0" b="0"/>
            <wp:docPr id="10" name="Chart 10">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42441D" w14:textId="77777777" w:rsidR="002F357D" w:rsidRPr="0014602C" w:rsidRDefault="002F357D">
      <w:pPr>
        <w:rPr>
          <w:rFonts w:asciiTheme="majorHAnsi" w:eastAsiaTheme="majorEastAsia" w:hAnsiTheme="majorHAnsi" w:cstheme="majorBidi"/>
          <w:bCs/>
          <w:iCs/>
          <w:color w:val="244061" w:themeColor="accent1" w:themeShade="80"/>
        </w:rPr>
      </w:pPr>
    </w:p>
    <w:p w14:paraId="7A631CA5" w14:textId="15BCEB8D" w:rsidR="00FC1426" w:rsidRPr="0014602C" w:rsidRDefault="00FC1426" w:rsidP="00FC1426">
      <w:pPr>
        <w:pStyle w:val="tableheading"/>
      </w:pPr>
      <w:bookmarkStart w:id="288" w:name="_Toc132641684"/>
      <w:r w:rsidRPr="0014602C">
        <w:lastRenderedPageBreak/>
        <w:t>Figure A.3.8: Well Care II</w:t>
      </w:r>
      <w:bookmarkEnd w:id="288"/>
    </w:p>
    <w:p w14:paraId="0B0394D0" w14:textId="3AD0316C" w:rsidR="00FC1426" w:rsidRPr="0014602C" w:rsidRDefault="00AB379C" w:rsidP="005B13B0">
      <w:pPr>
        <w:spacing w:after="120"/>
        <w:rPr>
          <w:rFonts w:asciiTheme="majorHAnsi" w:eastAsiaTheme="majorEastAsia" w:hAnsiTheme="majorHAnsi" w:cstheme="majorBidi"/>
          <w:b/>
          <w:bCs/>
          <w:color w:val="365F91" w:themeColor="accent1" w:themeShade="BF"/>
          <w:sz w:val="28"/>
          <w:szCs w:val="28"/>
        </w:rPr>
      </w:pPr>
      <w:r>
        <w:rPr>
          <w:noProof/>
        </w:rPr>
        <w:drawing>
          <wp:inline distT="0" distB="0" distL="0" distR="0" wp14:anchorId="6004D207" wp14:editId="44E19BF5">
            <wp:extent cx="6858000" cy="3657600"/>
            <wp:effectExtent l="0" t="0" r="0" b="0"/>
            <wp:docPr id="11" name="Chart 1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6685D61" w14:textId="484F0456" w:rsidR="00FC1426" w:rsidRPr="0014602C" w:rsidRDefault="00FC1426" w:rsidP="00FC1426">
      <w:pPr>
        <w:rPr>
          <w:rFonts w:asciiTheme="majorHAnsi" w:eastAsiaTheme="majorEastAsia" w:hAnsiTheme="majorHAnsi" w:cstheme="majorBidi"/>
          <w:b/>
          <w:bCs/>
          <w:color w:val="365F91" w:themeColor="accent1" w:themeShade="BF"/>
          <w:sz w:val="28"/>
          <w:szCs w:val="28"/>
        </w:rPr>
      </w:pPr>
    </w:p>
    <w:p w14:paraId="56DCD251" w14:textId="5BF09905" w:rsidR="00FC1426" w:rsidRPr="0014602C" w:rsidRDefault="00FC1426" w:rsidP="00FC1426">
      <w:pPr>
        <w:rPr>
          <w:rFonts w:asciiTheme="majorHAnsi" w:eastAsiaTheme="majorEastAsia" w:hAnsiTheme="majorHAnsi" w:cstheme="majorBidi"/>
          <w:b/>
          <w:bCs/>
          <w:color w:val="365F91" w:themeColor="accent1" w:themeShade="BF"/>
          <w:sz w:val="28"/>
          <w:szCs w:val="28"/>
        </w:rPr>
      </w:pPr>
    </w:p>
    <w:p w14:paraId="35268FA1" w14:textId="77777777" w:rsidR="003B3310" w:rsidRPr="0014602C" w:rsidRDefault="003B3310" w:rsidP="00FC1426">
      <w:pPr>
        <w:rPr>
          <w:rFonts w:asciiTheme="majorHAnsi" w:eastAsiaTheme="majorEastAsia" w:hAnsiTheme="majorHAnsi" w:cstheme="majorBidi"/>
          <w:b/>
          <w:bCs/>
          <w:color w:val="365F91" w:themeColor="accent1" w:themeShade="BF"/>
          <w:sz w:val="28"/>
          <w:szCs w:val="28"/>
        </w:rPr>
      </w:pPr>
    </w:p>
    <w:p w14:paraId="0553A1DE" w14:textId="2A528D5C" w:rsidR="00FC1426" w:rsidRPr="0014602C" w:rsidRDefault="00FC1426" w:rsidP="00FC1426">
      <w:pPr>
        <w:pStyle w:val="tableheading"/>
      </w:pPr>
      <w:bookmarkStart w:id="289" w:name="_Toc132641685"/>
      <w:r w:rsidRPr="0014602C">
        <w:t>Figure A.3.9: Well Care III</w:t>
      </w:r>
      <w:bookmarkEnd w:id="289"/>
    </w:p>
    <w:p w14:paraId="11C9B230" w14:textId="3C3F68B1" w:rsidR="00FC1426" w:rsidRPr="004602C2" w:rsidRDefault="00AB379C" w:rsidP="005B13B0">
      <w:pPr>
        <w:spacing w:after="120"/>
        <w:rPr>
          <w:rFonts w:asciiTheme="majorHAnsi" w:eastAsiaTheme="majorEastAsia" w:hAnsiTheme="majorHAnsi" w:cstheme="majorBidi"/>
          <w:b/>
          <w:bCs/>
          <w:color w:val="365F91" w:themeColor="accent1" w:themeShade="BF"/>
          <w:sz w:val="28"/>
          <w:szCs w:val="28"/>
          <w:highlight w:val="yellow"/>
        </w:rPr>
      </w:pPr>
      <w:r>
        <w:rPr>
          <w:noProof/>
        </w:rPr>
        <w:drawing>
          <wp:inline distT="0" distB="0" distL="0" distR="0" wp14:anchorId="67A013C2" wp14:editId="1E978F25">
            <wp:extent cx="6400800" cy="3657600"/>
            <wp:effectExtent l="0" t="0" r="0" b="0"/>
            <wp:docPr id="12" name="Chart 12">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A9EFCFC" w14:textId="35619D01" w:rsidR="00FC1426" w:rsidRPr="0014602C" w:rsidRDefault="00FC1426" w:rsidP="00FC1426">
      <w:pPr>
        <w:pStyle w:val="tableheading"/>
      </w:pPr>
      <w:bookmarkStart w:id="290" w:name="_Toc132641686"/>
      <w:r w:rsidRPr="0014602C">
        <w:lastRenderedPageBreak/>
        <w:t>Figure A.3.10: Well Care IV</w:t>
      </w:r>
      <w:bookmarkEnd w:id="290"/>
    </w:p>
    <w:p w14:paraId="326519D6" w14:textId="2439BAAF" w:rsidR="00FC1426" w:rsidRPr="004602C2" w:rsidRDefault="00AB379C" w:rsidP="005B13B0">
      <w:pPr>
        <w:spacing w:after="120"/>
        <w:rPr>
          <w:rFonts w:asciiTheme="majorHAnsi" w:eastAsiaTheme="majorEastAsia" w:hAnsiTheme="majorHAnsi" w:cstheme="majorBidi"/>
          <w:b/>
          <w:bCs/>
          <w:color w:val="365F91" w:themeColor="accent1" w:themeShade="BF"/>
          <w:sz w:val="28"/>
          <w:szCs w:val="28"/>
          <w:highlight w:val="yellow"/>
        </w:rPr>
      </w:pPr>
      <w:r>
        <w:rPr>
          <w:noProof/>
        </w:rPr>
        <w:drawing>
          <wp:inline distT="0" distB="0" distL="0" distR="0" wp14:anchorId="55BB9E5E" wp14:editId="68574487">
            <wp:extent cx="6400800" cy="3657600"/>
            <wp:effectExtent l="0" t="0" r="0" b="0"/>
            <wp:docPr id="14" name="Chart 14">
              <a:extLst xmlns:a="http://schemas.openxmlformats.org/drawingml/2006/main">
                <a:ext uri="{FF2B5EF4-FFF2-40B4-BE49-F238E27FC236}">
                  <a16:creationId xmlns:a16="http://schemas.microsoft.com/office/drawing/2014/main" id="{00000000-0008-0000-04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bookmarkEnd w:id="1"/>
    <w:p w14:paraId="18607DEF" w14:textId="4C86F2A4" w:rsidR="004A521E" w:rsidRPr="004602C2" w:rsidRDefault="004A521E">
      <w:pPr>
        <w:rPr>
          <w:rFonts w:asciiTheme="majorHAnsi" w:eastAsiaTheme="majorEastAsia" w:hAnsiTheme="majorHAnsi" w:cstheme="majorBidi"/>
          <w:b/>
          <w:bCs/>
          <w:color w:val="365F91" w:themeColor="accent1" w:themeShade="BF"/>
          <w:sz w:val="28"/>
          <w:szCs w:val="28"/>
          <w:highlight w:val="yellow"/>
        </w:rPr>
      </w:pPr>
    </w:p>
    <w:p w14:paraId="2360EE4E" w14:textId="77777777" w:rsidR="003B3310" w:rsidRPr="004602C2" w:rsidRDefault="003B3310">
      <w:pPr>
        <w:rPr>
          <w:rFonts w:asciiTheme="majorHAnsi" w:eastAsiaTheme="majorEastAsia" w:hAnsiTheme="majorHAnsi" w:cstheme="majorBidi"/>
          <w:b/>
          <w:bCs/>
          <w:color w:val="365F91" w:themeColor="accent1" w:themeShade="BF"/>
          <w:sz w:val="28"/>
          <w:szCs w:val="28"/>
          <w:highlight w:val="yellow"/>
        </w:rPr>
      </w:pPr>
    </w:p>
    <w:p w14:paraId="6EEB7138" w14:textId="08E13F2C" w:rsidR="004A521E" w:rsidRPr="0014602C" w:rsidRDefault="004A521E" w:rsidP="005B13B0">
      <w:pPr>
        <w:pStyle w:val="tableheading"/>
      </w:pPr>
      <w:bookmarkStart w:id="291" w:name="_Toc132641687"/>
      <w:r w:rsidRPr="0014602C">
        <w:t>Figure A.3.</w:t>
      </w:r>
      <w:r w:rsidR="00A92005" w:rsidRPr="0014602C">
        <w:t>11</w:t>
      </w:r>
      <w:r w:rsidRPr="0014602C">
        <w:t>: Well Care V</w:t>
      </w:r>
      <w:bookmarkEnd w:id="291"/>
    </w:p>
    <w:p w14:paraId="59635F7D" w14:textId="5CB2BDF2" w:rsidR="004A521E" w:rsidRPr="00F7033D" w:rsidRDefault="00AB379C" w:rsidP="003B3310">
      <w:pPr>
        <w:spacing w:after="240"/>
      </w:pPr>
      <w:r>
        <w:rPr>
          <w:noProof/>
        </w:rPr>
        <w:drawing>
          <wp:inline distT="0" distB="0" distL="0" distR="0" wp14:anchorId="502DCFD2" wp14:editId="4FFBB7AF">
            <wp:extent cx="6400800" cy="3657600"/>
            <wp:effectExtent l="0" t="0" r="0" b="0"/>
            <wp:docPr id="15" name="Chart 15">
              <a:extLst xmlns:a="http://schemas.openxmlformats.org/drawingml/2006/main">
                <a:ext uri="{FF2B5EF4-FFF2-40B4-BE49-F238E27FC236}">
                  <a16:creationId xmlns:a16="http://schemas.microsoft.com/office/drawing/2014/main" id="{00000000-0008-0000-04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sectPr w:rsidR="004A521E" w:rsidRPr="00F7033D" w:rsidSect="00CE585A">
      <w:footerReference w:type="default" r:id="rId25"/>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219E4" w14:textId="77777777" w:rsidR="00AA5789" w:rsidRDefault="00AA5789" w:rsidP="00C9378F">
      <w:r>
        <w:separator/>
      </w:r>
    </w:p>
  </w:endnote>
  <w:endnote w:type="continuationSeparator" w:id="0">
    <w:p w14:paraId="31DAE116" w14:textId="77777777" w:rsidR="00AA5789" w:rsidRDefault="00AA5789" w:rsidP="00C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CDFA" w14:textId="77777777" w:rsidR="00AB379C" w:rsidRPr="00006AC7" w:rsidRDefault="00AB379C" w:rsidP="00006AC7">
    <w:pPr>
      <w:pStyle w:val="Footer"/>
      <w:tabs>
        <w:tab w:val="clear" w:pos="4680"/>
        <w:tab w:val="clear" w:pos="9360"/>
        <w:tab w:val="right" w:pos="10800"/>
        <w:tab w:val="right" w:pos="14400"/>
      </w:tabs>
      <w:rPr>
        <w:sz w:val="20"/>
        <w:szCs w:val="20"/>
      </w:rPr>
    </w:pPr>
    <w:r w:rsidRPr="00B41D36">
      <w:rPr>
        <w:sz w:val="20"/>
        <w:szCs w:val="20"/>
      </w:rPr>
      <w:t>202</w:t>
    </w:r>
    <w:r>
      <w:rPr>
        <w:sz w:val="20"/>
        <w:szCs w:val="20"/>
      </w:rPr>
      <w:t>2</w:t>
    </w:r>
    <w:r w:rsidRPr="00B41D36">
      <w:rPr>
        <w:sz w:val="20"/>
        <w:szCs w:val="20"/>
      </w:rPr>
      <w:t xml:space="preserve"> External Quality Review Report: </w:t>
    </w:r>
    <w:r>
      <w:rPr>
        <w:sz w:val="20"/>
        <w:szCs w:val="20"/>
      </w:rPr>
      <w:t>UPMC for Kids</w:t>
    </w:r>
    <w:r>
      <w:rPr>
        <w:sz w:val="20"/>
        <w:szCs w:val="20"/>
      </w:rPr>
      <w:tab/>
    </w:r>
    <w:r w:rsidRPr="00B41D36">
      <w:rPr>
        <w:sz w:val="20"/>
        <w:szCs w:val="20"/>
      </w:rPr>
      <w:t xml:space="preserve">Page </w:t>
    </w:r>
    <w:r w:rsidRPr="00B41D36">
      <w:rPr>
        <w:sz w:val="20"/>
        <w:szCs w:val="20"/>
      </w:rPr>
      <w:fldChar w:fldCharType="begin"/>
    </w:r>
    <w:r w:rsidRPr="00B41D36">
      <w:rPr>
        <w:sz w:val="20"/>
        <w:szCs w:val="20"/>
      </w:rPr>
      <w:instrText xml:space="preserve"> PAGE  \* Arabic  \* MERGEFORMAT </w:instrText>
    </w:r>
    <w:r w:rsidRPr="00B41D36">
      <w:rPr>
        <w:sz w:val="20"/>
        <w:szCs w:val="20"/>
      </w:rPr>
      <w:fldChar w:fldCharType="separate"/>
    </w:r>
    <w:r>
      <w:rPr>
        <w:noProof/>
        <w:sz w:val="20"/>
        <w:szCs w:val="20"/>
      </w:rPr>
      <w:t>6</w:t>
    </w:r>
    <w:r w:rsidRPr="00B41D36">
      <w:rPr>
        <w:sz w:val="20"/>
        <w:szCs w:val="20"/>
      </w:rPr>
      <w:fldChar w:fldCharType="end"/>
    </w:r>
    <w:r w:rsidRPr="00B41D36">
      <w:rPr>
        <w:sz w:val="20"/>
        <w:szCs w:val="20"/>
      </w:rPr>
      <w:t xml:space="preserve"> of </w:t>
    </w:r>
    <w:r w:rsidRPr="00B41D36">
      <w:rPr>
        <w:sz w:val="20"/>
        <w:szCs w:val="20"/>
      </w:rPr>
      <w:fldChar w:fldCharType="begin"/>
    </w:r>
    <w:r w:rsidRPr="00B41D36">
      <w:rPr>
        <w:sz w:val="20"/>
        <w:szCs w:val="20"/>
      </w:rPr>
      <w:instrText xml:space="preserve"> NUMPAGES  \# "0" \* Arabic  \* MERGEFORMAT </w:instrText>
    </w:r>
    <w:r w:rsidRPr="00B41D36">
      <w:rPr>
        <w:sz w:val="20"/>
        <w:szCs w:val="20"/>
      </w:rPr>
      <w:fldChar w:fldCharType="separate"/>
    </w:r>
    <w:r>
      <w:rPr>
        <w:noProof/>
        <w:sz w:val="20"/>
        <w:szCs w:val="20"/>
      </w:rPr>
      <w:t>57</w:t>
    </w:r>
    <w:r w:rsidRPr="00B41D36">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11D00" w14:textId="16D6536C" w:rsidR="00AB379C" w:rsidRPr="00CE585A" w:rsidRDefault="00AB379C" w:rsidP="00CE585A">
    <w:pPr>
      <w:pStyle w:val="Footer"/>
      <w:tabs>
        <w:tab w:val="clear" w:pos="4680"/>
        <w:tab w:val="clear" w:pos="9360"/>
        <w:tab w:val="right" w:pos="14400"/>
      </w:tabs>
      <w:rPr>
        <w:sz w:val="20"/>
        <w:szCs w:val="20"/>
      </w:rPr>
    </w:pPr>
    <w:r w:rsidRPr="00B41D36">
      <w:rPr>
        <w:sz w:val="20"/>
        <w:szCs w:val="20"/>
      </w:rPr>
      <w:t>202</w:t>
    </w:r>
    <w:r>
      <w:rPr>
        <w:sz w:val="20"/>
        <w:szCs w:val="20"/>
      </w:rPr>
      <w:t>2</w:t>
    </w:r>
    <w:r w:rsidRPr="00B41D36">
      <w:rPr>
        <w:sz w:val="20"/>
        <w:szCs w:val="20"/>
      </w:rPr>
      <w:t xml:space="preserve"> External Quality Review Report</w:t>
    </w:r>
    <w:r>
      <w:rPr>
        <w:sz w:val="20"/>
        <w:szCs w:val="20"/>
      </w:rPr>
      <w:t>: UPMC for Kids</w:t>
    </w:r>
    <w:r>
      <w:rPr>
        <w:sz w:val="20"/>
        <w:szCs w:val="20"/>
      </w:rPr>
      <w:tab/>
    </w:r>
    <w:r w:rsidRPr="00B41D36">
      <w:rPr>
        <w:sz w:val="20"/>
        <w:szCs w:val="20"/>
      </w:rPr>
      <w:t xml:space="preserve">Page </w:t>
    </w:r>
    <w:r w:rsidRPr="00B41D36">
      <w:rPr>
        <w:sz w:val="20"/>
        <w:szCs w:val="20"/>
      </w:rPr>
      <w:fldChar w:fldCharType="begin"/>
    </w:r>
    <w:r w:rsidRPr="00B41D36">
      <w:rPr>
        <w:sz w:val="20"/>
        <w:szCs w:val="20"/>
      </w:rPr>
      <w:instrText xml:space="preserve"> PAGE  \* Arabic  \* MERGEFORMAT </w:instrText>
    </w:r>
    <w:r w:rsidRPr="00B41D36">
      <w:rPr>
        <w:sz w:val="20"/>
        <w:szCs w:val="20"/>
      </w:rPr>
      <w:fldChar w:fldCharType="separate"/>
    </w:r>
    <w:r>
      <w:rPr>
        <w:noProof/>
        <w:sz w:val="20"/>
        <w:szCs w:val="20"/>
      </w:rPr>
      <w:t>40</w:t>
    </w:r>
    <w:r w:rsidRPr="00B41D36">
      <w:rPr>
        <w:sz w:val="20"/>
        <w:szCs w:val="20"/>
      </w:rPr>
      <w:fldChar w:fldCharType="end"/>
    </w:r>
    <w:r w:rsidRPr="00B41D36">
      <w:rPr>
        <w:sz w:val="20"/>
        <w:szCs w:val="20"/>
      </w:rPr>
      <w:t xml:space="preserve"> of </w:t>
    </w:r>
    <w:r w:rsidRPr="00B41D36">
      <w:rPr>
        <w:sz w:val="20"/>
        <w:szCs w:val="20"/>
      </w:rPr>
      <w:fldChar w:fldCharType="begin"/>
    </w:r>
    <w:r w:rsidRPr="00B41D36">
      <w:rPr>
        <w:sz w:val="20"/>
        <w:szCs w:val="20"/>
      </w:rPr>
      <w:instrText xml:space="preserve"> NUMPAGES  \# "0" \* Arabic  \* MERGEFORMAT </w:instrText>
    </w:r>
    <w:r w:rsidRPr="00B41D36">
      <w:rPr>
        <w:sz w:val="20"/>
        <w:szCs w:val="20"/>
      </w:rPr>
      <w:fldChar w:fldCharType="separate"/>
    </w:r>
    <w:r>
      <w:rPr>
        <w:noProof/>
        <w:sz w:val="20"/>
        <w:szCs w:val="20"/>
      </w:rPr>
      <w:t>57</w:t>
    </w:r>
    <w:r w:rsidRPr="00B41D36">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7305D" w14:textId="38637B6B" w:rsidR="003D106B" w:rsidRPr="0027381C" w:rsidRDefault="006726B4" w:rsidP="0027381C">
    <w:pPr>
      <w:pStyle w:val="Footer"/>
      <w:tabs>
        <w:tab w:val="clear" w:pos="4680"/>
        <w:tab w:val="clear" w:pos="9360"/>
        <w:tab w:val="right" w:pos="10800"/>
        <w:tab w:val="right" w:pos="14400"/>
      </w:tabs>
      <w:rPr>
        <w:sz w:val="20"/>
        <w:szCs w:val="20"/>
      </w:rPr>
    </w:pPr>
    <w:r w:rsidRPr="00FD74FC">
      <w:rPr>
        <w:sz w:val="20"/>
        <w:szCs w:val="20"/>
      </w:rPr>
      <w:t>202</w:t>
    </w:r>
    <w:r w:rsidR="004630E7">
      <w:rPr>
        <w:sz w:val="20"/>
        <w:szCs w:val="20"/>
      </w:rPr>
      <w:t>2</w:t>
    </w:r>
    <w:r w:rsidRPr="00FD74FC">
      <w:rPr>
        <w:sz w:val="20"/>
        <w:szCs w:val="20"/>
      </w:rPr>
      <w:t xml:space="preserve"> External Quality Review Report:</w:t>
    </w:r>
    <w:r w:rsidR="00211938">
      <w:rPr>
        <w:sz w:val="20"/>
        <w:szCs w:val="20"/>
      </w:rPr>
      <w:t xml:space="preserve"> </w:t>
    </w:r>
    <w:r w:rsidR="00AB379C">
      <w:rPr>
        <w:sz w:val="20"/>
        <w:szCs w:val="20"/>
      </w:rPr>
      <w:t>UPMC for Kids</w:t>
    </w:r>
    <w:r w:rsidRPr="00FD74FC">
      <w:rPr>
        <w:sz w:val="20"/>
        <w:szCs w:val="20"/>
      </w:rPr>
      <w:tab/>
      <w:t xml:space="preserve">Page </w:t>
    </w:r>
    <w:r w:rsidRPr="00FD74FC">
      <w:rPr>
        <w:sz w:val="20"/>
        <w:szCs w:val="20"/>
      </w:rPr>
      <w:fldChar w:fldCharType="begin"/>
    </w:r>
    <w:r w:rsidRPr="00FD74FC">
      <w:rPr>
        <w:sz w:val="20"/>
        <w:szCs w:val="20"/>
      </w:rPr>
      <w:instrText xml:space="preserve"> PAGE  \* Arabic  \* MERGEFORMAT </w:instrText>
    </w:r>
    <w:r w:rsidRPr="00FD74FC">
      <w:rPr>
        <w:sz w:val="20"/>
        <w:szCs w:val="20"/>
      </w:rPr>
      <w:fldChar w:fldCharType="separate"/>
    </w:r>
    <w:r w:rsidR="00056616">
      <w:rPr>
        <w:noProof/>
        <w:sz w:val="20"/>
        <w:szCs w:val="20"/>
      </w:rPr>
      <w:t>57</w:t>
    </w:r>
    <w:r w:rsidRPr="00FD74FC">
      <w:rPr>
        <w:sz w:val="20"/>
        <w:szCs w:val="20"/>
      </w:rPr>
      <w:fldChar w:fldCharType="end"/>
    </w:r>
    <w:r w:rsidRPr="00FD74FC">
      <w:rPr>
        <w:sz w:val="20"/>
        <w:szCs w:val="20"/>
      </w:rPr>
      <w:t xml:space="preserve"> of </w:t>
    </w:r>
    <w:r w:rsidRPr="00FD74FC">
      <w:rPr>
        <w:sz w:val="20"/>
        <w:szCs w:val="20"/>
      </w:rPr>
      <w:fldChar w:fldCharType="begin"/>
    </w:r>
    <w:r w:rsidRPr="00FD74FC">
      <w:rPr>
        <w:sz w:val="20"/>
        <w:szCs w:val="20"/>
      </w:rPr>
      <w:instrText xml:space="preserve"> NUMPAGES  \# "0" \* Arabic  \* MERGEFORMAT </w:instrText>
    </w:r>
    <w:r w:rsidRPr="00FD74FC">
      <w:rPr>
        <w:sz w:val="20"/>
        <w:szCs w:val="20"/>
      </w:rPr>
      <w:fldChar w:fldCharType="separate"/>
    </w:r>
    <w:r w:rsidR="00056616">
      <w:rPr>
        <w:noProof/>
        <w:sz w:val="20"/>
        <w:szCs w:val="20"/>
      </w:rPr>
      <w:t>57</w:t>
    </w:r>
    <w:r w:rsidRPr="00FD74FC">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1630" w14:textId="77777777" w:rsidR="00AA5789" w:rsidRDefault="00AA5789" w:rsidP="00C9378F">
      <w:r>
        <w:separator/>
      </w:r>
    </w:p>
  </w:footnote>
  <w:footnote w:type="continuationSeparator" w:id="0">
    <w:p w14:paraId="04B0D56D" w14:textId="77777777" w:rsidR="00AA5789" w:rsidRDefault="00AA5789" w:rsidP="00C9378F">
      <w:r>
        <w:continuationSeparator/>
      </w:r>
    </w:p>
  </w:footnote>
  <w:footnote w:id="1">
    <w:p w14:paraId="371DBD25" w14:textId="331D2DDF" w:rsidR="009C7EB7" w:rsidRDefault="009C7EB7">
      <w:pPr>
        <w:pStyle w:val="FootnoteText"/>
      </w:pPr>
      <w:r>
        <w:rPr>
          <w:rStyle w:val="FootnoteReference"/>
        </w:rPr>
        <w:footnoteRef/>
      </w:r>
      <w:r>
        <w:t xml:space="preserve"> </w:t>
      </w:r>
      <w:r w:rsidRPr="009C7EB7">
        <w:rPr>
          <w:rFonts w:ascii="Calibri" w:eastAsia="PMingLiU" w:hAnsi="Calibri" w:cs="Arial"/>
        </w:rPr>
        <w:t>https://jamanetwork.com/journals/jamapediatrics/article-abstract/2784260</w:t>
      </w:r>
    </w:p>
  </w:footnote>
  <w:footnote w:id="2">
    <w:p w14:paraId="49A7865B" w14:textId="5684E562" w:rsidR="006C6B88" w:rsidRDefault="006C6B88">
      <w:pPr>
        <w:pStyle w:val="FootnoteText"/>
      </w:pPr>
      <w:r>
        <w:rPr>
          <w:rStyle w:val="FootnoteReference"/>
        </w:rPr>
        <w:footnoteRef/>
      </w:r>
      <w:r>
        <w:t xml:space="preserve"> </w:t>
      </w:r>
      <w:r w:rsidRPr="009C7EB7">
        <w:rPr>
          <w:rFonts w:ascii="Calibri" w:eastAsia="PMingLiU" w:hAnsi="Calibri" w:cs="Arial"/>
        </w:rPr>
        <w:t>https://www.cdc.gov/nceh/lead/docs/cbls-national-data-table-508.pdf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3E26"/>
    <w:multiLevelType w:val="hybridMultilevel"/>
    <w:tmpl w:val="1CE617B0"/>
    <w:lvl w:ilvl="0" w:tplc="4C50EF26">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91217"/>
    <w:multiLevelType w:val="hybridMultilevel"/>
    <w:tmpl w:val="63AC2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8F2985"/>
    <w:multiLevelType w:val="hybridMultilevel"/>
    <w:tmpl w:val="FEF25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05B6E"/>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163AC4"/>
    <w:multiLevelType w:val="hybridMultilevel"/>
    <w:tmpl w:val="415A83FA"/>
    <w:lvl w:ilvl="0" w:tplc="BFB07F1E">
      <w:start w:val="1"/>
      <w:numFmt w:val="bullet"/>
      <w:pStyle w:val="Dash"/>
      <w:lvlText w:val="–"/>
      <w:lvlJc w:val="left"/>
      <w:pPr>
        <w:tabs>
          <w:tab w:val="num" w:pos="792"/>
        </w:tabs>
        <w:ind w:left="792" w:hanging="216"/>
      </w:pPr>
      <w:rPr>
        <w:rFonts w:ascii="Arial" w:hAnsi="Aria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3C728E"/>
    <w:multiLevelType w:val="hybridMultilevel"/>
    <w:tmpl w:val="184C7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243A5A"/>
    <w:multiLevelType w:val="hybridMultilevel"/>
    <w:tmpl w:val="CAD25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310E1"/>
    <w:multiLevelType w:val="hybridMultilevel"/>
    <w:tmpl w:val="8A58D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E70D9"/>
    <w:multiLevelType w:val="hybridMultilevel"/>
    <w:tmpl w:val="9E9E902E"/>
    <w:lvl w:ilvl="0" w:tplc="04090001">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CB70D3"/>
    <w:multiLevelType w:val="hybridMultilevel"/>
    <w:tmpl w:val="25C2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3E25B9"/>
    <w:multiLevelType w:val="hybridMultilevel"/>
    <w:tmpl w:val="C242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152D7F"/>
    <w:multiLevelType w:val="hybridMultilevel"/>
    <w:tmpl w:val="7EB21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57B63"/>
    <w:multiLevelType w:val="hybridMultilevel"/>
    <w:tmpl w:val="87BA634C"/>
    <w:lvl w:ilvl="0" w:tplc="FA0EA41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66C709B"/>
    <w:multiLevelType w:val="hybridMultilevel"/>
    <w:tmpl w:val="1F14AEA8"/>
    <w:lvl w:ilvl="0" w:tplc="D6E259D4">
      <w:start w:val="1"/>
      <w:numFmt w:val="bullet"/>
      <w:pStyle w:val="ProcessBullet"/>
      <w:lvlText w:val=""/>
      <w:lvlJc w:val="left"/>
      <w:pPr>
        <w:tabs>
          <w:tab w:val="num" w:pos="216"/>
        </w:tabs>
        <w:ind w:left="216" w:hanging="216"/>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095F83"/>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865D4"/>
    <w:multiLevelType w:val="hybridMultilevel"/>
    <w:tmpl w:val="622CA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A105F5"/>
    <w:multiLevelType w:val="hybridMultilevel"/>
    <w:tmpl w:val="22DCC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17" w15:restartNumberingAfterBreak="0">
    <w:nsid w:val="49FB5F59"/>
    <w:multiLevelType w:val="hybridMultilevel"/>
    <w:tmpl w:val="50D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135C02"/>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B525D65"/>
    <w:multiLevelType w:val="hybridMultilevel"/>
    <w:tmpl w:val="7ED2CA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C0D5E03"/>
    <w:multiLevelType w:val="hybridMultilevel"/>
    <w:tmpl w:val="B3AA1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AA659E"/>
    <w:multiLevelType w:val="hybridMultilevel"/>
    <w:tmpl w:val="40289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CE24F0"/>
    <w:multiLevelType w:val="hybridMultilevel"/>
    <w:tmpl w:val="8326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17F3E"/>
    <w:multiLevelType w:val="hybridMultilevel"/>
    <w:tmpl w:val="5D8E8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32050A"/>
    <w:multiLevelType w:val="hybridMultilevel"/>
    <w:tmpl w:val="9C3ADBD6"/>
    <w:lvl w:ilvl="0" w:tplc="84C4D046">
      <w:start w:val="1"/>
      <w:numFmt w:val="bullet"/>
      <w:pStyle w:val="Bullet"/>
      <w:lvlText w:val=""/>
      <w:lvlJc w:val="left"/>
      <w:pPr>
        <w:tabs>
          <w:tab w:val="num" w:pos="576"/>
        </w:tabs>
        <w:ind w:left="936" w:hanging="216"/>
      </w:pPr>
      <w:rPr>
        <w:rFonts w:ascii="Symbol" w:hAnsi="Symbol" w:hint="default"/>
        <w:sz w:val="20"/>
        <w:szCs w:val="20"/>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256396C"/>
    <w:multiLevelType w:val="hybridMultilevel"/>
    <w:tmpl w:val="4F64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505523"/>
    <w:multiLevelType w:val="hybridMultilevel"/>
    <w:tmpl w:val="BD3C29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72FE3F38"/>
    <w:multiLevelType w:val="hybridMultilevel"/>
    <w:tmpl w:val="9CFAC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177CE"/>
    <w:multiLevelType w:val="hybridMultilevel"/>
    <w:tmpl w:val="E1507BE6"/>
    <w:lvl w:ilvl="0" w:tplc="04090013">
      <w:start w:val="1"/>
      <w:numFmt w:val="upp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9" w15:restartNumberingAfterBreak="0">
    <w:nsid w:val="7C632640"/>
    <w:multiLevelType w:val="hybridMultilevel"/>
    <w:tmpl w:val="B7769748"/>
    <w:lvl w:ilvl="0" w:tplc="E26259C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63869416">
    <w:abstractNumId w:val="12"/>
  </w:num>
  <w:num w:numId="2" w16cid:durableId="1879122309">
    <w:abstractNumId w:val="28"/>
  </w:num>
  <w:num w:numId="3" w16cid:durableId="466121943">
    <w:abstractNumId w:val="18"/>
  </w:num>
  <w:num w:numId="4" w16cid:durableId="1642075823">
    <w:abstractNumId w:val="29"/>
  </w:num>
  <w:num w:numId="5" w16cid:durableId="20859741">
    <w:abstractNumId w:val="3"/>
  </w:num>
  <w:num w:numId="6" w16cid:durableId="989989741">
    <w:abstractNumId w:val="14"/>
  </w:num>
  <w:num w:numId="7" w16cid:durableId="1063529350">
    <w:abstractNumId w:val="0"/>
  </w:num>
  <w:num w:numId="8" w16cid:durableId="2043554467">
    <w:abstractNumId w:val="21"/>
  </w:num>
  <w:num w:numId="9" w16cid:durableId="1053624637">
    <w:abstractNumId w:val="7"/>
  </w:num>
  <w:num w:numId="10" w16cid:durableId="794131679">
    <w:abstractNumId w:val="16"/>
  </w:num>
  <w:num w:numId="11" w16cid:durableId="1940066450">
    <w:abstractNumId w:val="8"/>
  </w:num>
  <w:num w:numId="12" w16cid:durableId="1748187677">
    <w:abstractNumId w:val="19"/>
  </w:num>
  <w:num w:numId="13" w16cid:durableId="503671997">
    <w:abstractNumId w:val="24"/>
  </w:num>
  <w:num w:numId="14" w16cid:durableId="502742801">
    <w:abstractNumId w:val="13"/>
  </w:num>
  <w:num w:numId="15" w16cid:durableId="1515338614">
    <w:abstractNumId w:val="4"/>
  </w:num>
  <w:num w:numId="16" w16cid:durableId="1945073748">
    <w:abstractNumId w:val="27"/>
  </w:num>
  <w:num w:numId="17" w16cid:durableId="1526481621">
    <w:abstractNumId w:val="23"/>
  </w:num>
  <w:num w:numId="18" w16cid:durableId="621303751">
    <w:abstractNumId w:val="20"/>
  </w:num>
  <w:num w:numId="19" w16cid:durableId="1947426596">
    <w:abstractNumId w:val="9"/>
  </w:num>
  <w:num w:numId="20" w16cid:durableId="1477647116">
    <w:abstractNumId w:val="11"/>
  </w:num>
  <w:num w:numId="21" w16cid:durableId="1585996845">
    <w:abstractNumId w:val="2"/>
  </w:num>
  <w:num w:numId="22" w16cid:durableId="69162395">
    <w:abstractNumId w:val="5"/>
  </w:num>
  <w:num w:numId="23" w16cid:durableId="1650789417">
    <w:abstractNumId w:val="22"/>
  </w:num>
  <w:num w:numId="24" w16cid:durableId="1871608360">
    <w:abstractNumId w:val="10"/>
  </w:num>
  <w:num w:numId="25" w16cid:durableId="4433106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9507898">
    <w:abstractNumId w:val="17"/>
  </w:num>
  <w:num w:numId="27" w16cid:durableId="1059209180">
    <w:abstractNumId w:val="1"/>
  </w:num>
  <w:num w:numId="28" w16cid:durableId="1088426236">
    <w:abstractNumId w:val="25"/>
  </w:num>
  <w:num w:numId="29" w16cid:durableId="1760713570">
    <w:abstractNumId w:val="6"/>
  </w:num>
  <w:num w:numId="30" w16cid:durableId="667444608">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8F"/>
    <w:rsid w:val="000021AD"/>
    <w:rsid w:val="00002D28"/>
    <w:rsid w:val="00004A44"/>
    <w:rsid w:val="00004BD4"/>
    <w:rsid w:val="00005409"/>
    <w:rsid w:val="00005D23"/>
    <w:rsid w:val="00006AC7"/>
    <w:rsid w:val="00015727"/>
    <w:rsid w:val="00015EBA"/>
    <w:rsid w:val="000178BD"/>
    <w:rsid w:val="00021C17"/>
    <w:rsid w:val="00025299"/>
    <w:rsid w:val="00026329"/>
    <w:rsid w:val="000278A2"/>
    <w:rsid w:val="000415C8"/>
    <w:rsid w:val="000510AA"/>
    <w:rsid w:val="000530B4"/>
    <w:rsid w:val="0005485D"/>
    <w:rsid w:val="00056616"/>
    <w:rsid w:val="0005713F"/>
    <w:rsid w:val="000579C7"/>
    <w:rsid w:val="00061943"/>
    <w:rsid w:val="00067B1D"/>
    <w:rsid w:val="0007026A"/>
    <w:rsid w:val="00072FEB"/>
    <w:rsid w:val="000771D5"/>
    <w:rsid w:val="000805F8"/>
    <w:rsid w:val="00080CF0"/>
    <w:rsid w:val="00082B78"/>
    <w:rsid w:val="000901C6"/>
    <w:rsid w:val="0009653E"/>
    <w:rsid w:val="000A7148"/>
    <w:rsid w:val="000B140A"/>
    <w:rsid w:val="000B4631"/>
    <w:rsid w:val="000B4C6D"/>
    <w:rsid w:val="000C006E"/>
    <w:rsid w:val="000C5F2C"/>
    <w:rsid w:val="000C742E"/>
    <w:rsid w:val="000D1B95"/>
    <w:rsid w:val="000D2822"/>
    <w:rsid w:val="000E1C48"/>
    <w:rsid w:val="000E1FC7"/>
    <w:rsid w:val="000E25EA"/>
    <w:rsid w:val="000E299B"/>
    <w:rsid w:val="000E53E2"/>
    <w:rsid w:val="000E57E2"/>
    <w:rsid w:val="000F0E73"/>
    <w:rsid w:val="000F102F"/>
    <w:rsid w:val="00103025"/>
    <w:rsid w:val="00103970"/>
    <w:rsid w:val="0010458B"/>
    <w:rsid w:val="00115446"/>
    <w:rsid w:val="00117621"/>
    <w:rsid w:val="001211E3"/>
    <w:rsid w:val="001279B0"/>
    <w:rsid w:val="00136097"/>
    <w:rsid w:val="001376C8"/>
    <w:rsid w:val="00137856"/>
    <w:rsid w:val="00144294"/>
    <w:rsid w:val="0014602C"/>
    <w:rsid w:val="00155488"/>
    <w:rsid w:val="00156B2A"/>
    <w:rsid w:val="00160A74"/>
    <w:rsid w:val="00166921"/>
    <w:rsid w:val="00171D00"/>
    <w:rsid w:val="00172039"/>
    <w:rsid w:val="001803AC"/>
    <w:rsid w:val="001818E1"/>
    <w:rsid w:val="00185093"/>
    <w:rsid w:val="001860D6"/>
    <w:rsid w:val="00195370"/>
    <w:rsid w:val="00195B2A"/>
    <w:rsid w:val="00196844"/>
    <w:rsid w:val="00196E5F"/>
    <w:rsid w:val="00197592"/>
    <w:rsid w:val="00197CFC"/>
    <w:rsid w:val="001A14DD"/>
    <w:rsid w:val="001C3C11"/>
    <w:rsid w:val="001D19A2"/>
    <w:rsid w:val="001D3AF2"/>
    <w:rsid w:val="001D72C2"/>
    <w:rsid w:val="001E1BE7"/>
    <w:rsid w:val="001E29DC"/>
    <w:rsid w:val="001F26E0"/>
    <w:rsid w:val="001F2B23"/>
    <w:rsid w:val="001F45A7"/>
    <w:rsid w:val="001F5986"/>
    <w:rsid w:val="0020370C"/>
    <w:rsid w:val="00207517"/>
    <w:rsid w:val="00207EA2"/>
    <w:rsid w:val="00210ECA"/>
    <w:rsid w:val="002118E4"/>
    <w:rsid w:val="00211938"/>
    <w:rsid w:val="00212189"/>
    <w:rsid w:val="002156CC"/>
    <w:rsid w:val="00217B35"/>
    <w:rsid w:val="00217FA1"/>
    <w:rsid w:val="0022373B"/>
    <w:rsid w:val="00227784"/>
    <w:rsid w:val="00230BD3"/>
    <w:rsid w:val="00231C6F"/>
    <w:rsid w:val="0024182A"/>
    <w:rsid w:val="00250287"/>
    <w:rsid w:val="00251E10"/>
    <w:rsid w:val="00253ADB"/>
    <w:rsid w:val="00262249"/>
    <w:rsid w:val="002706EF"/>
    <w:rsid w:val="0027155A"/>
    <w:rsid w:val="00272A92"/>
    <w:rsid w:val="0027381C"/>
    <w:rsid w:val="00273A5B"/>
    <w:rsid w:val="00274FFA"/>
    <w:rsid w:val="0027622D"/>
    <w:rsid w:val="00281217"/>
    <w:rsid w:val="002854B7"/>
    <w:rsid w:val="00291177"/>
    <w:rsid w:val="00291E2A"/>
    <w:rsid w:val="00292A0B"/>
    <w:rsid w:val="00292B7A"/>
    <w:rsid w:val="00294783"/>
    <w:rsid w:val="0029513F"/>
    <w:rsid w:val="00295377"/>
    <w:rsid w:val="002963B6"/>
    <w:rsid w:val="002A1951"/>
    <w:rsid w:val="002B6009"/>
    <w:rsid w:val="002C06CD"/>
    <w:rsid w:val="002C235A"/>
    <w:rsid w:val="002C3C3E"/>
    <w:rsid w:val="002C48C3"/>
    <w:rsid w:val="002D2B38"/>
    <w:rsid w:val="002D4FC8"/>
    <w:rsid w:val="002D6581"/>
    <w:rsid w:val="002E21F7"/>
    <w:rsid w:val="002E29AC"/>
    <w:rsid w:val="002E3B5C"/>
    <w:rsid w:val="002E3CCB"/>
    <w:rsid w:val="002F1B04"/>
    <w:rsid w:val="002F357D"/>
    <w:rsid w:val="003019B9"/>
    <w:rsid w:val="0030298D"/>
    <w:rsid w:val="003047AE"/>
    <w:rsid w:val="00305651"/>
    <w:rsid w:val="00306F62"/>
    <w:rsid w:val="00311051"/>
    <w:rsid w:val="00311130"/>
    <w:rsid w:val="003138F2"/>
    <w:rsid w:val="00316636"/>
    <w:rsid w:val="003202A5"/>
    <w:rsid w:val="00320A43"/>
    <w:rsid w:val="003217B2"/>
    <w:rsid w:val="003268D4"/>
    <w:rsid w:val="00327028"/>
    <w:rsid w:val="00327382"/>
    <w:rsid w:val="003353EA"/>
    <w:rsid w:val="00341502"/>
    <w:rsid w:val="00342910"/>
    <w:rsid w:val="00350DA4"/>
    <w:rsid w:val="00355B88"/>
    <w:rsid w:val="00357C05"/>
    <w:rsid w:val="003608D4"/>
    <w:rsid w:val="0036245B"/>
    <w:rsid w:val="003629C3"/>
    <w:rsid w:val="0036565C"/>
    <w:rsid w:val="00370E66"/>
    <w:rsid w:val="00375A13"/>
    <w:rsid w:val="003806C6"/>
    <w:rsid w:val="00385773"/>
    <w:rsid w:val="003875C9"/>
    <w:rsid w:val="003A1D77"/>
    <w:rsid w:val="003A1EE0"/>
    <w:rsid w:val="003A3885"/>
    <w:rsid w:val="003B3310"/>
    <w:rsid w:val="003B4FCF"/>
    <w:rsid w:val="003B5585"/>
    <w:rsid w:val="003B58F7"/>
    <w:rsid w:val="003C1358"/>
    <w:rsid w:val="003C1A7D"/>
    <w:rsid w:val="003C49DE"/>
    <w:rsid w:val="003D106B"/>
    <w:rsid w:val="003D4292"/>
    <w:rsid w:val="003D6E35"/>
    <w:rsid w:val="003E0369"/>
    <w:rsid w:val="003E06CC"/>
    <w:rsid w:val="003E0803"/>
    <w:rsid w:val="003E2BFF"/>
    <w:rsid w:val="003E7D72"/>
    <w:rsid w:val="003F08B6"/>
    <w:rsid w:val="003F2293"/>
    <w:rsid w:val="003F2C74"/>
    <w:rsid w:val="003F3A44"/>
    <w:rsid w:val="003F6321"/>
    <w:rsid w:val="003F7231"/>
    <w:rsid w:val="003F7F20"/>
    <w:rsid w:val="00407604"/>
    <w:rsid w:val="00410506"/>
    <w:rsid w:val="00410D9C"/>
    <w:rsid w:val="00414E99"/>
    <w:rsid w:val="00426F82"/>
    <w:rsid w:val="004321F2"/>
    <w:rsid w:val="00436B89"/>
    <w:rsid w:val="00437E9D"/>
    <w:rsid w:val="00447918"/>
    <w:rsid w:val="00456755"/>
    <w:rsid w:val="004602C2"/>
    <w:rsid w:val="00461C16"/>
    <w:rsid w:val="004630E7"/>
    <w:rsid w:val="0046333B"/>
    <w:rsid w:val="004636AB"/>
    <w:rsid w:val="0047242D"/>
    <w:rsid w:val="00473EDE"/>
    <w:rsid w:val="004827BB"/>
    <w:rsid w:val="004A4BA2"/>
    <w:rsid w:val="004A521E"/>
    <w:rsid w:val="004A69DB"/>
    <w:rsid w:val="004B1172"/>
    <w:rsid w:val="004B5E08"/>
    <w:rsid w:val="004B7558"/>
    <w:rsid w:val="004B7E4B"/>
    <w:rsid w:val="004C12F8"/>
    <w:rsid w:val="004C5B87"/>
    <w:rsid w:val="004D2131"/>
    <w:rsid w:val="004D4121"/>
    <w:rsid w:val="004E2BA8"/>
    <w:rsid w:val="004E3C5A"/>
    <w:rsid w:val="004E500D"/>
    <w:rsid w:val="004E63DC"/>
    <w:rsid w:val="004F11A7"/>
    <w:rsid w:val="004F3C6B"/>
    <w:rsid w:val="004F6DCC"/>
    <w:rsid w:val="0050004F"/>
    <w:rsid w:val="005007D5"/>
    <w:rsid w:val="0052238D"/>
    <w:rsid w:val="0052798E"/>
    <w:rsid w:val="00527DA6"/>
    <w:rsid w:val="00535C1F"/>
    <w:rsid w:val="00537E1E"/>
    <w:rsid w:val="0054294B"/>
    <w:rsid w:val="005508FC"/>
    <w:rsid w:val="00553BC1"/>
    <w:rsid w:val="005575B5"/>
    <w:rsid w:val="00562184"/>
    <w:rsid w:val="00563310"/>
    <w:rsid w:val="00565756"/>
    <w:rsid w:val="00566362"/>
    <w:rsid w:val="00571D0B"/>
    <w:rsid w:val="00574166"/>
    <w:rsid w:val="00575F6D"/>
    <w:rsid w:val="00580E39"/>
    <w:rsid w:val="00584715"/>
    <w:rsid w:val="0058791F"/>
    <w:rsid w:val="00590861"/>
    <w:rsid w:val="0059181B"/>
    <w:rsid w:val="0059666B"/>
    <w:rsid w:val="005A1CD6"/>
    <w:rsid w:val="005A4C13"/>
    <w:rsid w:val="005B04E7"/>
    <w:rsid w:val="005B074C"/>
    <w:rsid w:val="005B13B0"/>
    <w:rsid w:val="005B1EEF"/>
    <w:rsid w:val="005B2418"/>
    <w:rsid w:val="005B2DA3"/>
    <w:rsid w:val="005B4203"/>
    <w:rsid w:val="005C22B8"/>
    <w:rsid w:val="005C456A"/>
    <w:rsid w:val="005C4D1C"/>
    <w:rsid w:val="005C66E1"/>
    <w:rsid w:val="005C76B8"/>
    <w:rsid w:val="005D10B2"/>
    <w:rsid w:val="005D21DF"/>
    <w:rsid w:val="005D49B8"/>
    <w:rsid w:val="005D502E"/>
    <w:rsid w:val="005F0C09"/>
    <w:rsid w:val="005F21AF"/>
    <w:rsid w:val="006026B4"/>
    <w:rsid w:val="00602968"/>
    <w:rsid w:val="00604397"/>
    <w:rsid w:val="00604C5C"/>
    <w:rsid w:val="006117CE"/>
    <w:rsid w:val="006202D9"/>
    <w:rsid w:val="00622BEC"/>
    <w:rsid w:val="00623752"/>
    <w:rsid w:val="00625B78"/>
    <w:rsid w:val="00626262"/>
    <w:rsid w:val="00627A07"/>
    <w:rsid w:val="00632202"/>
    <w:rsid w:val="006348B2"/>
    <w:rsid w:val="00635A6F"/>
    <w:rsid w:val="00640BDE"/>
    <w:rsid w:val="006440FF"/>
    <w:rsid w:val="006441A0"/>
    <w:rsid w:val="006448E4"/>
    <w:rsid w:val="006454B4"/>
    <w:rsid w:val="00652D79"/>
    <w:rsid w:val="006570C4"/>
    <w:rsid w:val="00661EC5"/>
    <w:rsid w:val="006641AD"/>
    <w:rsid w:val="006648D4"/>
    <w:rsid w:val="006719F7"/>
    <w:rsid w:val="006726B4"/>
    <w:rsid w:val="00674C05"/>
    <w:rsid w:val="00674CFE"/>
    <w:rsid w:val="0068268C"/>
    <w:rsid w:val="006863CE"/>
    <w:rsid w:val="006906FB"/>
    <w:rsid w:val="00691435"/>
    <w:rsid w:val="00691A45"/>
    <w:rsid w:val="00691FF3"/>
    <w:rsid w:val="0069550B"/>
    <w:rsid w:val="00697A02"/>
    <w:rsid w:val="006A1E5E"/>
    <w:rsid w:val="006A22AE"/>
    <w:rsid w:val="006A3218"/>
    <w:rsid w:val="006A62FB"/>
    <w:rsid w:val="006A746D"/>
    <w:rsid w:val="006B04EA"/>
    <w:rsid w:val="006B0757"/>
    <w:rsid w:val="006C075D"/>
    <w:rsid w:val="006C4ABA"/>
    <w:rsid w:val="006C4D77"/>
    <w:rsid w:val="006C620F"/>
    <w:rsid w:val="006C6B88"/>
    <w:rsid w:val="006C7615"/>
    <w:rsid w:val="006D34D2"/>
    <w:rsid w:val="006E143C"/>
    <w:rsid w:val="006E2833"/>
    <w:rsid w:val="006E29DC"/>
    <w:rsid w:val="006E7541"/>
    <w:rsid w:val="006F1237"/>
    <w:rsid w:val="006F4658"/>
    <w:rsid w:val="006F6664"/>
    <w:rsid w:val="00700B91"/>
    <w:rsid w:val="007030C3"/>
    <w:rsid w:val="007130F1"/>
    <w:rsid w:val="00717EC9"/>
    <w:rsid w:val="0072315A"/>
    <w:rsid w:val="00727C86"/>
    <w:rsid w:val="00731906"/>
    <w:rsid w:val="00732E37"/>
    <w:rsid w:val="0073486D"/>
    <w:rsid w:val="0073595A"/>
    <w:rsid w:val="0073742E"/>
    <w:rsid w:val="0074116F"/>
    <w:rsid w:val="0074172F"/>
    <w:rsid w:val="00744FD4"/>
    <w:rsid w:val="00747497"/>
    <w:rsid w:val="007474D2"/>
    <w:rsid w:val="00751F76"/>
    <w:rsid w:val="00752FEF"/>
    <w:rsid w:val="007550C9"/>
    <w:rsid w:val="00755C70"/>
    <w:rsid w:val="007608E2"/>
    <w:rsid w:val="00766F7C"/>
    <w:rsid w:val="0077301B"/>
    <w:rsid w:val="00783DBA"/>
    <w:rsid w:val="00786BDD"/>
    <w:rsid w:val="00792FEF"/>
    <w:rsid w:val="007937AF"/>
    <w:rsid w:val="007951ED"/>
    <w:rsid w:val="00797BFE"/>
    <w:rsid w:val="007A18FA"/>
    <w:rsid w:val="007A7B45"/>
    <w:rsid w:val="007A7C7A"/>
    <w:rsid w:val="007C587B"/>
    <w:rsid w:val="007D2519"/>
    <w:rsid w:val="007D3529"/>
    <w:rsid w:val="007D498B"/>
    <w:rsid w:val="007D675E"/>
    <w:rsid w:val="007E07F1"/>
    <w:rsid w:val="007E1B4C"/>
    <w:rsid w:val="007E3D98"/>
    <w:rsid w:val="007E4CB7"/>
    <w:rsid w:val="007E63F8"/>
    <w:rsid w:val="007F0401"/>
    <w:rsid w:val="007F3A1B"/>
    <w:rsid w:val="00800209"/>
    <w:rsid w:val="008013FF"/>
    <w:rsid w:val="00804CD1"/>
    <w:rsid w:val="00806CF9"/>
    <w:rsid w:val="00810A3E"/>
    <w:rsid w:val="00811D4B"/>
    <w:rsid w:val="0081541F"/>
    <w:rsid w:val="00815AD5"/>
    <w:rsid w:val="00820C17"/>
    <w:rsid w:val="00821BB4"/>
    <w:rsid w:val="00827A37"/>
    <w:rsid w:val="008407AA"/>
    <w:rsid w:val="00844475"/>
    <w:rsid w:val="00853574"/>
    <w:rsid w:val="00856B3C"/>
    <w:rsid w:val="00856E28"/>
    <w:rsid w:val="008632D7"/>
    <w:rsid w:val="008635EB"/>
    <w:rsid w:val="00863B04"/>
    <w:rsid w:val="00867C7F"/>
    <w:rsid w:val="00871207"/>
    <w:rsid w:val="0087337A"/>
    <w:rsid w:val="00877098"/>
    <w:rsid w:val="00877D7D"/>
    <w:rsid w:val="0088318D"/>
    <w:rsid w:val="00884B35"/>
    <w:rsid w:val="00885A0E"/>
    <w:rsid w:val="00885DB7"/>
    <w:rsid w:val="008917CF"/>
    <w:rsid w:val="00894449"/>
    <w:rsid w:val="00894AB0"/>
    <w:rsid w:val="00896335"/>
    <w:rsid w:val="008A0462"/>
    <w:rsid w:val="008A0AEB"/>
    <w:rsid w:val="008A251B"/>
    <w:rsid w:val="008A5797"/>
    <w:rsid w:val="008A616A"/>
    <w:rsid w:val="008A6E74"/>
    <w:rsid w:val="008B1D11"/>
    <w:rsid w:val="008B452F"/>
    <w:rsid w:val="008B5AE0"/>
    <w:rsid w:val="008B5F0A"/>
    <w:rsid w:val="008C00BC"/>
    <w:rsid w:val="008C23F4"/>
    <w:rsid w:val="008C310A"/>
    <w:rsid w:val="008C3558"/>
    <w:rsid w:val="008C5556"/>
    <w:rsid w:val="008D1FC6"/>
    <w:rsid w:val="008E1725"/>
    <w:rsid w:val="008E622F"/>
    <w:rsid w:val="00912B68"/>
    <w:rsid w:val="009134D9"/>
    <w:rsid w:val="0091589D"/>
    <w:rsid w:val="00920228"/>
    <w:rsid w:val="009301E4"/>
    <w:rsid w:val="00930BF4"/>
    <w:rsid w:val="009405D8"/>
    <w:rsid w:val="00951BBB"/>
    <w:rsid w:val="009526C4"/>
    <w:rsid w:val="00954A6B"/>
    <w:rsid w:val="00955510"/>
    <w:rsid w:val="00955F4D"/>
    <w:rsid w:val="0095723D"/>
    <w:rsid w:val="0096500A"/>
    <w:rsid w:val="009801BA"/>
    <w:rsid w:val="00980731"/>
    <w:rsid w:val="009830D8"/>
    <w:rsid w:val="00991654"/>
    <w:rsid w:val="009946F2"/>
    <w:rsid w:val="009973C4"/>
    <w:rsid w:val="00997B15"/>
    <w:rsid w:val="009A6ABA"/>
    <w:rsid w:val="009A7F49"/>
    <w:rsid w:val="009B5B45"/>
    <w:rsid w:val="009B5D01"/>
    <w:rsid w:val="009C340A"/>
    <w:rsid w:val="009C7EB7"/>
    <w:rsid w:val="009D0507"/>
    <w:rsid w:val="009D5450"/>
    <w:rsid w:val="009F0844"/>
    <w:rsid w:val="009F20D7"/>
    <w:rsid w:val="009F2F4F"/>
    <w:rsid w:val="00A01DD6"/>
    <w:rsid w:val="00A0585C"/>
    <w:rsid w:val="00A06377"/>
    <w:rsid w:val="00A072CC"/>
    <w:rsid w:val="00A10243"/>
    <w:rsid w:val="00A2141F"/>
    <w:rsid w:val="00A22F42"/>
    <w:rsid w:val="00A246F6"/>
    <w:rsid w:val="00A33987"/>
    <w:rsid w:val="00A40190"/>
    <w:rsid w:val="00A405D6"/>
    <w:rsid w:val="00A42BFE"/>
    <w:rsid w:val="00A4397A"/>
    <w:rsid w:val="00A43D24"/>
    <w:rsid w:val="00A4401D"/>
    <w:rsid w:val="00A47BBF"/>
    <w:rsid w:val="00A47CE8"/>
    <w:rsid w:val="00A56FD9"/>
    <w:rsid w:val="00A60B24"/>
    <w:rsid w:val="00A617BF"/>
    <w:rsid w:val="00A77A0C"/>
    <w:rsid w:val="00A86FA5"/>
    <w:rsid w:val="00A92005"/>
    <w:rsid w:val="00A930FD"/>
    <w:rsid w:val="00A94E98"/>
    <w:rsid w:val="00A962D8"/>
    <w:rsid w:val="00A96690"/>
    <w:rsid w:val="00AA0192"/>
    <w:rsid w:val="00AA5789"/>
    <w:rsid w:val="00AA5E61"/>
    <w:rsid w:val="00AA78ED"/>
    <w:rsid w:val="00AB02FF"/>
    <w:rsid w:val="00AB379C"/>
    <w:rsid w:val="00AB4245"/>
    <w:rsid w:val="00AC057F"/>
    <w:rsid w:val="00AC1252"/>
    <w:rsid w:val="00AC57EF"/>
    <w:rsid w:val="00AC761C"/>
    <w:rsid w:val="00AC7957"/>
    <w:rsid w:val="00AD1DED"/>
    <w:rsid w:val="00AD3F7D"/>
    <w:rsid w:val="00AD44AD"/>
    <w:rsid w:val="00AD5CC6"/>
    <w:rsid w:val="00AE1649"/>
    <w:rsid w:val="00AF7222"/>
    <w:rsid w:val="00B03FC0"/>
    <w:rsid w:val="00B06E11"/>
    <w:rsid w:val="00B10B43"/>
    <w:rsid w:val="00B20AF4"/>
    <w:rsid w:val="00B22788"/>
    <w:rsid w:val="00B23864"/>
    <w:rsid w:val="00B24825"/>
    <w:rsid w:val="00B2698B"/>
    <w:rsid w:val="00B34706"/>
    <w:rsid w:val="00B41FF6"/>
    <w:rsid w:val="00B42538"/>
    <w:rsid w:val="00B55254"/>
    <w:rsid w:val="00B63A6C"/>
    <w:rsid w:val="00B730E8"/>
    <w:rsid w:val="00B76E3F"/>
    <w:rsid w:val="00B80F98"/>
    <w:rsid w:val="00B82E92"/>
    <w:rsid w:val="00B8450A"/>
    <w:rsid w:val="00B87328"/>
    <w:rsid w:val="00B90196"/>
    <w:rsid w:val="00B95C80"/>
    <w:rsid w:val="00B9628D"/>
    <w:rsid w:val="00BA1101"/>
    <w:rsid w:val="00BA363D"/>
    <w:rsid w:val="00BA3D10"/>
    <w:rsid w:val="00BB48FA"/>
    <w:rsid w:val="00BB498D"/>
    <w:rsid w:val="00BB5662"/>
    <w:rsid w:val="00BB7E86"/>
    <w:rsid w:val="00BC0721"/>
    <w:rsid w:val="00BD05B9"/>
    <w:rsid w:val="00BD5BFB"/>
    <w:rsid w:val="00BD5C86"/>
    <w:rsid w:val="00BE08B1"/>
    <w:rsid w:val="00BE2F9A"/>
    <w:rsid w:val="00BE6499"/>
    <w:rsid w:val="00BE68B2"/>
    <w:rsid w:val="00BF00B5"/>
    <w:rsid w:val="00BF0CCC"/>
    <w:rsid w:val="00BF4B7E"/>
    <w:rsid w:val="00BF7836"/>
    <w:rsid w:val="00C04929"/>
    <w:rsid w:val="00C05EBA"/>
    <w:rsid w:val="00C149F5"/>
    <w:rsid w:val="00C15DAB"/>
    <w:rsid w:val="00C16C68"/>
    <w:rsid w:val="00C22712"/>
    <w:rsid w:val="00C23FB3"/>
    <w:rsid w:val="00C35679"/>
    <w:rsid w:val="00C3576A"/>
    <w:rsid w:val="00C36DFE"/>
    <w:rsid w:val="00C447B7"/>
    <w:rsid w:val="00C454CD"/>
    <w:rsid w:val="00C4725B"/>
    <w:rsid w:val="00C54799"/>
    <w:rsid w:val="00C57556"/>
    <w:rsid w:val="00C6308F"/>
    <w:rsid w:val="00C65515"/>
    <w:rsid w:val="00C65A5A"/>
    <w:rsid w:val="00C66CEC"/>
    <w:rsid w:val="00C728D6"/>
    <w:rsid w:val="00C7585D"/>
    <w:rsid w:val="00C80844"/>
    <w:rsid w:val="00C809E0"/>
    <w:rsid w:val="00C80BCA"/>
    <w:rsid w:val="00C8527D"/>
    <w:rsid w:val="00C9378F"/>
    <w:rsid w:val="00C948A9"/>
    <w:rsid w:val="00CA0058"/>
    <w:rsid w:val="00CA3D3D"/>
    <w:rsid w:val="00CC07AD"/>
    <w:rsid w:val="00CC125C"/>
    <w:rsid w:val="00CC1A82"/>
    <w:rsid w:val="00CC6CD2"/>
    <w:rsid w:val="00CC7055"/>
    <w:rsid w:val="00CD1A96"/>
    <w:rsid w:val="00CD1FBF"/>
    <w:rsid w:val="00CD7B9B"/>
    <w:rsid w:val="00CE1DBB"/>
    <w:rsid w:val="00CE25FE"/>
    <w:rsid w:val="00CE582B"/>
    <w:rsid w:val="00CE585A"/>
    <w:rsid w:val="00CE5E3D"/>
    <w:rsid w:val="00CE5EC4"/>
    <w:rsid w:val="00CF17D7"/>
    <w:rsid w:val="00CF356D"/>
    <w:rsid w:val="00CF6E8F"/>
    <w:rsid w:val="00CF7BEE"/>
    <w:rsid w:val="00D017B4"/>
    <w:rsid w:val="00D04F97"/>
    <w:rsid w:val="00D052E8"/>
    <w:rsid w:val="00D06888"/>
    <w:rsid w:val="00D06C31"/>
    <w:rsid w:val="00D07BAC"/>
    <w:rsid w:val="00D150F4"/>
    <w:rsid w:val="00D15658"/>
    <w:rsid w:val="00D16936"/>
    <w:rsid w:val="00D17C13"/>
    <w:rsid w:val="00D2000B"/>
    <w:rsid w:val="00D227A1"/>
    <w:rsid w:val="00D2404C"/>
    <w:rsid w:val="00D31375"/>
    <w:rsid w:val="00D41C87"/>
    <w:rsid w:val="00D5068A"/>
    <w:rsid w:val="00D532DF"/>
    <w:rsid w:val="00D54752"/>
    <w:rsid w:val="00D57998"/>
    <w:rsid w:val="00D57B20"/>
    <w:rsid w:val="00D61829"/>
    <w:rsid w:val="00D63804"/>
    <w:rsid w:val="00D66342"/>
    <w:rsid w:val="00D67EFE"/>
    <w:rsid w:val="00D75F19"/>
    <w:rsid w:val="00D87FD0"/>
    <w:rsid w:val="00D90B9D"/>
    <w:rsid w:val="00D92D64"/>
    <w:rsid w:val="00D9410B"/>
    <w:rsid w:val="00D977CD"/>
    <w:rsid w:val="00DA04C7"/>
    <w:rsid w:val="00DA1394"/>
    <w:rsid w:val="00DA18F1"/>
    <w:rsid w:val="00DA2C3E"/>
    <w:rsid w:val="00DA6458"/>
    <w:rsid w:val="00DB181A"/>
    <w:rsid w:val="00DB2576"/>
    <w:rsid w:val="00DB3302"/>
    <w:rsid w:val="00DB68CE"/>
    <w:rsid w:val="00DC2119"/>
    <w:rsid w:val="00DD189A"/>
    <w:rsid w:val="00DD62F5"/>
    <w:rsid w:val="00DD6A0B"/>
    <w:rsid w:val="00DE17D2"/>
    <w:rsid w:val="00DE270E"/>
    <w:rsid w:val="00DE5F85"/>
    <w:rsid w:val="00DE7096"/>
    <w:rsid w:val="00DE7CA7"/>
    <w:rsid w:val="00DF0DE5"/>
    <w:rsid w:val="00DF1D26"/>
    <w:rsid w:val="00DF437D"/>
    <w:rsid w:val="00DF6D06"/>
    <w:rsid w:val="00DF7387"/>
    <w:rsid w:val="00E020FE"/>
    <w:rsid w:val="00E04488"/>
    <w:rsid w:val="00E0783E"/>
    <w:rsid w:val="00E13A57"/>
    <w:rsid w:val="00E146DA"/>
    <w:rsid w:val="00E1780A"/>
    <w:rsid w:val="00E20C5E"/>
    <w:rsid w:val="00E20FB1"/>
    <w:rsid w:val="00E26AA8"/>
    <w:rsid w:val="00E31250"/>
    <w:rsid w:val="00E35FEF"/>
    <w:rsid w:val="00E40302"/>
    <w:rsid w:val="00E45825"/>
    <w:rsid w:val="00E5118E"/>
    <w:rsid w:val="00E57854"/>
    <w:rsid w:val="00E60007"/>
    <w:rsid w:val="00E6426C"/>
    <w:rsid w:val="00E67181"/>
    <w:rsid w:val="00E72263"/>
    <w:rsid w:val="00E75CB4"/>
    <w:rsid w:val="00E83BF7"/>
    <w:rsid w:val="00E87302"/>
    <w:rsid w:val="00E92B8A"/>
    <w:rsid w:val="00E94039"/>
    <w:rsid w:val="00E96D84"/>
    <w:rsid w:val="00EA2591"/>
    <w:rsid w:val="00EA61AD"/>
    <w:rsid w:val="00EA63AC"/>
    <w:rsid w:val="00EB0DEA"/>
    <w:rsid w:val="00EB49B0"/>
    <w:rsid w:val="00EC4921"/>
    <w:rsid w:val="00EC4F17"/>
    <w:rsid w:val="00EC512D"/>
    <w:rsid w:val="00ED244F"/>
    <w:rsid w:val="00ED51A4"/>
    <w:rsid w:val="00ED5863"/>
    <w:rsid w:val="00EE3F15"/>
    <w:rsid w:val="00EF1A72"/>
    <w:rsid w:val="00EF3D15"/>
    <w:rsid w:val="00EF5214"/>
    <w:rsid w:val="00EF6184"/>
    <w:rsid w:val="00F01389"/>
    <w:rsid w:val="00F03127"/>
    <w:rsid w:val="00F115AA"/>
    <w:rsid w:val="00F12A60"/>
    <w:rsid w:val="00F132A3"/>
    <w:rsid w:val="00F1394D"/>
    <w:rsid w:val="00F17F91"/>
    <w:rsid w:val="00F2616C"/>
    <w:rsid w:val="00F30934"/>
    <w:rsid w:val="00F30973"/>
    <w:rsid w:val="00F32A61"/>
    <w:rsid w:val="00F40906"/>
    <w:rsid w:val="00F41CA9"/>
    <w:rsid w:val="00F44C67"/>
    <w:rsid w:val="00F44D96"/>
    <w:rsid w:val="00F47D3D"/>
    <w:rsid w:val="00F5464F"/>
    <w:rsid w:val="00F5545F"/>
    <w:rsid w:val="00F57A4F"/>
    <w:rsid w:val="00F7033D"/>
    <w:rsid w:val="00F70F4F"/>
    <w:rsid w:val="00F73634"/>
    <w:rsid w:val="00F748BD"/>
    <w:rsid w:val="00F75BA1"/>
    <w:rsid w:val="00F77EDC"/>
    <w:rsid w:val="00F81138"/>
    <w:rsid w:val="00F83339"/>
    <w:rsid w:val="00F95650"/>
    <w:rsid w:val="00FA0EBE"/>
    <w:rsid w:val="00FA30AD"/>
    <w:rsid w:val="00FB1609"/>
    <w:rsid w:val="00FB1EEC"/>
    <w:rsid w:val="00FB3977"/>
    <w:rsid w:val="00FB45A0"/>
    <w:rsid w:val="00FC1426"/>
    <w:rsid w:val="00FC454C"/>
    <w:rsid w:val="00FD490E"/>
    <w:rsid w:val="00FD64F2"/>
    <w:rsid w:val="00FD7CEF"/>
    <w:rsid w:val="00FE19A2"/>
    <w:rsid w:val="00FE4093"/>
    <w:rsid w:val="00FE566F"/>
    <w:rsid w:val="00FE7C7F"/>
    <w:rsid w:val="00FF55AD"/>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14:docId w14:val="7D6F3D77"/>
  <w15:docId w15:val="{11E46070-A764-4917-A630-B7BD58C78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389"/>
    <w:rPr>
      <w:rFonts w:eastAsiaTheme="minorEastAsia"/>
      <w:lang w:bidi="en-US"/>
    </w:rPr>
  </w:style>
  <w:style w:type="paragraph" w:styleId="Heading1">
    <w:name w:val="heading 1"/>
    <w:basedOn w:val="Normal"/>
    <w:next w:val="Normal"/>
    <w:link w:val="Heading1Char"/>
    <w:qFormat/>
    <w:rsid w:val="00C937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C937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37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9378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9378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9378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9378F"/>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155488"/>
    <w:pPr>
      <w:tabs>
        <w:tab w:val="right" w:leader="dot" w:pos="10790"/>
      </w:tabs>
      <w:spacing w:before="240"/>
      <w:jc w:val="left"/>
    </w:pPr>
    <w:rPr>
      <w:b/>
      <w:bCs/>
      <w:caps/>
      <w:sz w:val="20"/>
      <w:szCs w:val="20"/>
    </w:rPr>
  </w:style>
  <w:style w:type="paragraph" w:styleId="TOC2">
    <w:name w:val="toc 2"/>
    <w:basedOn w:val="Normal"/>
    <w:next w:val="Normal"/>
    <w:autoRedefine/>
    <w:uiPriority w:val="39"/>
    <w:unhideWhenUsed/>
    <w:qFormat/>
    <w:rsid w:val="00C9378F"/>
    <w:pPr>
      <w:tabs>
        <w:tab w:val="right" w:leader="dot" w:pos="10790"/>
      </w:tabs>
      <w:ind w:left="216"/>
      <w:jc w:val="left"/>
    </w:pPr>
    <w:rPr>
      <w:smallCaps/>
      <w:sz w:val="20"/>
      <w:szCs w:val="20"/>
    </w:rPr>
  </w:style>
  <w:style w:type="character" w:styleId="Hyperlink">
    <w:name w:val="Hyperlink"/>
    <w:basedOn w:val="DefaultParagraphFont"/>
    <w:uiPriority w:val="99"/>
    <w:unhideWhenUsed/>
    <w:rsid w:val="00C9378F"/>
    <w:rPr>
      <w:color w:val="0000FF" w:themeColor="hyperlink"/>
      <w:u w:val="single"/>
    </w:rPr>
  </w:style>
  <w:style w:type="character" w:customStyle="1" w:styleId="Heading1Char">
    <w:name w:val="Heading 1 Char"/>
    <w:basedOn w:val="DefaultParagraphFont"/>
    <w:link w:val="Heading1"/>
    <w:rsid w:val="00C9378F"/>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semiHidden/>
    <w:unhideWhenUsed/>
    <w:qFormat/>
    <w:rsid w:val="00C9378F"/>
    <w:pPr>
      <w:spacing w:line="276" w:lineRule="auto"/>
      <w:jc w:val="left"/>
      <w:outlineLvl w:val="9"/>
    </w:pPr>
    <w:rPr>
      <w:lang w:eastAsia="ja-JP" w:bidi="ar-SA"/>
    </w:rPr>
  </w:style>
  <w:style w:type="paragraph" w:styleId="BalloonText">
    <w:name w:val="Balloon Text"/>
    <w:basedOn w:val="Normal"/>
    <w:link w:val="BalloonTextChar"/>
    <w:uiPriority w:val="99"/>
    <w:semiHidden/>
    <w:unhideWhenUsed/>
    <w:rsid w:val="00C9378F"/>
    <w:rPr>
      <w:rFonts w:ascii="Tahoma" w:hAnsi="Tahoma" w:cs="Tahoma"/>
      <w:sz w:val="16"/>
      <w:szCs w:val="16"/>
    </w:rPr>
  </w:style>
  <w:style w:type="character" w:customStyle="1" w:styleId="BalloonTextChar">
    <w:name w:val="Balloon Text Char"/>
    <w:basedOn w:val="DefaultParagraphFont"/>
    <w:link w:val="BalloonText"/>
    <w:uiPriority w:val="99"/>
    <w:semiHidden/>
    <w:rsid w:val="00C9378F"/>
    <w:rPr>
      <w:rFonts w:ascii="Tahoma" w:eastAsiaTheme="minorEastAsia" w:hAnsi="Tahoma" w:cs="Tahoma"/>
      <w:sz w:val="16"/>
      <w:szCs w:val="16"/>
      <w:lang w:bidi="en-US"/>
    </w:rPr>
  </w:style>
  <w:style w:type="character" w:customStyle="1" w:styleId="Heading2Char">
    <w:name w:val="Heading 2 Char"/>
    <w:basedOn w:val="DefaultParagraphFont"/>
    <w:link w:val="Heading2"/>
    <w:rsid w:val="00C9378F"/>
    <w:rPr>
      <w:rFonts w:asciiTheme="majorHAnsi" w:eastAsiaTheme="majorEastAsia" w:hAnsiTheme="majorHAnsi" w:cstheme="majorBidi"/>
      <w:b/>
      <w:bCs/>
      <w:color w:val="4F81BD" w:themeColor="accent1"/>
      <w:sz w:val="26"/>
      <w:szCs w:val="26"/>
      <w:lang w:bidi="en-US"/>
    </w:rPr>
  </w:style>
  <w:style w:type="paragraph" w:styleId="BodyText3">
    <w:name w:val="Body Text 3"/>
    <w:basedOn w:val="Normal"/>
    <w:link w:val="BodyText3Char"/>
    <w:rsid w:val="00C9378F"/>
    <w:rPr>
      <w:rFonts w:ascii="Times New Roman" w:eastAsia="Times New Roman" w:hAnsi="Times New Roman" w:cs="Times New Roman"/>
      <w:sz w:val="24"/>
      <w:szCs w:val="20"/>
      <w:lang w:bidi="ar-SA"/>
    </w:rPr>
  </w:style>
  <w:style w:type="character" w:customStyle="1" w:styleId="BodyText3Char">
    <w:name w:val="Body Text 3 Char"/>
    <w:basedOn w:val="DefaultParagraphFont"/>
    <w:link w:val="BodyText3"/>
    <w:rsid w:val="00C9378F"/>
    <w:rPr>
      <w:rFonts w:ascii="Times New Roman" w:eastAsia="Times New Roman" w:hAnsi="Times New Roman" w:cs="Times New Roman"/>
      <w:sz w:val="24"/>
      <w:szCs w:val="20"/>
    </w:rPr>
  </w:style>
  <w:style w:type="paragraph" w:styleId="BodyText">
    <w:name w:val="Body Text"/>
    <w:basedOn w:val="Normal"/>
    <w:link w:val="BodyTextChar"/>
    <w:rsid w:val="00C9378F"/>
    <w:pPr>
      <w:spacing w:after="120"/>
      <w:jc w:val="left"/>
    </w:pPr>
    <w:rPr>
      <w:rFonts w:ascii="Times New Roman" w:eastAsia="Times New Roman" w:hAnsi="Times New Roman" w:cs="Times New Roman"/>
      <w:sz w:val="24"/>
      <w:szCs w:val="20"/>
      <w:lang w:bidi="ar-SA"/>
    </w:rPr>
  </w:style>
  <w:style w:type="character" w:customStyle="1" w:styleId="BodyTextChar">
    <w:name w:val="Body Text Char"/>
    <w:basedOn w:val="DefaultParagraphFont"/>
    <w:link w:val="BodyText"/>
    <w:rsid w:val="00C9378F"/>
    <w:rPr>
      <w:rFonts w:ascii="Times New Roman" w:eastAsia="Times New Roman" w:hAnsi="Times New Roman" w:cs="Times New Roman"/>
      <w:sz w:val="24"/>
      <w:szCs w:val="20"/>
    </w:rPr>
  </w:style>
  <w:style w:type="paragraph" w:styleId="FootnoteText">
    <w:name w:val="footnote text"/>
    <w:basedOn w:val="Normal"/>
    <w:link w:val="FootnoteTextChar"/>
    <w:rsid w:val="00C9378F"/>
    <w:pPr>
      <w:jc w:val="left"/>
    </w:pPr>
    <w:rPr>
      <w:rFonts w:ascii="Times New Roman" w:eastAsia="Times New Roman" w:hAnsi="Times New Roman" w:cs="Times New Roman"/>
      <w:sz w:val="20"/>
      <w:szCs w:val="20"/>
      <w:lang w:bidi="ar-SA"/>
    </w:rPr>
  </w:style>
  <w:style w:type="character" w:customStyle="1" w:styleId="FootnoteTextChar">
    <w:name w:val="Footnote Text Char"/>
    <w:basedOn w:val="DefaultParagraphFont"/>
    <w:link w:val="FootnoteText"/>
    <w:rsid w:val="00C9378F"/>
    <w:rPr>
      <w:rFonts w:ascii="Times New Roman" w:eastAsia="Times New Roman" w:hAnsi="Times New Roman" w:cs="Times New Roman"/>
      <w:sz w:val="20"/>
      <w:szCs w:val="20"/>
    </w:rPr>
  </w:style>
  <w:style w:type="character" w:styleId="FootnoteReference">
    <w:name w:val="footnote reference"/>
    <w:basedOn w:val="DefaultParagraphFont"/>
    <w:rsid w:val="00C9378F"/>
    <w:rPr>
      <w:rFonts w:ascii="Times New Roman" w:hAnsi="Times New Roman" w:cs="Times New Roman"/>
      <w:vertAlign w:val="superscript"/>
    </w:rPr>
  </w:style>
  <w:style w:type="paragraph" w:styleId="BodyText2">
    <w:name w:val="Body Text 2"/>
    <w:basedOn w:val="Normal"/>
    <w:link w:val="BodyText2Char1"/>
    <w:uiPriority w:val="99"/>
    <w:rsid w:val="00C9378F"/>
    <w:pPr>
      <w:jc w:val="left"/>
    </w:pPr>
    <w:rPr>
      <w:rFonts w:ascii="Times New Roman" w:eastAsia="Times New Roman" w:hAnsi="Times New Roman" w:cs="Times New Roman"/>
      <w:b/>
      <w:bCs/>
      <w:sz w:val="24"/>
      <w:szCs w:val="24"/>
      <w:lang w:bidi="ar-SA"/>
    </w:rPr>
  </w:style>
  <w:style w:type="character" w:customStyle="1" w:styleId="BodyText2Char">
    <w:name w:val="Body Text 2 Char"/>
    <w:basedOn w:val="DefaultParagraphFont"/>
    <w:uiPriority w:val="99"/>
    <w:rsid w:val="00C9378F"/>
    <w:rPr>
      <w:rFonts w:eastAsiaTheme="minorEastAsia"/>
      <w:lang w:bidi="en-US"/>
    </w:rPr>
  </w:style>
  <w:style w:type="character" w:customStyle="1" w:styleId="BodyText2Char1">
    <w:name w:val="Body Text 2 Char1"/>
    <w:basedOn w:val="DefaultParagraphFont"/>
    <w:link w:val="BodyText2"/>
    <w:uiPriority w:val="99"/>
    <w:locked/>
    <w:rsid w:val="00C9378F"/>
    <w:rPr>
      <w:rFonts w:ascii="Times New Roman" w:eastAsia="Times New Roman" w:hAnsi="Times New Roman" w:cs="Times New Roman"/>
      <w:b/>
      <w:bCs/>
      <w:sz w:val="24"/>
      <w:szCs w:val="24"/>
    </w:rPr>
  </w:style>
  <w:style w:type="paragraph" w:styleId="ListParagraph">
    <w:name w:val="List Paragraph"/>
    <w:aliases w:val="Bullets,Use in Mgmt Summary,xxxxxxxxxxxx,Alpha List Paragraph,List Paragraph1,alpha List,Response Bullets,Bullet Text,L1"/>
    <w:basedOn w:val="Normal"/>
    <w:link w:val="ListParagraphChar"/>
    <w:uiPriority w:val="34"/>
    <w:qFormat/>
    <w:rsid w:val="00C9378F"/>
    <w:pPr>
      <w:ind w:left="720"/>
      <w:contextualSpacing/>
    </w:pPr>
    <w:rPr>
      <w:rFonts w:eastAsiaTheme="minorHAnsi"/>
      <w:lang w:bidi="ar-SA"/>
    </w:rPr>
  </w:style>
  <w:style w:type="paragraph" w:customStyle="1" w:styleId="tableheading">
    <w:name w:val="table heading"/>
    <w:basedOn w:val="Heading4"/>
    <w:link w:val="tableheadingChar"/>
    <w:qFormat/>
    <w:rsid w:val="00C9378F"/>
    <w:rPr>
      <w:b w:val="0"/>
      <w:i w:val="0"/>
      <w:color w:val="244061" w:themeColor="accent1" w:themeShade="80"/>
    </w:rPr>
  </w:style>
  <w:style w:type="character" w:customStyle="1" w:styleId="tableheadingChar">
    <w:name w:val="table heading Char"/>
    <w:basedOn w:val="Heading4Char"/>
    <w:link w:val="tableheading"/>
    <w:rsid w:val="00C9378F"/>
    <w:rPr>
      <w:rFonts w:asciiTheme="majorHAnsi" w:eastAsiaTheme="majorEastAsia" w:hAnsiTheme="majorHAnsi" w:cstheme="majorBidi"/>
      <w:b w:val="0"/>
      <w:bCs/>
      <w:i w:val="0"/>
      <w:iCs/>
      <w:color w:val="244061" w:themeColor="accent1" w:themeShade="80"/>
      <w:lang w:bidi="en-US"/>
    </w:rPr>
  </w:style>
  <w:style w:type="character" w:customStyle="1" w:styleId="Heading4Char">
    <w:name w:val="Heading 4 Char"/>
    <w:basedOn w:val="DefaultParagraphFont"/>
    <w:link w:val="Heading4"/>
    <w:uiPriority w:val="9"/>
    <w:rsid w:val="00C9378F"/>
    <w:rPr>
      <w:rFonts w:asciiTheme="majorHAnsi" w:eastAsiaTheme="majorEastAsia" w:hAnsiTheme="majorHAnsi" w:cstheme="majorBidi"/>
      <w:b/>
      <w:bCs/>
      <w:i/>
      <w:iCs/>
      <w:color w:val="4F81BD" w:themeColor="accent1"/>
      <w:lang w:bidi="en-US"/>
    </w:rPr>
  </w:style>
  <w:style w:type="character" w:customStyle="1" w:styleId="Heading3Char">
    <w:name w:val="Heading 3 Char"/>
    <w:basedOn w:val="DefaultParagraphFont"/>
    <w:link w:val="Heading3"/>
    <w:uiPriority w:val="9"/>
    <w:rsid w:val="00C9378F"/>
    <w:rPr>
      <w:rFonts w:asciiTheme="majorHAnsi" w:eastAsiaTheme="majorEastAsia" w:hAnsiTheme="majorHAnsi" w:cstheme="majorBidi"/>
      <w:b/>
      <w:bCs/>
      <w:color w:val="4F81BD" w:themeColor="accent1"/>
      <w:lang w:bidi="en-US"/>
    </w:rPr>
  </w:style>
  <w:style w:type="character" w:customStyle="1" w:styleId="Heading5Char">
    <w:name w:val="Heading 5 Char"/>
    <w:basedOn w:val="DefaultParagraphFont"/>
    <w:link w:val="Heading5"/>
    <w:uiPriority w:val="9"/>
    <w:rsid w:val="00C9378F"/>
    <w:rPr>
      <w:rFonts w:asciiTheme="majorHAnsi" w:eastAsiaTheme="majorEastAsia" w:hAnsiTheme="majorHAnsi" w:cstheme="majorBidi"/>
      <w:color w:val="243F60" w:themeColor="accent1" w:themeShade="7F"/>
      <w:lang w:bidi="en-US"/>
    </w:rPr>
  </w:style>
  <w:style w:type="character" w:customStyle="1" w:styleId="Heading6Char">
    <w:name w:val="Heading 6 Char"/>
    <w:basedOn w:val="DefaultParagraphFont"/>
    <w:link w:val="Heading6"/>
    <w:uiPriority w:val="9"/>
    <w:rsid w:val="00C9378F"/>
    <w:rPr>
      <w:rFonts w:asciiTheme="majorHAnsi" w:eastAsiaTheme="majorEastAsia" w:hAnsiTheme="majorHAnsi" w:cstheme="majorBidi"/>
      <w:i/>
      <w:iCs/>
      <w:color w:val="243F60" w:themeColor="accent1" w:themeShade="7F"/>
      <w:lang w:bidi="en-US"/>
    </w:rPr>
  </w:style>
  <w:style w:type="character" w:customStyle="1" w:styleId="Heading8Char">
    <w:name w:val="Heading 8 Char"/>
    <w:basedOn w:val="DefaultParagraphFont"/>
    <w:link w:val="Heading8"/>
    <w:uiPriority w:val="9"/>
    <w:semiHidden/>
    <w:rsid w:val="00C9378F"/>
    <w:rPr>
      <w:rFonts w:asciiTheme="majorHAnsi" w:eastAsiaTheme="majorEastAsia" w:hAnsiTheme="majorHAnsi" w:cstheme="majorBidi"/>
      <w:color w:val="404040" w:themeColor="text1" w:themeTint="BF"/>
      <w:sz w:val="20"/>
      <w:szCs w:val="20"/>
      <w:lang w:bidi="en-US"/>
    </w:rPr>
  </w:style>
  <w:style w:type="paragraph" w:styleId="Header">
    <w:name w:val="header"/>
    <w:basedOn w:val="Normal"/>
    <w:link w:val="HeaderChar"/>
    <w:unhideWhenUsed/>
    <w:rsid w:val="00C9378F"/>
    <w:pPr>
      <w:tabs>
        <w:tab w:val="center" w:pos="4680"/>
        <w:tab w:val="right" w:pos="9360"/>
      </w:tabs>
    </w:pPr>
  </w:style>
  <w:style w:type="character" w:customStyle="1" w:styleId="HeaderChar">
    <w:name w:val="Header Char"/>
    <w:basedOn w:val="DefaultParagraphFont"/>
    <w:link w:val="Header"/>
    <w:rsid w:val="00C9378F"/>
    <w:rPr>
      <w:rFonts w:eastAsiaTheme="minorEastAsia"/>
      <w:lang w:bidi="en-US"/>
    </w:rPr>
  </w:style>
  <w:style w:type="paragraph" w:styleId="Footer">
    <w:name w:val="footer"/>
    <w:basedOn w:val="Normal"/>
    <w:link w:val="FooterChar"/>
    <w:uiPriority w:val="99"/>
    <w:unhideWhenUsed/>
    <w:rsid w:val="00C9378F"/>
    <w:pPr>
      <w:tabs>
        <w:tab w:val="center" w:pos="4680"/>
        <w:tab w:val="right" w:pos="9360"/>
      </w:tabs>
    </w:pPr>
  </w:style>
  <w:style w:type="character" w:customStyle="1" w:styleId="FooterChar">
    <w:name w:val="Footer Char"/>
    <w:basedOn w:val="DefaultParagraphFont"/>
    <w:link w:val="Footer"/>
    <w:uiPriority w:val="99"/>
    <w:rsid w:val="00C9378F"/>
    <w:rPr>
      <w:rFonts w:eastAsiaTheme="minorEastAsia"/>
      <w:lang w:bidi="en-US"/>
    </w:rPr>
  </w:style>
  <w:style w:type="character" w:styleId="PageNumber">
    <w:name w:val="page number"/>
    <w:basedOn w:val="DefaultParagraphFont"/>
    <w:rsid w:val="00C9378F"/>
    <w:rPr>
      <w:rFonts w:ascii="Times New Roman" w:hAnsi="Times New Roman" w:cs="Times New Roman"/>
    </w:rPr>
  </w:style>
  <w:style w:type="table" w:styleId="TableGrid">
    <w:name w:val="Table Grid"/>
    <w:basedOn w:val="TableNormal"/>
    <w:uiPriority w:val="59"/>
    <w:rsid w:val="00C937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378F"/>
    <w:rPr>
      <w:rFonts w:ascii="Times New Roman" w:eastAsia="Times New Roman" w:hAnsi="Times New Roman" w:cs="Times New Roman"/>
      <w:sz w:val="24"/>
      <w:szCs w:val="24"/>
    </w:rPr>
  </w:style>
  <w:style w:type="paragraph" w:customStyle="1" w:styleId="font8">
    <w:name w:val="font8"/>
    <w:basedOn w:val="Normal"/>
    <w:rsid w:val="00C9378F"/>
    <w:pPr>
      <w:spacing w:before="100" w:beforeAutospacing="1" w:after="100" w:afterAutospacing="1"/>
      <w:jc w:val="left"/>
    </w:pPr>
    <w:rPr>
      <w:rFonts w:ascii="Times New Roman" w:eastAsia="Times New Roman" w:hAnsi="Times New Roman" w:cs="Times New Roman"/>
      <w:sz w:val="20"/>
      <w:szCs w:val="20"/>
      <w:lang w:bidi="ar-SA"/>
    </w:rPr>
  </w:style>
  <w:style w:type="paragraph" w:styleId="BodyTextIndent2">
    <w:name w:val="Body Text Indent 2"/>
    <w:basedOn w:val="Normal"/>
    <w:link w:val="BodyTextIndent2Char"/>
    <w:uiPriority w:val="99"/>
    <w:semiHidden/>
    <w:unhideWhenUsed/>
    <w:rsid w:val="00C9378F"/>
    <w:pPr>
      <w:spacing w:after="120" w:line="480" w:lineRule="auto"/>
      <w:ind w:left="360"/>
    </w:pPr>
  </w:style>
  <w:style w:type="character" w:customStyle="1" w:styleId="BodyTextIndent2Char">
    <w:name w:val="Body Text Indent 2 Char"/>
    <w:basedOn w:val="DefaultParagraphFont"/>
    <w:link w:val="BodyTextIndent2"/>
    <w:uiPriority w:val="99"/>
    <w:semiHidden/>
    <w:rsid w:val="00C9378F"/>
    <w:rPr>
      <w:rFonts w:eastAsiaTheme="minorEastAsia"/>
      <w:lang w:bidi="en-US"/>
    </w:rPr>
  </w:style>
  <w:style w:type="paragraph" w:styleId="BodyTextIndent3">
    <w:name w:val="Body Text Indent 3"/>
    <w:basedOn w:val="Normal"/>
    <w:link w:val="BodyTextIndent3Char"/>
    <w:uiPriority w:val="99"/>
    <w:semiHidden/>
    <w:unhideWhenUsed/>
    <w:rsid w:val="00C937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378F"/>
    <w:rPr>
      <w:rFonts w:eastAsiaTheme="minorEastAsia"/>
      <w:sz w:val="16"/>
      <w:szCs w:val="16"/>
      <w:lang w:bidi="en-US"/>
    </w:rPr>
  </w:style>
  <w:style w:type="paragraph" w:styleId="TOC3">
    <w:name w:val="toc 3"/>
    <w:basedOn w:val="Normal"/>
    <w:next w:val="Normal"/>
    <w:autoRedefine/>
    <w:uiPriority w:val="39"/>
    <w:unhideWhenUsed/>
    <w:qFormat/>
    <w:rsid w:val="00C9378F"/>
    <w:pPr>
      <w:ind w:left="440"/>
      <w:jc w:val="left"/>
    </w:pPr>
    <w:rPr>
      <w:i/>
      <w:iCs/>
      <w:sz w:val="20"/>
      <w:szCs w:val="20"/>
    </w:rPr>
  </w:style>
  <w:style w:type="paragraph" w:styleId="TOC4">
    <w:name w:val="toc 4"/>
    <w:basedOn w:val="Normal"/>
    <w:next w:val="Normal"/>
    <w:autoRedefine/>
    <w:uiPriority w:val="39"/>
    <w:unhideWhenUsed/>
    <w:rsid w:val="00C9378F"/>
    <w:pPr>
      <w:ind w:left="660"/>
      <w:jc w:val="left"/>
    </w:pPr>
    <w:rPr>
      <w:sz w:val="18"/>
      <w:szCs w:val="18"/>
    </w:rPr>
  </w:style>
  <w:style w:type="paragraph" w:styleId="TOC5">
    <w:name w:val="toc 5"/>
    <w:basedOn w:val="Normal"/>
    <w:next w:val="Normal"/>
    <w:autoRedefine/>
    <w:uiPriority w:val="39"/>
    <w:unhideWhenUsed/>
    <w:rsid w:val="00C9378F"/>
    <w:pPr>
      <w:ind w:left="880"/>
      <w:jc w:val="left"/>
    </w:pPr>
    <w:rPr>
      <w:sz w:val="18"/>
      <w:szCs w:val="18"/>
    </w:rPr>
  </w:style>
  <w:style w:type="paragraph" w:styleId="TOC6">
    <w:name w:val="toc 6"/>
    <w:basedOn w:val="Normal"/>
    <w:next w:val="Normal"/>
    <w:autoRedefine/>
    <w:uiPriority w:val="39"/>
    <w:unhideWhenUsed/>
    <w:rsid w:val="00C9378F"/>
    <w:pPr>
      <w:ind w:left="1100"/>
      <w:jc w:val="left"/>
    </w:pPr>
    <w:rPr>
      <w:sz w:val="18"/>
      <w:szCs w:val="18"/>
    </w:rPr>
  </w:style>
  <w:style w:type="paragraph" w:styleId="TOC7">
    <w:name w:val="toc 7"/>
    <w:basedOn w:val="Normal"/>
    <w:next w:val="Normal"/>
    <w:autoRedefine/>
    <w:uiPriority w:val="39"/>
    <w:unhideWhenUsed/>
    <w:rsid w:val="00C9378F"/>
    <w:pPr>
      <w:ind w:left="1320"/>
      <w:jc w:val="left"/>
    </w:pPr>
    <w:rPr>
      <w:sz w:val="18"/>
      <w:szCs w:val="18"/>
    </w:rPr>
  </w:style>
  <w:style w:type="paragraph" w:styleId="TOC8">
    <w:name w:val="toc 8"/>
    <w:basedOn w:val="Normal"/>
    <w:next w:val="Normal"/>
    <w:autoRedefine/>
    <w:uiPriority w:val="39"/>
    <w:unhideWhenUsed/>
    <w:rsid w:val="00C9378F"/>
    <w:pPr>
      <w:ind w:left="1540"/>
      <w:jc w:val="left"/>
    </w:pPr>
    <w:rPr>
      <w:sz w:val="18"/>
      <w:szCs w:val="18"/>
    </w:rPr>
  </w:style>
  <w:style w:type="paragraph" w:styleId="TOC9">
    <w:name w:val="toc 9"/>
    <w:basedOn w:val="Normal"/>
    <w:next w:val="Normal"/>
    <w:autoRedefine/>
    <w:uiPriority w:val="39"/>
    <w:unhideWhenUsed/>
    <w:rsid w:val="00C9378F"/>
    <w:pPr>
      <w:ind w:left="1760"/>
      <w:jc w:val="left"/>
    </w:pPr>
    <w:rPr>
      <w:sz w:val="18"/>
      <w:szCs w:val="18"/>
    </w:rPr>
  </w:style>
  <w:style w:type="paragraph" w:styleId="TableofFigures">
    <w:name w:val="table of figures"/>
    <w:basedOn w:val="Normal"/>
    <w:next w:val="Normal"/>
    <w:autoRedefine/>
    <w:uiPriority w:val="99"/>
    <w:unhideWhenUsed/>
    <w:rsid w:val="00C9378F"/>
  </w:style>
  <w:style w:type="character" w:styleId="CommentReference">
    <w:name w:val="annotation reference"/>
    <w:basedOn w:val="DefaultParagraphFont"/>
    <w:uiPriority w:val="99"/>
    <w:unhideWhenUsed/>
    <w:rsid w:val="00C9378F"/>
    <w:rPr>
      <w:sz w:val="16"/>
      <w:szCs w:val="16"/>
    </w:rPr>
  </w:style>
  <w:style w:type="paragraph" w:styleId="CommentText">
    <w:name w:val="annotation text"/>
    <w:basedOn w:val="Normal"/>
    <w:link w:val="CommentTextChar"/>
    <w:uiPriority w:val="99"/>
    <w:unhideWhenUsed/>
    <w:rsid w:val="00C9378F"/>
    <w:rPr>
      <w:sz w:val="20"/>
      <w:szCs w:val="20"/>
    </w:rPr>
  </w:style>
  <w:style w:type="character" w:customStyle="1" w:styleId="CommentTextChar">
    <w:name w:val="Comment Text Char"/>
    <w:basedOn w:val="DefaultParagraphFont"/>
    <w:link w:val="CommentText"/>
    <w:uiPriority w:val="99"/>
    <w:rsid w:val="00C9378F"/>
    <w:rPr>
      <w:rFonts w:eastAsiaTheme="minorEastAsia"/>
      <w:sz w:val="20"/>
      <w:szCs w:val="20"/>
      <w:lang w:bidi="en-US"/>
    </w:rPr>
  </w:style>
  <w:style w:type="paragraph" w:styleId="CommentSubject">
    <w:name w:val="annotation subject"/>
    <w:basedOn w:val="CommentText"/>
    <w:next w:val="CommentText"/>
    <w:link w:val="CommentSubjectChar"/>
    <w:uiPriority w:val="99"/>
    <w:semiHidden/>
    <w:unhideWhenUsed/>
    <w:rsid w:val="00C9378F"/>
    <w:rPr>
      <w:b/>
      <w:bCs/>
    </w:rPr>
  </w:style>
  <w:style w:type="character" w:customStyle="1" w:styleId="CommentSubjectChar">
    <w:name w:val="Comment Subject Char"/>
    <w:basedOn w:val="CommentTextChar"/>
    <w:link w:val="CommentSubject"/>
    <w:uiPriority w:val="99"/>
    <w:semiHidden/>
    <w:rsid w:val="00C9378F"/>
    <w:rPr>
      <w:rFonts w:eastAsiaTheme="minorEastAsia"/>
      <w:b/>
      <w:bCs/>
      <w:sz w:val="20"/>
      <w:szCs w:val="20"/>
      <w:lang w:bidi="en-US"/>
    </w:rPr>
  </w:style>
  <w:style w:type="paragraph" w:styleId="Revision">
    <w:name w:val="Revision"/>
    <w:hidden/>
    <w:uiPriority w:val="99"/>
    <w:semiHidden/>
    <w:rsid w:val="00C9378F"/>
    <w:rPr>
      <w:rFonts w:eastAsiaTheme="minorEastAsia"/>
      <w:noProof/>
      <w:lang w:bidi="en-US"/>
    </w:rPr>
  </w:style>
  <w:style w:type="paragraph" w:customStyle="1" w:styleId="Default">
    <w:name w:val="Default"/>
    <w:rsid w:val="00C9378F"/>
    <w:pPr>
      <w:autoSpaceDE w:val="0"/>
      <w:autoSpaceDN w:val="0"/>
      <w:adjustRightInd w:val="0"/>
    </w:pPr>
    <w:rPr>
      <w:rFonts w:ascii="Arial" w:eastAsiaTheme="minorEastAsia" w:hAnsi="Arial" w:cs="Arial"/>
      <w:color w:val="000000"/>
      <w:sz w:val="24"/>
      <w:szCs w:val="24"/>
    </w:rPr>
  </w:style>
  <w:style w:type="paragraph" w:customStyle="1" w:styleId="Subheading">
    <w:name w:val="Subheading"/>
    <w:basedOn w:val="Heading1"/>
    <w:rsid w:val="00C9378F"/>
    <w:pPr>
      <w:keepLines w:val="0"/>
      <w:spacing w:before="0"/>
      <w:jc w:val="left"/>
    </w:pPr>
    <w:rPr>
      <w:rFonts w:ascii="Arial" w:eastAsia="Times New Roman" w:hAnsi="Arial" w:cs="Times New Roman"/>
      <w:bCs w:val="0"/>
      <w:i/>
      <w:color w:val="auto"/>
      <w:sz w:val="22"/>
      <w:szCs w:val="20"/>
      <w:lang w:bidi="ar-SA"/>
    </w:rPr>
  </w:style>
  <w:style w:type="character" w:customStyle="1" w:styleId="HeaderChar1">
    <w:name w:val="Header Char1"/>
    <w:basedOn w:val="DefaultParagraphFont"/>
    <w:rsid w:val="00C9378F"/>
  </w:style>
  <w:style w:type="paragraph" w:customStyle="1" w:styleId="Body">
    <w:name w:val="Body"/>
    <w:link w:val="BodyChar1"/>
    <w:rsid w:val="00C9378F"/>
    <w:pPr>
      <w:spacing w:before="180"/>
    </w:pPr>
    <w:rPr>
      <w:rFonts w:ascii="Arial" w:eastAsia="Times New Roman" w:hAnsi="Arial" w:cs="Times New Roman"/>
      <w:sz w:val="20"/>
      <w:szCs w:val="24"/>
    </w:rPr>
  </w:style>
  <w:style w:type="paragraph" w:customStyle="1" w:styleId="Bullet">
    <w:name w:val="Bullet"/>
    <w:link w:val="BulletChar"/>
    <w:rsid w:val="00C9378F"/>
    <w:pPr>
      <w:numPr>
        <w:numId w:val="13"/>
      </w:numPr>
      <w:tabs>
        <w:tab w:val="left" w:pos="576"/>
      </w:tabs>
      <w:spacing w:before="120"/>
      <w:ind w:left="576"/>
    </w:pPr>
    <w:rPr>
      <w:rFonts w:ascii="Arial" w:eastAsia="Times New Roman" w:hAnsi="Arial" w:cs="Times New Roman"/>
      <w:sz w:val="20"/>
      <w:szCs w:val="24"/>
    </w:rPr>
  </w:style>
  <w:style w:type="character" w:customStyle="1" w:styleId="BulletChar">
    <w:name w:val="Bullet Char"/>
    <w:basedOn w:val="DefaultParagraphFont"/>
    <w:link w:val="Bullet"/>
    <w:rsid w:val="00C9378F"/>
    <w:rPr>
      <w:rFonts w:ascii="Arial" w:eastAsia="Times New Roman" w:hAnsi="Arial" w:cs="Times New Roman"/>
      <w:sz w:val="20"/>
      <w:szCs w:val="24"/>
    </w:rPr>
  </w:style>
  <w:style w:type="character" w:customStyle="1" w:styleId="BodyChar1">
    <w:name w:val="Body Char1"/>
    <w:basedOn w:val="DefaultParagraphFont"/>
    <w:link w:val="Body"/>
    <w:rsid w:val="00C9378F"/>
    <w:rPr>
      <w:rFonts w:ascii="Arial" w:eastAsia="Times New Roman" w:hAnsi="Arial" w:cs="Times New Roman"/>
      <w:sz w:val="20"/>
      <w:szCs w:val="24"/>
    </w:rPr>
  </w:style>
  <w:style w:type="paragraph" w:customStyle="1" w:styleId="ProcessBullet">
    <w:name w:val="Process Bullet"/>
    <w:link w:val="ProcessBulletChar"/>
    <w:rsid w:val="00C9378F"/>
    <w:pPr>
      <w:numPr>
        <w:numId w:val="14"/>
      </w:numPr>
      <w:spacing w:before="120"/>
    </w:pPr>
    <w:rPr>
      <w:rFonts w:ascii="Arial" w:eastAsia="Times New Roman" w:hAnsi="Arial" w:cs="Times New Roman"/>
      <w:sz w:val="20"/>
      <w:szCs w:val="24"/>
    </w:rPr>
  </w:style>
  <w:style w:type="character" w:customStyle="1" w:styleId="ProcessBulletChar">
    <w:name w:val="Process Bullet Char"/>
    <w:basedOn w:val="DefaultParagraphFont"/>
    <w:link w:val="ProcessBullet"/>
    <w:rsid w:val="00C9378F"/>
    <w:rPr>
      <w:rFonts w:ascii="Arial" w:eastAsia="Times New Roman" w:hAnsi="Arial" w:cs="Times New Roman"/>
      <w:sz w:val="20"/>
      <w:szCs w:val="24"/>
    </w:rPr>
  </w:style>
  <w:style w:type="paragraph" w:customStyle="1" w:styleId="Note">
    <w:name w:val="Note"/>
    <w:link w:val="NoteChar"/>
    <w:rsid w:val="00C9378F"/>
    <w:pPr>
      <w:spacing w:before="120"/>
    </w:pPr>
    <w:rPr>
      <w:rFonts w:ascii="Arial" w:eastAsia="Times New Roman" w:hAnsi="Arial" w:cs="Times New Roman"/>
      <w:i/>
      <w:sz w:val="20"/>
      <w:szCs w:val="24"/>
    </w:rPr>
  </w:style>
  <w:style w:type="character" w:customStyle="1" w:styleId="NoteChar">
    <w:name w:val="Note Char"/>
    <w:basedOn w:val="DefaultParagraphFont"/>
    <w:link w:val="Note"/>
    <w:rsid w:val="00C9378F"/>
    <w:rPr>
      <w:rFonts w:ascii="Arial" w:eastAsia="Times New Roman" w:hAnsi="Arial" w:cs="Times New Roman"/>
      <w:i/>
      <w:sz w:val="20"/>
      <w:szCs w:val="24"/>
    </w:rPr>
  </w:style>
  <w:style w:type="paragraph" w:customStyle="1" w:styleId="Dash">
    <w:name w:val="Dash"/>
    <w:rsid w:val="00C9378F"/>
    <w:pPr>
      <w:numPr>
        <w:numId w:val="15"/>
      </w:numPr>
      <w:spacing w:before="60"/>
    </w:pPr>
    <w:rPr>
      <w:rFonts w:ascii="Arial" w:eastAsia="Times New Roman" w:hAnsi="Arial" w:cs="Times New Roman"/>
      <w:sz w:val="20"/>
      <w:szCs w:val="24"/>
    </w:rPr>
  </w:style>
  <w:style w:type="character" w:customStyle="1" w:styleId="BodyChar">
    <w:name w:val="Body Char"/>
    <w:basedOn w:val="DefaultParagraphFont"/>
    <w:rsid w:val="00C9378F"/>
    <w:rPr>
      <w:rFonts w:ascii="Arial" w:hAnsi="Arial"/>
      <w:szCs w:val="24"/>
      <w:lang w:val="en-US" w:eastAsia="en-US" w:bidi="ar-SA"/>
    </w:rPr>
  </w:style>
  <w:style w:type="character" w:styleId="PlaceholderText">
    <w:name w:val="Placeholder Text"/>
    <w:basedOn w:val="DefaultParagraphFont"/>
    <w:uiPriority w:val="99"/>
    <w:semiHidden/>
    <w:rsid w:val="00C9378F"/>
    <w:rPr>
      <w:color w:val="808080"/>
    </w:rPr>
  </w:style>
  <w:style w:type="paragraph" w:styleId="NormalWeb">
    <w:name w:val="Normal (Web)"/>
    <w:basedOn w:val="Normal"/>
    <w:uiPriority w:val="99"/>
    <w:unhideWhenUsed/>
    <w:rsid w:val="00C9378F"/>
    <w:pPr>
      <w:spacing w:before="100" w:beforeAutospacing="1" w:after="100" w:afterAutospacing="1"/>
      <w:jc w:val="left"/>
    </w:pPr>
    <w:rPr>
      <w:rFonts w:ascii="Times New Roman" w:eastAsia="Times New Roman" w:hAnsi="Times New Roman" w:cs="Times New Roman"/>
      <w:sz w:val="24"/>
      <w:szCs w:val="24"/>
      <w:lang w:bidi="ar-SA"/>
    </w:rPr>
  </w:style>
  <w:style w:type="paragraph" w:styleId="Caption">
    <w:name w:val="caption"/>
    <w:basedOn w:val="Normal"/>
    <w:next w:val="Normal"/>
    <w:link w:val="CaptionChar"/>
    <w:uiPriority w:val="35"/>
    <w:unhideWhenUsed/>
    <w:qFormat/>
    <w:rsid w:val="00EF6184"/>
    <w:pPr>
      <w:spacing w:after="200"/>
    </w:pPr>
    <w:rPr>
      <w:b/>
      <w:bCs/>
      <w:color w:val="4F81BD" w:themeColor="accent1"/>
      <w:sz w:val="18"/>
      <w:szCs w:val="18"/>
    </w:rPr>
  </w:style>
  <w:style w:type="character" w:customStyle="1" w:styleId="ListParagraphChar">
    <w:name w:val="List Paragraph Char"/>
    <w:aliases w:val="Bullets Char,Use in Mgmt Summary Char,xxxxxxxxxxxx Char,Alpha List Paragraph Char,List Paragraph1 Char,alpha List Char,Response Bullets Char,Bullet Text Char,L1 Char"/>
    <w:basedOn w:val="DefaultParagraphFont"/>
    <w:link w:val="ListParagraph"/>
    <w:uiPriority w:val="34"/>
    <w:locked/>
    <w:rsid w:val="00BF0CCC"/>
  </w:style>
  <w:style w:type="character" w:customStyle="1" w:styleId="Style10-Arial10">
    <w:name w:val="Style10-Arial 10"/>
    <w:basedOn w:val="DefaultParagraphFont"/>
    <w:uiPriority w:val="1"/>
    <w:rsid w:val="00FF55AD"/>
    <w:rPr>
      <w:rFonts w:ascii="Arial" w:hAnsi="Arial"/>
      <w:sz w:val="20"/>
    </w:rPr>
  </w:style>
  <w:style w:type="character" w:customStyle="1" w:styleId="CaptionChar">
    <w:name w:val="Caption Char"/>
    <w:link w:val="Caption"/>
    <w:uiPriority w:val="35"/>
    <w:rsid w:val="00562184"/>
    <w:rPr>
      <w:rFonts w:eastAsiaTheme="minorEastAsia"/>
      <w:b/>
      <w:bCs/>
      <w:color w:val="4F81BD" w:themeColor="accent1"/>
      <w:sz w:val="18"/>
      <w:szCs w:val="18"/>
      <w:lang w:bidi="en-US"/>
    </w:rPr>
  </w:style>
  <w:style w:type="paragraph" w:styleId="EndnoteText">
    <w:name w:val="endnote text"/>
    <w:basedOn w:val="Normal"/>
    <w:link w:val="EndnoteTextChar"/>
    <w:uiPriority w:val="99"/>
    <w:semiHidden/>
    <w:unhideWhenUsed/>
    <w:rsid w:val="0074172F"/>
    <w:pPr>
      <w:jc w:val="left"/>
    </w:pPr>
    <w:rPr>
      <w:rFonts w:ascii="Times New Roman" w:eastAsia="Times New Roman" w:hAnsi="Times New Roman" w:cs="Times New Roman"/>
      <w:sz w:val="20"/>
      <w:szCs w:val="20"/>
      <w:lang w:bidi="ar-SA"/>
    </w:rPr>
  </w:style>
  <w:style w:type="character" w:customStyle="1" w:styleId="EndnoteTextChar">
    <w:name w:val="Endnote Text Char"/>
    <w:basedOn w:val="DefaultParagraphFont"/>
    <w:link w:val="EndnoteText"/>
    <w:uiPriority w:val="99"/>
    <w:semiHidden/>
    <w:rsid w:val="0074172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7417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19831">
      <w:bodyDiv w:val="1"/>
      <w:marLeft w:val="0"/>
      <w:marRight w:val="0"/>
      <w:marTop w:val="0"/>
      <w:marBottom w:val="0"/>
      <w:divBdr>
        <w:top w:val="none" w:sz="0" w:space="0" w:color="auto"/>
        <w:left w:val="none" w:sz="0" w:space="0" w:color="auto"/>
        <w:bottom w:val="none" w:sz="0" w:space="0" w:color="auto"/>
        <w:right w:val="none" w:sz="0" w:space="0" w:color="auto"/>
      </w:divBdr>
    </w:div>
    <w:div w:id="222647306">
      <w:bodyDiv w:val="1"/>
      <w:marLeft w:val="0"/>
      <w:marRight w:val="0"/>
      <w:marTop w:val="0"/>
      <w:marBottom w:val="0"/>
      <w:divBdr>
        <w:top w:val="none" w:sz="0" w:space="0" w:color="auto"/>
        <w:left w:val="none" w:sz="0" w:space="0" w:color="auto"/>
        <w:bottom w:val="none" w:sz="0" w:space="0" w:color="auto"/>
        <w:right w:val="none" w:sz="0" w:space="0" w:color="auto"/>
      </w:divBdr>
    </w:div>
    <w:div w:id="307126812">
      <w:bodyDiv w:val="1"/>
      <w:marLeft w:val="0"/>
      <w:marRight w:val="0"/>
      <w:marTop w:val="0"/>
      <w:marBottom w:val="0"/>
      <w:divBdr>
        <w:top w:val="none" w:sz="0" w:space="0" w:color="auto"/>
        <w:left w:val="none" w:sz="0" w:space="0" w:color="auto"/>
        <w:bottom w:val="none" w:sz="0" w:space="0" w:color="auto"/>
        <w:right w:val="none" w:sz="0" w:space="0" w:color="auto"/>
      </w:divBdr>
    </w:div>
    <w:div w:id="110828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Microsoft_Word_Document.docx"/><Relationship Id="rId18" Type="http://schemas.openxmlformats.org/officeDocument/2006/relationships/chart" Target="charts/chart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8.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hart" Target="charts/chart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hart" Target="charts/chart11.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theme" Target="theme/theme1.xml"/><Relationship Id="rId30" Type="http://schemas.openxmlformats.org/officeDocument/2006/relationships/customXml" Target="../customXml/item4.xml"/></Relationships>
</file>

<file path=word/charts/_rels/chart1.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fileprint6\Data2\SHARED\PA\PA%20CHIP\Annual%20Technical%20Reports\2022%20CHIP%20Reports\Graphs\UPMC%202022%200223202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Contraceptive</a:t>
            </a:r>
            <a:r>
              <a:rPr lang="en-US" sz="1200" baseline="0"/>
              <a:t> Care for All Women</a:t>
            </a:r>
          </a:p>
        </c:rich>
      </c:tx>
      <c:overlay val="0"/>
    </c:title>
    <c:autoTitleDeleted val="0"/>
    <c:plotArea>
      <c:layout/>
      <c:barChart>
        <c:barDir val="col"/>
        <c:grouping val="clustered"/>
        <c:varyColors val="0"/>
        <c:ser>
          <c:idx val="0"/>
          <c:order val="0"/>
          <c:tx>
            <c:strRef>
              <c:f>Access!$C$3</c:f>
              <c:strCache>
                <c:ptCount val="1"/>
                <c:pt idx="0">
                  <c:v>2022</c:v>
                </c:pt>
              </c:strCache>
            </c:strRef>
          </c:tx>
          <c:invertIfNegative val="0"/>
          <c:dLbls>
            <c:dLbl>
              <c:idx val="0"/>
              <c:spPr>
                <a:noFill/>
                <a:ln>
                  <a:noFill/>
                </a:ln>
                <a:effectLst/>
              </c:spPr>
              <c:txPr>
                <a:bodyPr rot="-5400000" vert="horz"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extLst>
                <c:ext xmlns:c16="http://schemas.microsoft.com/office/drawing/2014/chart" uri="{C3380CC4-5D6E-409C-BE32-E72D297353CC}">
                  <c16:uniqueId val="{00000000-52AF-4EFE-8635-1C934142AFF5}"/>
                </c:ext>
              </c:extLst>
            </c:dLbl>
            <c:dLbl>
              <c:idx val="1"/>
              <c:layout>
                <c:manualLayout>
                  <c:x val="-1.8939393939395328E-3"/>
                  <c:y val="9.8011189709831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2AF-4EFE-8635-1C934142AFF5}"/>
                </c:ext>
              </c:extLst>
            </c:dLbl>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Access!$B$4:$B$5</c:f>
              <c:strCache>
                <c:ptCount val="2"/>
                <c:pt idx="0">
                  <c:v>Contraceptive Care for All Women: Most or Moderately Effective</c:v>
                </c:pt>
                <c:pt idx="1">
                  <c:v>Contraceptive Care for All Women: LARC</c:v>
                </c:pt>
              </c:strCache>
            </c:strRef>
          </c:cat>
          <c:val>
            <c:numRef>
              <c:f>Access!$C$4:$C$5</c:f>
              <c:numCache>
                <c:formatCode>0.00%</c:formatCode>
                <c:ptCount val="2"/>
                <c:pt idx="0">
                  <c:v>0.2873</c:v>
                </c:pt>
                <c:pt idx="1">
                  <c:v>2.5899999999999999E-2</c:v>
                </c:pt>
              </c:numCache>
            </c:numRef>
          </c:val>
          <c:extLst>
            <c:ext xmlns:c16="http://schemas.microsoft.com/office/drawing/2014/chart" uri="{C3380CC4-5D6E-409C-BE32-E72D297353CC}">
              <c16:uniqueId val="{00000002-52AF-4EFE-8635-1C934142AFF5}"/>
            </c:ext>
          </c:extLst>
        </c:ser>
        <c:ser>
          <c:idx val="1"/>
          <c:order val="1"/>
          <c:tx>
            <c:strRef>
              <c:f>Access!$D$3</c:f>
              <c:strCache>
                <c:ptCount val="1"/>
                <c:pt idx="0">
                  <c:v>2021</c:v>
                </c:pt>
              </c:strCache>
            </c:strRef>
          </c:tx>
          <c:invertIfNegative val="0"/>
          <c:dLbls>
            <c:dLbl>
              <c:idx val="1"/>
              <c:layout>
                <c:manualLayout>
                  <c:x val="-3.7878787878789268E-3"/>
                  <c:y val="5.75415371000103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2AF-4EFE-8635-1C934142AFF5}"/>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Access!$B$4:$B$5</c:f>
              <c:strCache>
                <c:ptCount val="2"/>
                <c:pt idx="0">
                  <c:v>Contraceptive Care for All Women: Most or Moderately Effective</c:v>
                </c:pt>
                <c:pt idx="1">
                  <c:v>Contraceptive Care for All Women: LARC</c:v>
                </c:pt>
              </c:strCache>
            </c:strRef>
          </c:cat>
          <c:val>
            <c:numRef>
              <c:f>Access!$D$4:$D$5</c:f>
              <c:numCache>
                <c:formatCode>0.00%</c:formatCode>
                <c:ptCount val="2"/>
                <c:pt idx="0">
                  <c:v>0.3054</c:v>
                </c:pt>
                <c:pt idx="1">
                  <c:v>3.2000000000000001E-2</c:v>
                </c:pt>
              </c:numCache>
            </c:numRef>
          </c:val>
          <c:extLst>
            <c:ext xmlns:c16="http://schemas.microsoft.com/office/drawing/2014/chart" uri="{C3380CC4-5D6E-409C-BE32-E72D297353CC}">
              <c16:uniqueId val="{00000004-52AF-4EFE-8635-1C934142AFF5}"/>
            </c:ext>
          </c:extLst>
        </c:ser>
        <c:dLbls>
          <c:showLegendKey val="0"/>
          <c:showVal val="0"/>
          <c:showCatName val="0"/>
          <c:showSerName val="0"/>
          <c:showPercent val="0"/>
          <c:showBubbleSize val="0"/>
        </c:dLbls>
        <c:gapWidth val="75"/>
        <c:overlap val="-25"/>
        <c:axId val="111494656"/>
        <c:axId val="111496192"/>
      </c:barChart>
      <c:catAx>
        <c:axId val="111494656"/>
        <c:scaling>
          <c:orientation val="minMax"/>
        </c:scaling>
        <c:delete val="0"/>
        <c:axPos val="b"/>
        <c:numFmt formatCode="General" sourceLinked="0"/>
        <c:majorTickMark val="none"/>
        <c:minorTickMark val="none"/>
        <c:tickLblPos val="nextTo"/>
        <c:crossAx val="111496192"/>
        <c:crosses val="autoZero"/>
        <c:auto val="1"/>
        <c:lblAlgn val="ctr"/>
        <c:lblOffset val="100"/>
        <c:noMultiLvlLbl val="0"/>
      </c:catAx>
      <c:valAx>
        <c:axId val="111496192"/>
        <c:scaling>
          <c:orientation val="minMax"/>
        </c:scaling>
        <c:delete val="0"/>
        <c:axPos val="l"/>
        <c:majorGridlines/>
        <c:numFmt formatCode="0.00%" sourceLinked="1"/>
        <c:majorTickMark val="none"/>
        <c:minorTickMark val="none"/>
        <c:tickLblPos val="nextTo"/>
        <c:crossAx val="111494656"/>
        <c:crosses val="autoZero"/>
        <c:crossBetween val="between"/>
      </c:valAx>
    </c:plotArea>
    <c:legend>
      <c:legendPos val="b"/>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Immunizations for Adolescents</a:t>
            </a:r>
            <a:endParaRPr lang="en-US" sz="1200"/>
          </a:p>
        </c:rich>
      </c:tx>
      <c:overlay val="0"/>
    </c:title>
    <c:autoTitleDeleted val="0"/>
    <c:plotArea>
      <c:layout/>
      <c:barChart>
        <c:barDir val="col"/>
        <c:grouping val="clustered"/>
        <c:varyColors val="0"/>
        <c:ser>
          <c:idx val="0"/>
          <c:order val="0"/>
          <c:tx>
            <c:strRef>
              <c:f>'Well Care'!$C$3</c:f>
              <c:strCache>
                <c:ptCount val="1"/>
                <c:pt idx="0">
                  <c:v>2022</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Care'!$B$26:$B$30</c:f>
              <c:strCache>
                <c:ptCount val="5"/>
                <c:pt idx="0">
                  <c:v>Meningococcal</c:v>
                </c:pt>
                <c:pt idx="1">
                  <c:v>Tdap</c:v>
                </c:pt>
                <c:pt idx="2">
                  <c:v>HPV</c:v>
                </c:pt>
                <c:pt idx="3">
                  <c:v>Combination 1</c:v>
                </c:pt>
                <c:pt idx="4">
                  <c:v>Combination 2</c:v>
                </c:pt>
              </c:strCache>
            </c:strRef>
          </c:cat>
          <c:val>
            <c:numRef>
              <c:f>'Well Care'!$C$26:$C$30</c:f>
              <c:numCache>
                <c:formatCode>0.00%</c:formatCode>
                <c:ptCount val="5"/>
                <c:pt idx="0">
                  <c:v>0.871</c:v>
                </c:pt>
                <c:pt idx="1">
                  <c:v>0.87829999999999997</c:v>
                </c:pt>
                <c:pt idx="2">
                  <c:v>0.39900000000000002</c:v>
                </c:pt>
                <c:pt idx="3">
                  <c:v>0.86619999999999997</c:v>
                </c:pt>
                <c:pt idx="4">
                  <c:v>0.39900000000000002</c:v>
                </c:pt>
              </c:numCache>
            </c:numRef>
          </c:val>
          <c:extLst>
            <c:ext xmlns:c16="http://schemas.microsoft.com/office/drawing/2014/chart" uri="{C3380CC4-5D6E-409C-BE32-E72D297353CC}">
              <c16:uniqueId val="{00000000-ABCE-4A08-9E9C-66942923893D}"/>
            </c:ext>
          </c:extLst>
        </c:ser>
        <c:ser>
          <c:idx val="1"/>
          <c:order val="1"/>
          <c:tx>
            <c:strRef>
              <c:f>'Well Care'!$D$3</c:f>
              <c:strCache>
                <c:ptCount val="1"/>
                <c:pt idx="0">
                  <c:v>2021</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Care'!$B$26:$B$30</c:f>
              <c:strCache>
                <c:ptCount val="5"/>
                <c:pt idx="0">
                  <c:v>Meningococcal</c:v>
                </c:pt>
                <c:pt idx="1">
                  <c:v>Tdap</c:v>
                </c:pt>
                <c:pt idx="2">
                  <c:v>HPV</c:v>
                </c:pt>
                <c:pt idx="3">
                  <c:v>Combination 1</c:v>
                </c:pt>
                <c:pt idx="4">
                  <c:v>Combination 2</c:v>
                </c:pt>
              </c:strCache>
            </c:strRef>
          </c:cat>
          <c:val>
            <c:numRef>
              <c:f>'Well Care'!$D$26:$D$30</c:f>
              <c:numCache>
                <c:formatCode>0.00%</c:formatCode>
                <c:ptCount val="5"/>
                <c:pt idx="0">
                  <c:v>0.9002</c:v>
                </c:pt>
                <c:pt idx="1">
                  <c:v>0.92210000000000003</c:v>
                </c:pt>
                <c:pt idx="2">
                  <c:v>0.38200000000000001</c:v>
                </c:pt>
                <c:pt idx="3">
                  <c:v>0.89780000000000004</c:v>
                </c:pt>
                <c:pt idx="4">
                  <c:v>0.37709999999999999</c:v>
                </c:pt>
              </c:numCache>
            </c:numRef>
          </c:val>
          <c:extLst>
            <c:ext xmlns:c16="http://schemas.microsoft.com/office/drawing/2014/chart" uri="{C3380CC4-5D6E-409C-BE32-E72D297353CC}">
              <c16:uniqueId val="{00000001-ABCE-4A08-9E9C-66942923893D}"/>
            </c:ext>
          </c:extLst>
        </c:ser>
        <c:dLbls>
          <c:showLegendKey val="0"/>
          <c:showVal val="0"/>
          <c:showCatName val="0"/>
          <c:showSerName val="0"/>
          <c:showPercent val="0"/>
          <c:showBubbleSize val="0"/>
        </c:dLbls>
        <c:gapWidth val="75"/>
        <c:overlap val="-25"/>
        <c:axId val="66345600"/>
        <c:axId val="66351488"/>
      </c:barChart>
      <c:catAx>
        <c:axId val="66345600"/>
        <c:scaling>
          <c:orientation val="minMax"/>
        </c:scaling>
        <c:delete val="0"/>
        <c:axPos val="b"/>
        <c:numFmt formatCode="General" sourceLinked="0"/>
        <c:majorTickMark val="none"/>
        <c:minorTickMark val="none"/>
        <c:tickLblPos val="nextTo"/>
        <c:txPr>
          <a:bodyPr rot="0" vert="horz" anchor="ctr" anchorCtr="1"/>
          <a:lstStyle/>
          <a:p>
            <a:pPr>
              <a:defRPr sz="800"/>
            </a:pPr>
            <a:endParaRPr lang="en-US"/>
          </a:p>
        </c:txPr>
        <c:crossAx val="66351488"/>
        <c:crosses val="autoZero"/>
        <c:auto val="1"/>
        <c:lblAlgn val="ctr"/>
        <c:lblOffset val="100"/>
        <c:noMultiLvlLbl val="0"/>
      </c:catAx>
      <c:valAx>
        <c:axId val="66351488"/>
        <c:scaling>
          <c:orientation val="minMax"/>
        </c:scaling>
        <c:delete val="0"/>
        <c:axPos val="l"/>
        <c:majorGridlines/>
        <c:numFmt formatCode="0.00%" sourceLinked="1"/>
        <c:majorTickMark val="none"/>
        <c:minorTickMark val="none"/>
        <c:tickLblPos val="nextTo"/>
        <c:crossAx val="66345600"/>
        <c:crosses val="autoZero"/>
        <c:crossBetween val="between"/>
      </c:valAx>
    </c:plotArea>
    <c:legend>
      <c:legendPos val="b"/>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Well Child Visits</a:t>
            </a:r>
          </a:p>
        </c:rich>
      </c:tx>
      <c:overlay val="0"/>
    </c:title>
    <c:autoTitleDeleted val="0"/>
    <c:plotArea>
      <c:layout/>
      <c:barChart>
        <c:barDir val="col"/>
        <c:grouping val="clustered"/>
        <c:varyColors val="0"/>
        <c:ser>
          <c:idx val="0"/>
          <c:order val="0"/>
          <c:tx>
            <c:strRef>
              <c:f>'Well Care'!$C$3</c:f>
              <c:strCache>
                <c:ptCount val="1"/>
                <c:pt idx="0">
                  <c:v>2022</c:v>
                </c:pt>
              </c:strCache>
            </c:strRef>
          </c:tx>
          <c:invertIfNegative val="0"/>
          <c:dLbls>
            <c:spPr>
              <a:noFill/>
              <a:ln>
                <a:noFill/>
              </a:ln>
              <a:effectLst/>
            </c:spPr>
            <c:txPr>
              <a:bodyPr rot="-5400000" vert="horz"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'Well Care'!$B$31:$B$33</c:f>
              <c:strCache>
                <c:ptCount val="3"/>
                <c:pt idx="0">
                  <c:v>15 months ≥ 6 Visits</c:v>
                </c:pt>
                <c:pt idx="1">
                  <c:v>15-30 months ≥ 2 Visits</c:v>
                </c:pt>
                <c:pt idx="2">
                  <c:v>3-19 years
≥ 1 Visit</c:v>
                </c:pt>
              </c:strCache>
            </c:strRef>
          </c:cat>
          <c:val>
            <c:numRef>
              <c:f>'Well Care'!$C$31:$C$33</c:f>
              <c:numCache>
                <c:formatCode>0.00%</c:formatCode>
                <c:ptCount val="3"/>
                <c:pt idx="0">
                  <c:v>0.71509999999999996</c:v>
                </c:pt>
                <c:pt idx="1">
                  <c:v>0.89370000000000005</c:v>
                </c:pt>
                <c:pt idx="2">
                  <c:v>0.65680000000000005</c:v>
                </c:pt>
              </c:numCache>
            </c:numRef>
          </c:val>
          <c:extLst>
            <c:ext xmlns:c16="http://schemas.microsoft.com/office/drawing/2014/chart" uri="{C3380CC4-5D6E-409C-BE32-E72D297353CC}">
              <c16:uniqueId val="{00000000-4028-4911-B4F2-C9183249452A}"/>
            </c:ext>
          </c:extLst>
        </c:ser>
        <c:ser>
          <c:idx val="1"/>
          <c:order val="1"/>
          <c:tx>
            <c:strRef>
              <c:f>'Well Care'!$D$3</c:f>
              <c:strCache>
                <c:ptCount val="1"/>
                <c:pt idx="0">
                  <c:v>2021</c:v>
                </c:pt>
              </c:strCache>
            </c:strRef>
          </c:tx>
          <c:invertIfNegative val="0"/>
          <c:dLbls>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'Well Care'!$B$31:$B$33</c:f>
              <c:strCache>
                <c:ptCount val="3"/>
                <c:pt idx="0">
                  <c:v>15 months ≥ 6 Visits</c:v>
                </c:pt>
                <c:pt idx="1">
                  <c:v>15-30 months ≥ 2 Visits</c:v>
                </c:pt>
                <c:pt idx="2">
                  <c:v>3-19 years
≥ 1 Visit</c:v>
                </c:pt>
              </c:strCache>
            </c:strRef>
          </c:cat>
          <c:val>
            <c:numRef>
              <c:f>'Well Care'!$D$31:$D$33</c:f>
              <c:numCache>
                <c:formatCode>0.00%</c:formatCode>
                <c:ptCount val="3"/>
                <c:pt idx="0">
                  <c:v>0.78159999999999996</c:v>
                </c:pt>
                <c:pt idx="1">
                  <c:v>0.92090000000000005</c:v>
                </c:pt>
                <c:pt idx="2">
                  <c:v>0.66259999999999997</c:v>
                </c:pt>
              </c:numCache>
            </c:numRef>
          </c:val>
          <c:extLst>
            <c:ext xmlns:c16="http://schemas.microsoft.com/office/drawing/2014/chart" uri="{C3380CC4-5D6E-409C-BE32-E72D297353CC}">
              <c16:uniqueId val="{00000001-4028-4911-B4F2-C9183249452A}"/>
            </c:ext>
          </c:extLst>
        </c:ser>
        <c:dLbls>
          <c:showLegendKey val="0"/>
          <c:showVal val="0"/>
          <c:showCatName val="0"/>
          <c:showSerName val="0"/>
          <c:showPercent val="0"/>
          <c:showBubbleSize val="0"/>
        </c:dLbls>
        <c:gapWidth val="75"/>
        <c:overlap val="-25"/>
        <c:axId val="66365312"/>
        <c:axId val="66366848"/>
      </c:barChart>
      <c:catAx>
        <c:axId val="66365312"/>
        <c:scaling>
          <c:orientation val="minMax"/>
        </c:scaling>
        <c:delete val="0"/>
        <c:axPos val="b"/>
        <c:numFmt formatCode="General" sourceLinked="0"/>
        <c:majorTickMark val="none"/>
        <c:minorTickMark val="none"/>
        <c:tickLblPos val="nextTo"/>
        <c:crossAx val="66366848"/>
        <c:crosses val="autoZero"/>
        <c:auto val="1"/>
        <c:lblAlgn val="ctr"/>
        <c:lblOffset val="100"/>
        <c:noMultiLvlLbl val="0"/>
      </c:catAx>
      <c:valAx>
        <c:axId val="66366848"/>
        <c:scaling>
          <c:orientation val="minMax"/>
          <c:max val="1"/>
          <c:min val="0"/>
        </c:scaling>
        <c:delete val="0"/>
        <c:axPos val="l"/>
        <c:majorGridlines/>
        <c:numFmt formatCode="0.00%" sourceLinked="1"/>
        <c:majorTickMark val="none"/>
        <c:minorTickMark val="none"/>
        <c:tickLblPos val="nextTo"/>
        <c:crossAx val="66365312"/>
        <c:crosses val="autoZero"/>
        <c:crossBetween val="between"/>
      </c:valAx>
    </c:plotArea>
    <c:legend>
      <c:legendPos val="b"/>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Annual Dental Visits</a:t>
            </a:r>
          </a:p>
        </c:rich>
      </c:tx>
      <c:overlay val="0"/>
    </c:title>
    <c:autoTitleDeleted val="0"/>
    <c:plotArea>
      <c:layout>
        <c:manualLayout>
          <c:layoutTarget val="inner"/>
          <c:xMode val="edge"/>
          <c:yMode val="edge"/>
          <c:x val="8.8167779840528065E-2"/>
          <c:y val="9.2952232766305959E-2"/>
          <c:w val="0.88834531862378996"/>
          <c:h val="0.74298330761488585"/>
        </c:manualLayout>
      </c:layout>
      <c:barChart>
        <c:barDir val="col"/>
        <c:grouping val="clustered"/>
        <c:varyColors val="0"/>
        <c:ser>
          <c:idx val="0"/>
          <c:order val="0"/>
          <c:tx>
            <c:strRef>
              <c:f>'Dental Care'!$C$3</c:f>
              <c:strCache>
                <c:ptCount val="1"/>
                <c:pt idx="0">
                  <c:v>2022</c:v>
                </c:pt>
              </c:strCache>
            </c:strRef>
          </c:tx>
          <c:invertIfNegative val="0"/>
          <c:dLbls>
            <c:dLbl>
              <c:idx val="5"/>
              <c:tx>
                <c:rich>
                  <a:bodyPr/>
                  <a:lstStyle/>
                  <a:p>
                    <a:r>
                      <a:rPr lang="en-US">
                        <a:solidFill>
                          <a:sysClr val="windowText" lastClr="000000"/>
                        </a:solidFill>
                      </a:rPr>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F4C-488D-8F49-D218EC2A3805}"/>
                </c:ext>
              </c:extLst>
            </c:dLbl>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Care'!$B$4:$B$10</c:f>
              <c:strCache>
                <c:ptCount val="7"/>
                <c:pt idx="0">
                  <c:v>2-3 Years</c:v>
                </c:pt>
                <c:pt idx="1">
                  <c:v>4-6 Years</c:v>
                </c:pt>
                <c:pt idx="2">
                  <c:v>7-10 Years</c:v>
                </c:pt>
                <c:pt idx="3">
                  <c:v>11-14 Years</c:v>
                </c:pt>
                <c:pt idx="4">
                  <c:v>15-18 Years</c:v>
                </c:pt>
                <c:pt idx="5">
                  <c:v>19 Years</c:v>
                </c:pt>
                <c:pt idx="6">
                  <c:v> Total 2 - 19 Years</c:v>
                </c:pt>
              </c:strCache>
            </c:strRef>
          </c:cat>
          <c:val>
            <c:numRef>
              <c:f>'Dental Care'!$C$4:$C$10</c:f>
              <c:numCache>
                <c:formatCode>0.00%</c:formatCode>
                <c:ptCount val="7"/>
                <c:pt idx="0">
                  <c:v>0.34110000000000001</c:v>
                </c:pt>
                <c:pt idx="1">
                  <c:v>0.62990000000000002</c:v>
                </c:pt>
                <c:pt idx="2">
                  <c:v>0.66020000000000001</c:v>
                </c:pt>
                <c:pt idx="3">
                  <c:v>0.60370000000000001</c:v>
                </c:pt>
                <c:pt idx="4">
                  <c:v>0.50439999999999996</c:v>
                </c:pt>
                <c:pt idx="5">
                  <c:v>#N/A</c:v>
                </c:pt>
                <c:pt idx="6">
                  <c:v>0.58079999999999998</c:v>
                </c:pt>
              </c:numCache>
            </c:numRef>
          </c:val>
          <c:extLst>
            <c:ext xmlns:c16="http://schemas.microsoft.com/office/drawing/2014/chart" uri="{C3380CC4-5D6E-409C-BE32-E72D297353CC}">
              <c16:uniqueId val="{00000001-BF4C-488D-8F49-D218EC2A3805}"/>
            </c:ext>
          </c:extLst>
        </c:ser>
        <c:ser>
          <c:idx val="1"/>
          <c:order val="1"/>
          <c:tx>
            <c:strRef>
              <c:f>'Dental Care'!$D$3</c:f>
              <c:strCache>
                <c:ptCount val="1"/>
                <c:pt idx="0">
                  <c:v>2021</c:v>
                </c:pt>
              </c:strCache>
            </c:strRef>
          </c:tx>
          <c:invertIfNegative val="0"/>
          <c:dLbls>
            <c:dLbl>
              <c:idx val="5"/>
              <c:tx>
                <c:rich>
                  <a:bodyPr/>
                  <a:lstStyle/>
                  <a:p>
                    <a:r>
                      <a:rPr lang="en-US"/>
                      <a:t>NA</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F4C-488D-8F49-D218EC2A3805}"/>
                </c:ext>
              </c:extLst>
            </c:dLbl>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Care'!$B$4:$B$10</c:f>
              <c:strCache>
                <c:ptCount val="7"/>
                <c:pt idx="0">
                  <c:v>2-3 Years</c:v>
                </c:pt>
                <c:pt idx="1">
                  <c:v>4-6 Years</c:v>
                </c:pt>
                <c:pt idx="2">
                  <c:v>7-10 Years</c:v>
                </c:pt>
                <c:pt idx="3">
                  <c:v>11-14 Years</c:v>
                </c:pt>
                <c:pt idx="4">
                  <c:v>15-18 Years</c:v>
                </c:pt>
                <c:pt idx="5">
                  <c:v>19 Years</c:v>
                </c:pt>
                <c:pt idx="6">
                  <c:v> Total 2 - 19 Years</c:v>
                </c:pt>
              </c:strCache>
            </c:strRef>
          </c:cat>
          <c:val>
            <c:numRef>
              <c:f>'Dental Care'!$D$4:$D$10</c:f>
              <c:numCache>
                <c:formatCode>0.00%</c:formatCode>
                <c:ptCount val="7"/>
                <c:pt idx="0">
                  <c:v>0.31950000000000001</c:v>
                </c:pt>
                <c:pt idx="1">
                  <c:v>0.60880000000000001</c:v>
                </c:pt>
                <c:pt idx="2">
                  <c:v>0.61850000000000005</c:v>
                </c:pt>
                <c:pt idx="3">
                  <c:v>0.56720000000000004</c:v>
                </c:pt>
                <c:pt idx="4">
                  <c:v>0.48420000000000002</c:v>
                </c:pt>
                <c:pt idx="5">
                  <c:v>#N/A</c:v>
                </c:pt>
                <c:pt idx="6">
                  <c:v>0.5474</c:v>
                </c:pt>
              </c:numCache>
            </c:numRef>
          </c:val>
          <c:extLst>
            <c:ext xmlns:c16="http://schemas.microsoft.com/office/drawing/2014/chart" uri="{C3380CC4-5D6E-409C-BE32-E72D297353CC}">
              <c16:uniqueId val="{00000003-BF4C-488D-8F49-D218EC2A3805}"/>
            </c:ext>
          </c:extLst>
        </c:ser>
        <c:dLbls>
          <c:showLegendKey val="0"/>
          <c:showVal val="0"/>
          <c:showCatName val="0"/>
          <c:showSerName val="0"/>
          <c:showPercent val="0"/>
          <c:showBubbleSize val="0"/>
        </c:dLbls>
        <c:gapWidth val="75"/>
        <c:overlap val="-25"/>
        <c:axId val="149381888"/>
        <c:axId val="149383424"/>
      </c:barChart>
      <c:catAx>
        <c:axId val="149381888"/>
        <c:scaling>
          <c:orientation val="minMax"/>
        </c:scaling>
        <c:delete val="0"/>
        <c:axPos val="b"/>
        <c:numFmt formatCode="General" sourceLinked="0"/>
        <c:majorTickMark val="none"/>
        <c:minorTickMark val="none"/>
        <c:tickLblPos val="nextTo"/>
        <c:crossAx val="149383424"/>
        <c:crosses val="autoZero"/>
        <c:auto val="1"/>
        <c:lblAlgn val="ctr"/>
        <c:lblOffset val="100"/>
        <c:noMultiLvlLbl val="0"/>
      </c:catAx>
      <c:valAx>
        <c:axId val="149383424"/>
        <c:scaling>
          <c:orientation val="minMax"/>
          <c:max val="1"/>
          <c:min val="0"/>
        </c:scaling>
        <c:delete val="0"/>
        <c:axPos val="l"/>
        <c:majorGridlines/>
        <c:numFmt formatCode="0.00%" sourceLinked="1"/>
        <c:majorTickMark val="none"/>
        <c:minorTickMark val="none"/>
        <c:tickLblPos val="nextTo"/>
        <c:crossAx val="14938188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Sealant Receipt on Permanent First Molars</a:t>
            </a:r>
          </a:p>
        </c:rich>
      </c:tx>
      <c:overlay val="0"/>
    </c:title>
    <c:autoTitleDeleted val="0"/>
    <c:plotArea>
      <c:layout/>
      <c:barChart>
        <c:barDir val="col"/>
        <c:grouping val="clustered"/>
        <c:varyColors val="0"/>
        <c:ser>
          <c:idx val="0"/>
          <c:order val="0"/>
          <c:tx>
            <c:strRef>
              <c:f>'Dental Care'!$C$3</c:f>
              <c:strCache>
                <c:ptCount val="1"/>
                <c:pt idx="0">
                  <c:v>2022</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'Dental Care'!$B$11:$B$12</c:f>
              <c:strCache>
                <c:ptCount val="2"/>
                <c:pt idx="0">
                  <c:v>≥ 1 Molar</c:v>
                </c:pt>
                <c:pt idx="1">
                  <c:v>All 4 Molars</c:v>
                </c:pt>
              </c:strCache>
            </c:strRef>
          </c:cat>
          <c:val>
            <c:numRef>
              <c:f>'Dental Care'!$C$11:$C$12</c:f>
              <c:numCache>
                <c:formatCode>0.00%</c:formatCode>
                <c:ptCount val="2"/>
                <c:pt idx="0">
                  <c:v>0.2833</c:v>
                </c:pt>
                <c:pt idx="1">
                  <c:v>0.17499999999999999</c:v>
                </c:pt>
              </c:numCache>
            </c:numRef>
          </c:val>
          <c:extLst>
            <c:ext xmlns:c16="http://schemas.microsoft.com/office/drawing/2014/chart" uri="{C3380CC4-5D6E-409C-BE32-E72D297353CC}">
              <c16:uniqueId val="{00000000-10CA-4F28-BA1F-0CEF2DDBA4C4}"/>
            </c:ext>
          </c:extLst>
        </c:ser>
        <c:ser>
          <c:idx val="1"/>
          <c:order val="1"/>
          <c:tx>
            <c:strRef>
              <c:f>'Dental Care'!$D$3</c:f>
              <c:strCache>
                <c:ptCount val="1"/>
                <c:pt idx="0">
                  <c:v>2021</c:v>
                </c:pt>
              </c:strCache>
            </c:strRef>
          </c:tx>
          <c:invertIfNegative val="0"/>
          <c:dLbls>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'Dental Care'!$B$11:$B$12</c:f>
              <c:strCache>
                <c:ptCount val="2"/>
                <c:pt idx="0">
                  <c:v>≥ 1 Molar</c:v>
                </c:pt>
                <c:pt idx="1">
                  <c:v>All 4 Molars</c:v>
                </c:pt>
              </c:strCache>
            </c:strRef>
          </c:cat>
          <c:val>
            <c:numRef>
              <c:f>'Dental Care'!$D$11:$D$12</c:f>
              <c:numCache>
                <c:formatCode>0.00%</c:formatCode>
                <c:ptCount val="2"/>
                <c:pt idx="0">
                  <c:v>0.33929999999999999</c:v>
                </c:pt>
                <c:pt idx="1">
                  <c:v>0.20710000000000001</c:v>
                </c:pt>
              </c:numCache>
            </c:numRef>
          </c:val>
          <c:extLst>
            <c:ext xmlns:c16="http://schemas.microsoft.com/office/drawing/2014/chart" uri="{C3380CC4-5D6E-409C-BE32-E72D297353CC}">
              <c16:uniqueId val="{00000001-10CA-4F28-BA1F-0CEF2DDBA4C4}"/>
            </c:ext>
          </c:extLst>
        </c:ser>
        <c:dLbls>
          <c:showLegendKey val="0"/>
          <c:showVal val="0"/>
          <c:showCatName val="0"/>
          <c:showSerName val="0"/>
          <c:showPercent val="0"/>
          <c:showBubbleSize val="0"/>
        </c:dLbls>
        <c:gapWidth val="75"/>
        <c:overlap val="-25"/>
        <c:axId val="162743040"/>
        <c:axId val="162744576"/>
      </c:barChart>
      <c:catAx>
        <c:axId val="162743040"/>
        <c:scaling>
          <c:orientation val="minMax"/>
        </c:scaling>
        <c:delete val="0"/>
        <c:axPos val="b"/>
        <c:numFmt formatCode="General" sourceLinked="0"/>
        <c:majorTickMark val="none"/>
        <c:minorTickMark val="none"/>
        <c:tickLblPos val="nextTo"/>
        <c:crossAx val="162744576"/>
        <c:crosses val="autoZero"/>
        <c:auto val="1"/>
        <c:lblAlgn val="ctr"/>
        <c:lblOffset val="100"/>
        <c:noMultiLvlLbl val="0"/>
      </c:catAx>
      <c:valAx>
        <c:axId val="162744576"/>
        <c:scaling>
          <c:orientation val="minMax"/>
          <c:max val="1"/>
          <c:min val="0"/>
        </c:scaling>
        <c:delete val="0"/>
        <c:axPos val="l"/>
        <c:majorGridlines/>
        <c:numFmt formatCode="0.00%" sourceLinked="1"/>
        <c:majorTickMark val="none"/>
        <c:minorTickMark val="none"/>
        <c:tickLblPos val="nextTo"/>
        <c:crossAx val="16274304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EPSDT: </a:t>
            </a:r>
            <a:r>
              <a:rPr lang="en-US" sz="1200" baseline="0"/>
              <a:t>Screenings</a:t>
            </a:r>
            <a:endParaRPr lang="en-US" sz="1200"/>
          </a:p>
        </c:rich>
      </c:tx>
      <c:overlay val="0"/>
    </c:title>
    <c:autoTitleDeleted val="0"/>
    <c:plotArea>
      <c:layout/>
      <c:barChart>
        <c:barDir val="col"/>
        <c:grouping val="clustered"/>
        <c:varyColors val="0"/>
        <c:ser>
          <c:idx val="0"/>
          <c:order val="0"/>
          <c:tx>
            <c:strRef>
              <c:f>EPSDT!$C$3</c:f>
              <c:strCache>
                <c:ptCount val="1"/>
                <c:pt idx="0">
                  <c:v>2022</c:v>
                </c:pt>
              </c:strCache>
            </c:strRef>
          </c:tx>
          <c:invertIfNegative val="0"/>
          <c:dLbls>
            <c:spPr>
              <a:noFill/>
              <a:ln>
                <a:noFill/>
              </a:ln>
              <a:effectLst/>
            </c:spPr>
            <c:txPr>
              <a:bodyPr rot="-5400000" vert="horz"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EPSDT!$B$4:$B$10</c:f>
              <c:strCache>
                <c:ptCount val="6"/>
                <c:pt idx="0">
                  <c:v>Lead Screening in Children</c:v>
                </c:pt>
                <c:pt idx="1">
                  <c:v>Chlamydia Screening in Women 
16-20 Years</c:v>
                </c:pt>
                <c:pt idx="2">
                  <c:v>Developmental Screening in the First Three Years of Life
 1 year</c:v>
                </c:pt>
                <c:pt idx="3">
                  <c:v>Developmental Screening in the First Three Years of Life
2 years</c:v>
                </c:pt>
                <c:pt idx="4">
                  <c:v>Developmental Screening in the First Three Years of Life
3 years</c:v>
                </c:pt>
                <c:pt idx="5">
                  <c:v>Developmental Screening in the First Three Years of Life
Total</c:v>
                </c:pt>
              </c:strCache>
            </c:strRef>
          </c:cat>
          <c:val>
            <c:numRef>
              <c:f>EPSDT!$C$4:$C$10</c:f>
              <c:numCache>
                <c:formatCode>0.00%</c:formatCode>
                <c:ptCount val="6"/>
                <c:pt idx="0">
                  <c:v>0.75370000000000004</c:v>
                </c:pt>
                <c:pt idx="1">
                  <c:v>0.34050000000000002</c:v>
                </c:pt>
                <c:pt idx="2">
                  <c:v>0.75700000000000001</c:v>
                </c:pt>
                <c:pt idx="3">
                  <c:v>0.75639999999999996</c:v>
                </c:pt>
                <c:pt idx="4">
                  <c:v>0.78</c:v>
                </c:pt>
                <c:pt idx="5">
                  <c:v>0.74629999999999996</c:v>
                </c:pt>
              </c:numCache>
            </c:numRef>
          </c:val>
          <c:extLst>
            <c:ext xmlns:c16="http://schemas.microsoft.com/office/drawing/2014/chart" uri="{C3380CC4-5D6E-409C-BE32-E72D297353CC}">
              <c16:uniqueId val="{00000000-D075-4FB5-9B16-EA08D8A065CC}"/>
            </c:ext>
          </c:extLst>
        </c:ser>
        <c:ser>
          <c:idx val="1"/>
          <c:order val="1"/>
          <c:tx>
            <c:strRef>
              <c:f>EPSDT!$D$3</c:f>
              <c:strCache>
                <c:ptCount val="1"/>
                <c:pt idx="0">
                  <c:v>2021</c:v>
                </c:pt>
              </c:strCache>
            </c:strRef>
          </c:tx>
          <c:invertIfNegative val="0"/>
          <c:dLbls>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EPSDT!$B$4:$B$10</c:f>
              <c:strCache>
                <c:ptCount val="6"/>
                <c:pt idx="0">
                  <c:v>Lead Screening in Children</c:v>
                </c:pt>
                <c:pt idx="1">
                  <c:v>Chlamydia Screening in Women 
16-20 Years</c:v>
                </c:pt>
                <c:pt idx="2">
                  <c:v>Developmental Screening in the First Three Years of Life
 1 year</c:v>
                </c:pt>
                <c:pt idx="3">
                  <c:v>Developmental Screening in the First Three Years of Life
2 years</c:v>
                </c:pt>
                <c:pt idx="4">
                  <c:v>Developmental Screening in the First Three Years of Life
3 years</c:v>
                </c:pt>
                <c:pt idx="5">
                  <c:v>Developmental Screening in the First Three Years of Life
Total</c:v>
                </c:pt>
              </c:strCache>
            </c:strRef>
          </c:cat>
          <c:val>
            <c:numRef>
              <c:f>EPSDT!$D$4:$D$10</c:f>
              <c:numCache>
                <c:formatCode>0.00%</c:formatCode>
                <c:ptCount val="6"/>
                <c:pt idx="0">
                  <c:v>0.85640000000000005</c:v>
                </c:pt>
                <c:pt idx="1">
                  <c:v>0.36380000000000001</c:v>
                </c:pt>
                <c:pt idx="2">
                  <c:v>0.74380000000000002</c:v>
                </c:pt>
                <c:pt idx="3">
                  <c:v>0.72260000000000002</c:v>
                </c:pt>
                <c:pt idx="4">
                  <c:v>0.77910000000000001</c:v>
                </c:pt>
                <c:pt idx="5">
                  <c:v>0.72370000000000001</c:v>
                </c:pt>
              </c:numCache>
            </c:numRef>
          </c:val>
          <c:extLst>
            <c:ext xmlns:c16="http://schemas.microsoft.com/office/drawing/2014/chart" uri="{C3380CC4-5D6E-409C-BE32-E72D297353CC}">
              <c16:uniqueId val="{00000001-D075-4FB5-9B16-EA08D8A065CC}"/>
            </c:ext>
          </c:extLst>
        </c:ser>
        <c:dLbls>
          <c:showLegendKey val="0"/>
          <c:showVal val="0"/>
          <c:showCatName val="0"/>
          <c:showSerName val="0"/>
          <c:showPercent val="0"/>
          <c:showBubbleSize val="0"/>
        </c:dLbls>
        <c:gapWidth val="75"/>
        <c:overlap val="-25"/>
        <c:axId val="170366464"/>
        <c:axId val="170368384"/>
      </c:barChart>
      <c:catAx>
        <c:axId val="170366464"/>
        <c:scaling>
          <c:orientation val="minMax"/>
        </c:scaling>
        <c:delete val="0"/>
        <c:axPos val="b"/>
        <c:numFmt formatCode="General" sourceLinked="0"/>
        <c:majorTickMark val="none"/>
        <c:minorTickMark val="none"/>
        <c:tickLblPos val="nextTo"/>
        <c:crossAx val="170368384"/>
        <c:crosses val="autoZero"/>
        <c:auto val="1"/>
        <c:lblAlgn val="ctr"/>
        <c:lblOffset val="100"/>
        <c:noMultiLvlLbl val="0"/>
      </c:catAx>
      <c:valAx>
        <c:axId val="170368384"/>
        <c:scaling>
          <c:orientation val="minMax"/>
        </c:scaling>
        <c:delete val="0"/>
        <c:axPos val="l"/>
        <c:majorGridlines/>
        <c:numFmt formatCode="0.00%" sourceLinked="1"/>
        <c:majorTickMark val="none"/>
        <c:minorTickMark val="none"/>
        <c:tickLblPos val="nextTo"/>
        <c:crossAx val="170366464"/>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EPSDT: ADHD and Mental Illness</a:t>
            </a:r>
          </a:p>
        </c:rich>
      </c:tx>
      <c:overlay val="0"/>
    </c:title>
    <c:autoTitleDeleted val="0"/>
    <c:plotArea>
      <c:layout>
        <c:manualLayout>
          <c:layoutTarget val="inner"/>
          <c:xMode val="edge"/>
          <c:yMode val="edge"/>
          <c:x val="7.2074024985513324E-2"/>
          <c:y val="8.8589272203428146E-2"/>
          <c:w val="0.90201924278633505"/>
          <c:h val="0.71575553025491756"/>
        </c:manualLayout>
      </c:layout>
      <c:barChart>
        <c:barDir val="col"/>
        <c:grouping val="clustered"/>
        <c:varyColors val="0"/>
        <c:ser>
          <c:idx val="0"/>
          <c:order val="0"/>
          <c:tx>
            <c:strRef>
              <c:f>EPSDT!$C$3</c:f>
              <c:strCache>
                <c:ptCount val="1"/>
                <c:pt idx="0">
                  <c:v>2022</c:v>
                </c:pt>
              </c:strCache>
            </c:strRef>
          </c:tx>
          <c:invertIfNegative val="0"/>
          <c:dLbls>
            <c:spPr>
              <a:noFill/>
              <a:ln>
                <a:noFill/>
              </a:ln>
              <a:effectLst/>
            </c:spPr>
            <c:txPr>
              <a:bodyPr rot="-5400000" vert="horz" wrap="square" lIns="38100" tIns="19050" rIns="38100" bIns="19050" anchor="ctr">
                <a:spAutoFit/>
              </a:bodyPr>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EPSDT!$B$11:$B$14</c:f>
              <c:strCache>
                <c:ptCount val="4"/>
                <c:pt idx="0">
                  <c:v>Follow Up Care for ADHD Medication
Initiation</c:v>
                </c:pt>
                <c:pt idx="1">
                  <c:v>Follow Up Care for ADHD Medication 
Continuation &amp; Maintenance</c:v>
                </c:pt>
                <c:pt idx="2">
                  <c:v>Follow Up After Hospitalization For Mental Illness
7 days</c:v>
                </c:pt>
                <c:pt idx="3">
                  <c:v>Follow Up After Hospitalization For Mental Illness
30 days</c:v>
                </c:pt>
              </c:strCache>
            </c:strRef>
          </c:cat>
          <c:val>
            <c:numRef>
              <c:f>EPSDT!$C$11:$C$14</c:f>
              <c:numCache>
                <c:formatCode>0.00%</c:formatCode>
                <c:ptCount val="4"/>
                <c:pt idx="0">
                  <c:v>0.5</c:v>
                </c:pt>
                <c:pt idx="1">
                  <c:v>0.60489999999999999</c:v>
                </c:pt>
                <c:pt idx="2">
                  <c:v>0.48699999999999999</c:v>
                </c:pt>
                <c:pt idx="3">
                  <c:v>0.80830000000000002</c:v>
                </c:pt>
              </c:numCache>
            </c:numRef>
          </c:val>
          <c:extLst>
            <c:ext xmlns:c16="http://schemas.microsoft.com/office/drawing/2014/chart" uri="{C3380CC4-5D6E-409C-BE32-E72D297353CC}">
              <c16:uniqueId val="{00000000-D87A-445D-BA2B-FD9A6B7DFDAE}"/>
            </c:ext>
          </c:extLst>
        </c:ser>
        <c:ser>
          <c:idx val="1"/>
          <c:order val="1"/>
          <c:tx>
            <c:strRef>
              <c:f>EPSDT!$D$3</c:f>
              <c:strCache>
                <c:ptCount val="1"/>
                <c:pt idx="0">
                  <c:v>2021</c:v>
                </c:pt>
              </c:strCache>
            </c:strRef>
          </c:tx>
          <c:invertIfNegative val="0"/>
          <c:dLbls>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EPSDT!$B$11:$B$14</c:f>
              <c:strCache>
                <c:ptCount val="4"/>
                <c:pt idx="0">
                  <c:v>Follow Up Care for ADHD Medication
Initiation</c:v>
                </c:pt>
                <c:pt idx="1">
                  <c:v>Follow Up Care for ADHD Medication 
Continuation &amp; Maintenance</c:v>
                </c:pt>
                <c:pt idx="2">
                  <c:v>Follow Up After Hospitalization For Mental Illness
7 days</c:v>
                </c:pt>
                <c:pt idx="3">
                  <c:v>Follow Up After Hospitalization For Mental Illness
30 days</c:v>
                </c:pt>
              </c:strCache>
            </c:strRef>
          </c:cat>
          <c:val>
            <c:numRef>
              <c:f>EPSDT!$D$11:$D$14</c:f>
              <c:numCache>
                <c:formatCode>0.00%</c:formatCode>
                <c:ptCount val="4"/>
                <c:pt idx="0">
                  <c:v>0.58020000000000005</c:v>
                </c:pt>
                <c:pt idx="1">
                  <c:v>0.7671</c:v>
                </c:pt>
                <c:pt idx="2">
                  <c:v>0.58109999999999995</c:v>
                </c:pt>
                <c:pt idx="3">
                  <c:v>0.81079999999999997</c:v>
                </c:pt>
              </c:numCache>
            </c:numRef>
          </c:val>
          <c:extLst>
            <c:ext xmlns:c16="http://schemas.microsoft.com/office/drawing/2014/chart" uri="{C3380CC4-5D6E-409C-BE32-E72D297353CC}">
              <c16:uniqueId val="{00000001-D87A-445D-BA2B-FD9A6B7DFDAE}"/>
            </c:ext>
          </c:extLst>
        </c:ser>
        <c:dLbls>
          <c:showLegendKey val="0"/>
          <c:showVal val="0"/>
          <c:showCatName val="0"/>
          <c:showSerName val="0"/>
          <c:showPercent val="0"/>
          <c:showBubbleSize val="0"/>
        </c:dLbls>
        <c:gapWidth val="75"/>
        <c:overlap val="-25"/>
        <c:axId val="65157760"/>
        <c:axId val="65159552"/>
      </c:barChart>
      <c:catAx>
        <c:axId val="65157760"/>
        <c:scaling>
          <c:orientation val="minMax"/>
        </c:scaling>
        <c:delete val="0"/>
        <c:axPos val="b"/>
        <c:numFmt formatCode="General" sourceLinked="0"/>
        <c:majorTickMark val="none"/>
        <c:minorTickMark val="none"/>
        <c:tickLblPos val="nextTo"/>
        <c:crossAx val="65159552"/>
        <c:crosses val="autoZero"/>
        <c:auto val="1"/>
        <c:lblAlgn val="ctr"/>
        <c:lblOffset val="100"/>
        <c:noMultiLvlLbl val="0"/>
      </c:catAx>
      <c:valAx>
        <c:axId val="65159552"/>
        <c:scaling>
          <c:orientation val="minMax"/>
        </c:scaling>
        <c:delete val="0"/>
        <c:axPos val="l"/>
        <c:majorGridlines/>
        <c:numFmt formatCode="0.00%" sourceLinked="1"/>
        <c:majorTickMark val="none"/>
        <c:minorTickMark val="none"/>
        <c:tickLblPos val="nextTo"/>
        <c:crossAx val="65157760"/>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Respiratory Conditions</a:t>
            </a:r>
          </a:p>
        </c:rich>
      </c:tx>
      <c:overlay val="0"/>
    </c:title>
    <c:autoTitleDeleted val="0"/>
    <c:plotArea>
      <c:layout/>
      <c:barChart>
        <c:barDir val="col"/>
        <c:grouping val="clustered"/>
        <c:varyColors val="0"/>
        <c:ser>
          <c:idx val="0"/>
          <c:order val="0"/>
          <c:tx>
            <c:strRef>
              <c:f>Respiratory!$C$3</c:f>
              <c:strCache>
                <c:ptCount val="1"/>
                <c:pt idx="0">
                  <c:v>2022</c:v>
                </c:pt>
              </c:strCache>
            </c:strRef>
          </c:tx>
          <c:invertIfNegative val="0"/>
          <c:dLbls>
            <c:dLbl>
              <c:idx val="2"/>
              <c:layout>
                <c:manualLayout>
                  <c:x val="0"/>
                  <c:y val="8.8056581422897365E-3"/>
                </c:manualLayout>
              </c:layout>
              <c:tx>
                <c:rich>
                  <a:bodyPr/>
                  <a:lstStyle/>
                  <a:p>
                    <a:fld id="{F6C56911-1D72-4FBB-8777-9CDF331BFCF7}"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107E-4832-BC14-59B00943DBEF}"/>
                </c:ext>
              </c:extLst>
            </c:dLbl>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Respiratory!$B$4:$B$6</c:f>
              <c:strCache>
                <c:ptCount val="3"/>
                <c:pt idx="0">
                  <c:v>Appropriate Testing
for Pharyngitis (Total)</c:v>
                </c:pt>
                <c:pt idx="1">
                  <c:v>Appropriate Treatment for Upper Respiratory Infection (Total)</c:v>
                </c:pt>
                <c:pt idx="2">
                  <c:v>Annual Percentage of Asthma Patients with One or More Asthma-Related Emergency Room Visits</c:v>
                </c:pt>
              </c:strCache>
            </c:strRef>
          </c:cat>
          <c:val>
            <c:numRef>
              <c:f>Respiratory!$C$4:$C$6</c:f>
              <c:numCache>
                <c:formatCode>0.00%</c:formatCode>
                <c:ptCount val="3"/>
                <c:pt idx="0">
                  <c:v>0.82150000000000001</c:v>
                </c:pt>
                <c:pt idx="1">
                  <c:v>0.96150000000000002</c:v>
                </c:pt>
                <c:pt idx="2">
                  <c:v>8.1100000000000005E-2</c:v>
                </c:pt>
              </c:numCache>
            </c:numRef>
          </c:val>
          <c:extLst>
            <c:ext xmlns:c16="http://schemas.microsoft.com/office/drawing/2014/chart" uri="{C3380CC4-5D6E-409C-BE32-E72D297353CC}">
              <c16:uniqueId val="{00000001-107E-4832-BC14-59B00943DBEF}"/>
            </c:ext>
          </c:extLst>
        </c:ser>
        <c:ser>
          <c:idx val="1"/>
          <c:order val="1"/>
          <c:tx>
            <c:strRef>
              <c:f>Respiratory!$D$3</c:f>
              <c:strCache>
                <c:ptCount val="1"/>
                <c:pt idx="0">
                  <c:v>2021</c:v>
                </c:pt>
              </c:strCache>
            </c:strRef>
          </c:tx>
          <c:invertIfNegative val="0"/>
          <c:dLbls>
            <c:dLbl>
              <c:idx val="2"/>
              <c:layout>
                <c:manualLayout>
                  <c:x val="0"/>
                  <c:y val="5.0310082921039981E-4"/>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7E-4832-BC14-59B00943DBEF}"/>
                </c:ext>
              </c:extLst>
            </c:dLbl>
            <c:spPr>
              <a:noFill/>
              <a:ln>
                <a:noFill/>
              </a:ln>
              <a:effectLst/>
            </c:spPr>
            <c:txPr>
              <a:bodyPr rot="-5400000" vert="horz" wrap="square" lIns="38100" tIns="19050" rIns="38100" bIns="19050" anchor="ctr">
                <a:spAutoFit/>
              </a:bodyPr>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Respiratory!$B$4:$B$6</c:f>
              <c:strCache>
                <c:ptCount val="3"/>
                <c:pt idx="0">
                  <c:v>Appropriate Testing
for Pharyngitis (Total)</c:v>
                </c:pt>
                <c:pt idx="1">
                  <c:v>Appropriate Treatment for Upper Respiratory Infection (Total)</c:v>
                </c:pt>
                <c:pt idx="2">
                  <c:v>Annual Percentage of Asthma Patients with One or More Asthma-Related Emergency Room Visits</c:v>
                </c:pt>
              </c:strCache>
            </c:strRef>
          </c:cat>
          <c:val>
            <c:numRef>
              <c:f>Respiratory!$D$4:$D$6</c:f>
              <c:numCache>
                <c:formatCode>0.00%</c:formatCode>
                <c:ptCount val="3"/>
                <c:pt idx="0">
                  <c:v>0.8841</c:v>
                </c:pt>
                <c:pt idx="1">
                  <c:v>0.92120000000000002</c:v>
                </c:pt>
                <c:pt idx="2">
                  <c:v>6.25E-2</c:v>
                </c:pt>
              </c:numCache>
            </c:numRef>
          </c:val>
          <c:extLst>
            <c:ext xmlns:c16="http://schemas.microsoft.com/office/drawing/2014/chart" uri="{C3380CC4-5D6E-409C-BE32-E72D297353CC}">
              <c16:uniqueId val="{00000003-107E-4832-BC14-59B00943DBEF}"/>
            </c:ext>
          </c:extLst>
        </c:ser>
        <c:dLbls>
          <c:showLegendKey val="0"/>
          <c:showVal val="0"/>
          <c:showCatName val="0"/>
          <c:showSerName val="0"/>
          <c:showPercent val="0"/>
          <c:showBubbleSize val="0"/>
        </c:dLbls>
        <c:gapWidth val="75"/>
        <c:overlap val="-25"/>
        <c:axId val="65312640"/>
        <c:axId val="65314176"/>
      </c:barChart>
      <c:catAx>
        <c:axId val="65312640"/>
        <c:scaling>
          <c:orientation val="minMax"/>
        </c:scaling>
        <c:delete val="0"/>
        <c:axPos val="b"/>
        <c:numFmt formatCode="General" sourceLinked="0"/>
        <c:majorTickMark val="none"/>
        <c:minorTickMark val="none"/>
        <c:tickLblPos val="nextTo"/>
        <c:crossAx val="65314176"/>
        <c:crosses val="autoZero"/>
        <c:auto val="1"/>
        <c:lblAlgn val="ctr"/>
        <c:lblOffset val="100"/>
        <c:noMultiLvlLbl val="0"/>
      </c:catAx>
      <c:valAx>
        <c:axId val="65314176"/>
        <c:scaling>
          <c:orientation val="minMax"/>
          <c:max val="1"/>
        </c:scaling>
        <c:delete val="0"/>
        <c:axPos val="l"/>
        <c:majorGridlines/>
        <c:numFmt formatCode="0.00%" sourceLinked="1"/>
        <c:majorTickMark val="none"/>
        <c:minorTickMark val="none"/>
        <c:tickLblPos val="nextTo"/>
        <c:crossAx val="65312640"/>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Weight Assessment and Counseling for Nutrition and Physical Activity for Children/Adolescents</a:t>
            </a:r>
            <a:endParaRPr lang="en-US" sz="1200"/>
          </a:p>
        </c:rich>
      </c:tx>
      <c:overlay val="0"/>
    </c:title>
    <c:autoTitleDeleted val="0"/>
    <c:plotArea>
      <c:layout/>
      <c:barChart>
        <c:barDir val="col"/>
        <c:grouping val="clustered"/>
        <c:varyColors val="0"/>
        <c:ser>
          <c:idx val="0"/>
          <c:order val="0"/>
          <c:tx>
            <c:strRef>
              <c:f>'Well Care'!$C$3</c:f>
              <c:strCache>
                <c:ptCount val="1"/>
                <c:pt idx="0">
                  <c:v>2022</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Care'!$B$6:$B$12</c:f>
              <c:strCache>
                <c:ptCount val="3"/>
                <c:pt idx="0">
                  <c:v>BMI Percentile 
3 - 17 Years</c:v>
                </c:pt>
                <c:pt idx="1">
                  <c:v>Counseling for Nutrition 
3 - 17 Years</c:v>
                </c:pt>
                <c:pt idx="2">
                  <c:v>Counseling for Physical Activity 
3 - 17 Years</c:v>
                </c:pt>
              </c:strCache>
            </c:strRef>
          </c:cat>
          <c:val>
            <c:numRef>
              <c:f>'Well Care'!$C$6:$C$12</c:f>
              <c:numCache>
                <c:formatCode>0.00%</c:formatCode>
                <c:ptCount val="3"/>
                <c:pt idx="0">
                  <c:v>0.77380000000000004</c:v>
                </c:pt>
                <c:pt idx="1">
                  <c:v>0.67869999999999997</c:v>
                </c:pt>
                <c:pt idx="2">
                  <c:v>0.6754</c:v>
                </c:pt>
              </c:numCache>
            </c:numRef>
          </c:val>
          <c:extLst>
            <c:ext xmlns:c16="http://schemas.microsoft.com/office/drawing/2014/chart" uri="{C3380CC4-5D6E-409C-BE32-E72D297353CC}">
              <c16:uniqueId val="{00000000-C02E-4504-8C5A-7F98D8F27D8B}"/>
            </c:ext>
          </c:extLst>
        </c:ser>
        <c:ser>
          <c:idx val="1"/>
          <c:order val="1"/>
          <c:tx>
            <c:strRef>
              <c:f>'Well Care'!$D$3</c:f>
              <c:strCache>
                <c:ptCount val="1"/>
                <c:pt idx="0">
                  <c:v>2021</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Care'!$B$6:$B$12</c:f>
              <c:strCache>
                <c:ptCount val="3"/>
                <c:pt idx="0">
                  <c:v>BMI Percentile 
3 - 17 Years</c:v>
                </c:pt>
                <c:pt idx="1">
                  <c:v>Counseling for Nutrition 
3 - 17 Years</c:v>
                </c:pt>
                <c:pt idx="2">
                  <c:v>Counseling for Physical Activity 
3 - 17 Years</c:v>
                </c:pt>
              </c:strCache>
            </c:strRef>
          </c:cat>
          <c:val>
            <c:numRef>
              <c:f>'Well Care'!$D$6:$D$12</c:f>
              <c:numCache>
                <c:formatCode>0.00%</c:formatCode>
                <c:ptCount val="3"/>
                <c:pt idx="0">
                  <c:v>0.79749999999999999</c:v>
                </c:pt>
                <c:pt idx="1">
                  <c:v>0.78190000000000004</c:v>
                </c:pt>
                <c:pt idx="2">
                  <c:v>0.77569999999999995</c:v>
                </c:pt>
              </c:numCache>
            </c:numRef>
          </c:val>
          <c:extLst>
            <c:ext xmlns:c16="http://schemas.microsoft.com/office/drawing/2014/chart" uri="{C3380CC4-5D6E-409C-BE32-E72D297353CC}">
              <c16:uniqueId val="{00000001-C02E-4504-8C5A-7F98D8F27D8B}"/>
            </c:ext>
          </c:extLst>
        </c:ser>
        <c:dLbls>
          <c:showLegendKey val="0"/>
          <c:showVal val="0"/>
          <c:showCatName val="0"/>
          <c:showSerName val="0"/>
          <c:showPercent val="0"/>
          <c:showBubbleSize val="0"/>
        </c:dLbls>
        <c:gapWidth val="75"/>
        <c:overlap val="-25"/>
        <c:axId val="66262528"/>
        <c:axId val="66264064"/>
      </c:barChart>
      <c:catAx>
        <c:axId val="66262528"/>
        <c:scaling>
          <c:orientation val="minMax"/>
        </c:scaling>
        <c:delete val="0"/>
        <c:axPos val="b"/>
        <c:numFmt formatCode="General" sourceLinked="0"/>
        <c:majorTickMark val="none"/>
        <c:minorTickMark val="none"/>
        <c:tickLblPos val="nextTo"/>
        <c:crossAx val="66264064"/>
        <c:crosses val="autoZero"/>
        <c:auto val="1"/>
        <c:lblAlgn val="ctr"/>
        <c:lblOffset val="100"/>
        <c:noMultiLvlLbl val="0"/>
      </c:catAx>
      <c:valAx>
        <c:axId val="66264064"/>
        <c:scaling>
          <c:orientation val="minMax"/>
          <c:max val="1"/>
          <c:min val="0"/>
        </c:scaling>
        <c:delete val="0"/>
        <c:axPos val="l"/>
        <c:majorGridlines/>
        <c:numFmt formatCode="0.00%" sourceLinked="1"/>
        <c:majorTickMark val="none"/>
        <c:minorTickMark val="none"/>
        <c:tickLblPos val="nextTo"/>
        <c:crossAx val="66262528"/>
        <c:crosses val="autoZero"/>
        <c:crossBetween val="between"/>
      </c:valAx>
    </c:plotArea>
    <c:legend>
      <c:legendPos val="b"/>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Childhood Immunization Status I</a:t>
            </a:r>
            <a:endParaRPr lang="en-US" sz="1200"/>
          </a:p>
        </c:rich>
      </c:tx>
      <c:overlay val="0"/>
    </c:title>
    <c:autoTitleDeleted val="0"/>
    <c:plotArea>
      <c:layout/>
      <c:barChart>
        <c:barDir val="col"/>
        <c:grouping val="clustered"/>
        <c:varyColors val="0"/>
        <c:ser>
          <c:idx val="0"/>
          <c:order val="0"/>
          <c:tx>
            <c:strRef>
              <c:f>'Well Care'!$C$3</c:f>
              <c:strCache>
                <c:ptCount val="1"/>
                <c:pt idx="0">
                  <c:v>2022</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Care'!$B$13:$B$22</c:f>
              <c:strCache>
                <c:ptCount val="10"/>
                <c:pt idx="0">
                  <c:v>DTaP</c:v>
                </c:pt>
                <c:pt idx="1">
                  <c:v>IPV</c:v>
                </c:pt>
                <c:pt idx="2">
                  <c:v>MMR</c:v>
                </c:pt>
                <c:pt idx="3">
                  <c:v>HiB</c:v>
                </c:pt>
                <c:pt idx="4">
                  <c:v>Hepatitis B</c:v>
                </c:pt>
                <c:pt idx="5">
                  <c:v>VZV</c:v>
                </c:pt>
                <c:pt idx="6">
                  <c:v>Pneumococcal Conjugate</c:v>
                </c:pt>
                <c:pt idx="7">
                  <c:v>Hepatitis A</c:v>
                </c:pt>
                <c:pt idx="8">
                  <c:v>Rotavirus</c:v>
                </c:pt>
                <c:pt idx="9">
                  <c:v>Influenza</c:v>
                </c:pt>
              </c:strCache>
            </c:strRef>
          </c:cat>
          <c:val>
            <c:numRef>
              <c:f>'Well Care'!$C$13:$C$22</c:f>
              <c:numCache>
                <c:formatCode>0.00%</c:formatCode>
                <c:ptCount val="10"/>
                <c:pt idx="0">
                  <c:v>0.87560000000000004</c:v>
                </c:pt>
                <c:pt idx="1">
                  <c:v>0.92930000000000001</c:v>
                </c:pt>
                <c:pt idx="2">
                  <c:v>0.9073</c:v>
                </c:pt>
                <c:pt idx="3">
                  <c:v>0.92930000000000001</c:v>
                </c:pt>
                <c:pt idx="4">
                  <c:v>0.91710000000000003</c:v>
                </c:pt>
                <c:pt idx="5">
                  <c:v>0.92200000000000004</c:v>
                </c:pt>
                <c:pt idx="6">
                  <c:v>0.878</c:v>
                </c:pt>
                <c:pt idx="7">
                  <c:v>0.88290000000000002</c:v>
                </c:pt>
                <c:pt idx="8">
                  <c:v>0.84389999999999998</c:v>
                </c:pt>
                <c:pt idx="9">
                  <c:v>0.65369999999999995</c:v>
                </c:pt>
              </c:numCache>
            </c:numRef>
          </c:val>
          <c:extLst>
            <c:ext xmlns:c16="http://schemas.microsoft.com/office/drawing/2014/chart" uri="{C3380CC4-5D6E-409C-BE32-E72D297353CC}">
              <c16:uniqueId val="{00000000-4D39-4EA1-AC0A-75C5D68452C4}"/>
            </c:ext>
          </c:extLst>
        </c:ser>
        <c:ser>
          <c:idx val="1"/>
          <c:order val="1"/>
          <c:tx>
            <c:strRef>
              <c:f>'Well Care'!$D$3</c:f>
              <c:strCache>
                <c:ptCount val="1"/>
                <c:pt idx="0">
                  <c:v>2021</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Care'!$B$13:$B$22</c:f>
              <c:strCache>
                <c:ptCount val="10"/>
                <c:pt idx="0">
                  <c:v>DTaP</c:v>
                </c:pt>
                <c:pt idx="1">
                  <c:v>IPV</c:v>
                </c:pt>
                <c:pt idx="2">
                  <c:v>MMR</c:v>
                </c:pt>
                <c:pt idx="3">
                  <c:v>HiB</c:v>
                </c:pt>
                <c:pt idx="4">
                  <c:v>Hepatitis B</c:v>
                </c:pt>
                <c:pt idx="5">
                  <c:v>VZV</c:v>
                </c:pt>
                <c:pt idx="6">
                  <c:v>Pneumococcal Conjugate</c:v>
                </c:pt>
                <c:pt idx="7">
                  <c:v>Hepatitis A</c:v>
                </c:pt>
                <c:pt idx="8">
                  <c:v>Rotavirus</c:v>
                </c:pt>
                <c:pt idx="9">
                  <c:v>Influenza</c:v>
                </c:pt>
              </c:strCache>
            </c:strRef>
          </c:cat>
          <c:val>
            <c:numRef>
              <c:f>'Well Care'!$D$13:$D$22</c:f>
              <c:numCache>
                <c:formatCode>0.00%</c:formatCode>
                <c:ptCount val="10"/>
                <c:pt idx="0">
                  <c:v>0.8589</c:v>
                </c:pt>
                <c:pt idx="1">
                  <c:v>0.92210000000000003</c:v>
                </c:pt>
                <c:pt idx="2">
                  <c:v>0.9173</c:v>
                </c:pt>
                <c:pt idx="3">
                  <c:v>0.9294</c:v>
                </c:pt>
                <c:pt idx="4">
                  <c:v>0.93189999999999995</c:v>
                </c:pt>
                <c:pt idx="5">
                  <c:v>0.91479999999999995</c:v>
                </c:pt>
                <c:pt idx="6">
                  <c:v>0.89780000000000004</c:v>
                </c:pt>
                <c:pt idx="7">
                  <c:v>0.90510000000000002</c:v>
                </c:pt>
                <c:pt idx="8">
                  <c:v>0.83450000000000002</c:v>
                </c:pt>
                <c:pt idx="9">
                  <c:v>0.63749999999999996</c:v>
                </c:pt>
              </c:numCache>
            </c:numRef>
          </c:val>
          <c:extLst>
            <c:ext xmlns:c16="http://schemas.microsoft.com/office/drawing/2014/chart" uri="{C3380CC4-5D6E-409C-BE32-E72D297353CC}">
              <c16:uniqueId val="{00000001-4D39-4EA1-AC0A-75C5D68452C4}"/>
            </c:ext>
          </c:extLst>
        </c:ser>
        <c:dLbls>
          <c:showLegendKey val="0"/>
          <c:showVal val="0"/>
          <c:showCatName val="0"/>
          <c:showSerName val="0"/>
          <c:showPercent val="0"/>
          <c:showBubbleSize val="0"/>
        </c:dLbls>
        <c:gapWidth val="75"/>
        <c:overlap val="-25"/>
        <c:axId val="66285952"/>
        <c:axId val="66287488"/>
      </c:barChart>
      <c:catAx>
        <c:axId val="66285952"/>
        <c:scaling>
          <c:orientation val="minMax"/>
        </c:scaling>
        <c:delete val="0"/>
        <c:axPos val="b"/>
        <c:numFmt formatCode="General" sourceLinked="0"/>
        <c:majorTickMark val="none"/>
        <c:minorTickMark val="none"/>
        <c:tickLblPos val="nextTo"/>
        <c:txPr>
          <a:bodyPr rot="0" vert="horz" anchor="ctr" anchorCtr="1"/>
          <a:lstStyle/>
          <a:p>
            <a:pPr>
              <a:defRPr sz="800"/>
            </a:pPr>
            <a:endParaRPr lang="en-US"/>
          </a:p>
        </c:txPr>
        <c:crossAx val="66287488"/>
        <c:crosses val="autoZero"/>
        <c:auto val="1"/>
        <c:lblAlgn val="ctr"/>
        <c:lblOffset val="100"/>
        <c:noMultiLvlLbl val="0"/>
      </c:catAx>
      <c:valAx>
        <c:axId val="66287488"/>
        <c:scaling>
          <c:orientation val="minMax"/>
          <c:max val="1"/>
        </c:scaling>
        <c:delete val="0"/>
        <c:axPos val="l"/>
        <c:majorGridlines/>
        <c:numFmt formatCode="0.00%" sourceLinked="1"/>
        <c:majorTickMark val="none"/>
        <c:minorTickMark val="none"/>
        <c:tickLblPos val="nextTo"/>
        <c:crossAx val="66285952"/>
        <c:crosses val="autoZero"/>
        <c:crossBetween val="between"/>
      </c:valAx>
    </c:plotArea>
    <c:legend>
      <c:legendPos val="b"/>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a:lstStyle/>
          <a:p>
            <a:pPr>
              <a:defRPr sz="1200"/>
            </a:pPr>
            <a:r>
              <a:rPr lang="en-US" sz="1200"/>
              <a:t>Well</a:t>
            </a:r>
            <a:r>
              <a:rPr lang="en-US" sz="1200" baseline="0"/>
              <a:t> Care: Childhood Immunization Status II</a:t>
            </a:r>
            <a:endParaRPr lang="en-US" sz="1200"/>
          </a:p>
        </c:rich>
      </c:tx>
      <c:overlay val="0"/>
    </c:title>
    <c:autoTitleDeleted val="0"/>
    <c:plotArea>
      <c:layout>
        <c:manualLayout>
          <c:layoutTarget val="inner"/>
          <c:xMode val="edge"/>
          <c:yMode val="edge"/>
          <c:x val="9.2755131907208771E-2"/>
          <c:y val="9.2142381078769639E-2"/>
          <c:w val="0.8914345935998681"/>
          <c:h val="0.75976879294582556"/>
        </c:manualLayout>
      </c:layout>
      <c:barChart>
        <c:barDir val="col"/>
        <c:grouping val="clustered"/>
        <c:varyColors val="0"/>
        <c:ser>
          <c:idx val="0"/>
          <c:order val="0"/>
          <c:tx>
            <c:strRef>
              <c:f>'Well Care'!$C$3</c:f>
              <c:strCache>
                <c:ptCount val="1"/>
                <c:pt idx="0">
                  <c:v>2022</c:v>
                </c:pt>
              </c:strCache>
            </c:strRef>
          </c:tx>
          <c:invertIfNegative val="0"/>
          <c:dLbls>
            <c:spPr>
              <a:noFill/>
              <a:ln>
                <a:noFill/>
              </a:ln>
              <a:effectLst/>
            </c:spPr>
            <c:txPr>
              <a:bodyPr rot="-5400000"/>
              <a:lstStyle/>
              <a:p>
                <a:pPr>
                  <a:defRPr>
                    <a:solidFill>
                      <a:schemeClr val="bg1"/>
                    </a:solidFill>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Care'!$B$23:$B$25</c:f>
              <c:strCache>
                <c:ptCount val="3"/>
                <c:pt idx="0">
                  <c:v>Combo 3</c:v>
                </c:pt>
                <c:pt idx="1">
                  <c:v>Combo7</c:v>
                </c:pt>
                <c:pt idx="2">
                  <c:v>Combo 10</c:v>
                </c:pt>
              </c:strCache>
            </c:strRef>
          </c:cat>
          <c:val>
            <c:numRef>
              <c:f>'Well Care'!$C$23:$C$25</c:f>
              <c:numCache>
                <c:formatCode>0.00%</c:formatCode>
                <c:ptCount val="3"/>
                <c:pt idx="0">
                  <c:v>0.81710000000000005</c:v>
                </c:pt>
                <c:pt idx="1">
                  <c:v>0.77070000000000005</c:v>
                </c:pt>
                <c:pt idx="2">
                  <c:v>0.57320000000000004</c:v>
                </c:pt>
              </c:numCache>
            </c:numRef>
          </c:val>
          <c:extLst>
            <c:ext xmlns:c16="http://schemas.microsoft.com/office/drawing/2014/chart" uri="{C3380CC4-5D6E-409C-BE32-E72D297353CC}">
              <c16:uniqueId val="{00000000-234C-4C24-820B-AEEB83EA3A2B}"/>
            </c:ext>
          </c:extLst>
        </c:ser>
        <c:ser>
          <c:idx val="1"/>
          <c:order val="1"/>
          <c:tx>
            <c:strRef>
              <c:f>'Well Care'!$D$3</c:f>
              <c:strCache>
                <c:ptCount val="1"/>
                <c:pt idx="0">
                  <c:v>2021</c:v>
                </c:pt>
              </c:strCache>
            </c:strRef>
          </c:tx>
          <c:invertIfNegative val="0"/>
          <c:dLbls>
            <c:spPr>
              <a:noFill/>
              <a:ln>
                <a:noFill/>
              </a:ln>
              <a:effectLst/>
            </c:spPr>
            <c:txPr>
              <a:bodyPr rot="-5400000"/>
              <a:lstStyle/>
              <a:p>
                <a:pPr>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'Well Care'!$B$23:$B$25</c:f>
              <c:strCache>
                <c:ptCount val="3"/>
                <c:pt idx="0">
                  <c:v>Combo 3</c:v>
                </c:pt>
                <c:pt idx="1">
                  <c:v>Combo7</c:v>
                </c:pt>
                <c:pt idx="2">
                  <c:v>Combo 10</c:v>
                </c:pt>
              </c:strCache>
            </c:strRef>
          </c:cat>
          <c:val>
            <c:numRef>
              <c:f>'Well Care'!$D$23:$D$25</c:f>
              <c:numCache>
                <c:formatCode>0.00%</c:formatCode>
                <c:ptCount val="3"/>
                <c:pt idx="0">
                  <c:v>0.80289999999999995</c:v>
                </c:pt>
                <c:pt idx="1">
                  <c:v>0.72989999999999999</c:v>
                </c:pt>
                <c:pt idx="2">
                  <c:v>0.52070000000000005</c:v>
                </c:pt>
              </c:numCache>
            </c:numRef>
          </c:val>
          <c:extLst>
            <c:ext xmlns:c16="http://schemas.microsoft.com/office/drawing/2014/chart" uri="{C3380CC4-5D6E-409C-BE32-E72D297353CC}">
              <c16:uniqueId val="{00000001-234C-4C24-820B-AEEB83EA3A2B}"/>
            </c:ext>
          </c:extLst>
        </c:ser>
        <c:dLbls>
          <c:showLegendKey val="0"/>
          <c:showVal val="0"/>
          <c:showCatName val="0"/>
          <c:showSerName val="0"/>
          <c:showPercent val="0"/>
          <c:showBubbleSize val="0"/>
        </c:dLbls>
        <c:gapWidth val="75"/>
        <c:overlap val="-25"/>
        <c:axId val="66313600"/>
        <c:axId val="66319488"/>
      </c:barChart>
      <c:catAx>
        <c:axId val="66313600"/>
        <c:scaling>
          <c:orientation val="minMax"/>
        </c:scaling>
        <c:delete val="0"/>
        <c:axPos val="b"/>
        <c:numFmt formatCode="General" sourceLinked="0"/>
        <c:majorTickMark val="none"/>
        <c:minorTickMark val="none"/>
        <c:tickLblPos val="nextTo"/>
        <c:txPr>
          <a:bodyPr rot="0" vert="horz" anchor="ctr" anchorCtr="1"/>
          <a:lstStyle/>
          <a:p>
            <a:pPr>
              <a:defRPr sz="800"/>
            </a:pPr>
            <a:endParaRPr lang="en-US"/>
          </a:p>
        </c:txPr>
        <c:crossAx val="66319488"/>
        <c:crosses val="autoZero"/>
        <c:auto val="1"/>
        <c:lblAlgn val="ctr"/>
        <c:lblOffset val="100"/>
        <c:noMultiLvlLbl val="0"/>
      </c:catAx>
      <c:valAx>
        <c:axId val="66319488"/>
        <c:scaling>
          <c:orientation val="minMax"/>
        </c:scaling>
        <c:delete val="0"/>
        <c:axPos val="l"/>
        <c:majorGridlines/>
        <c:numFmt formatCode="0.00%" sourceLinked="1"/>
        <c:majorTickMark val="none"/>
        <c:minorTickMark val="none"/>
        <c:tickLblPos val="nextTo"/>
        <c:crossAx val="66313600"/>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FA1984B6A6B474AA07EA1C7DEED4139" ma:contentTypeVersion="1" ma:contentTypeDescription="Create a new document." ma:contentTypeScope="" ma:versionID="ce5d5b00f87fe5097ac9993e3ec6a252">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F0450E-3294-40D2-9E26-858C81B80D4E}">
  <ds:schemaRefs>
    <ds:schemaRef ds:uri="http://schemas.openxmlformats.org/officeDocument/2006/bibliography"/>
  </ds:schemaRefs>
</ds:datastoreItem>
</file>

<file path=customXml/itemProps2.xml><?xml version="1.0" encoding="utf-8"?>
<ds:datastoreItem xmlns:ds="http://schemas.openxmlformats.org/officeDocument/2006/customXml" ds:itemID="{996E7E2C-3F99-46D3-8688-E7258E3231E2}"/>
</file>

<file path=customXml/itemProps3.xml><?xml version="1.0" encoding="utf-8"?>
<ds:datastoreItem xmlns:ds="http://schemas.openxmlformats.org/officeDocument/2006/customXml" ds:itemID="{F506C325-8ED9-401F-A075-F6B493895AB4}"/>
</file>

<file path=customXml/itemProps4.xml><?xml version="1.0" encoding="utf-8"?>
<ds:datastoreItem xmlns:ds="http://schemas.openxmlformats.org/officeDocument/2006/customXml" ds:itemID="{92403C08-95C4-401F-94C9-86859D91B26D}"/>
</file>

<file path=docProps/app.xml><?xml version="1.0" encoding="utf-8"?>
<Properties xmlns="http://schemas.openxmlformats.org/officeDocument/2006/extended-properties" xmlns:vt="http://schemas.openxmlformats.org/officeDocument/2006/docPropsVTypes">
  <Template>Normal</Template>
  <TotalTime>1</TotalTime>
  <Pages>55</Pages>
  <Words>19742</Words>
  <Characters>112534</Characters>
  <Application>Microsoft Office Word</Application>
  <DocSecurity>4</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Bransfield</dc:creator>
  <cp:lastModifiedBy>Elizabeth Bransfield</cp:lastModifiedBy>
  <cp:revision>2</cp:revision>
  <cp:lastPrinted>2021-04-29T21:33:00Z</cp:lastPrinted>
  <dcterms:created xsi:type="dcterms:W3CDTF">2023-04-27T18:35:00Z</dcterms:created>
  <dcterms:modified xsi:type="dcterms:W3CDTF">2023-04-27T18:35:00Z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0x0101002FA1984B6A6B474AA07EA1C7DEED4139</vt:lpwstr>
  </property>
  <property fmtid="{D5CDD505-2E9C-101B-9397-08002B2CF9AE}" pid="3" name="Order">
    <vt:r8>10500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